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noborders"/>
        <w:tblpPr w:leftFromText="180" w:rightFromText="180" w:vertAnchor="text" w:horzAnchor="margin" w:tblpY="1257"/>
        <w:tblW w:w="9299" w:type="dxa"/>
        <w:tblInd w:w="0" w:type="dxa"/>
        <w:tblBorders>
          <w:bottom w:val="single" w:sz="2" w:space="0" w:color="4D4D4D"/>
        </w:tblBorders>
        <w:tblCellMar>
          <w:left w:w="0" w:type="dxa"/>
          <w:right w:w="0" w:type="dxa"/>
        </w:tblCellMar>
        <w:tblLook w:val="04A0" w:firstRow="1" w:lastRow="0" w:firstColumn="1" w:lastColumn="0" w:noHBand="0" w:noVBand="1"/>
        <w:tblCaption w:val="Table for formatting purposes"/>
      </w:tblPr>
      <w:tblGrid>
        <w:gridCol w:w="9299"/>
      </w:tblGrid>
      <w:tr w:rsidR="000B4B50" w14:paraId="3E4939FB" w14:textId="77777777" w:rsidTr="00FA1EC1">
        <w:trPr>
          <w:trHeight w:hRule="exact" w:val="1981"/>
          <w:tblHeader/>
        </w:trPr>
        <w:tc>
          <w:tcPr>
            <w:tcW w:w="9299" w:type="dxa"/>
            <w:tcBorders>
              <w:top w:val="nil"/>
              <w:left w:val="nil"/>
              <w:bottom w:val="nil"/>
              <w:right w:val="nil"/>
            </w:tcBorders>
            <w:vAlign w:val="bottom"/>
          </w:tcPr>
          <w:p w14:paraId="5C3026B1" w14:textId="0B0B412F" w:rsidR="00CE5E04" w:rsidRPr="0003523E" w:rsidRDefault="009713FF" w:rsidP="00E13AF8">
            <w:pPr>
              <w:pStyle w:val="Title"/>
            </w:pPr>
            <w:bookmarkStart w:id="0" w:name="_GoBack"/>
            <w:bookmarkEnd w:id="0"/>
            <w:r>
              <w:t xml:space="preserve">Annual Report </w:t>
            </w:r>
            <w:r w:rsidR="00E13AF8" w:rsidRPr="00A60E96">
              <w:t>201</w:t>
            </w:r>
            <w:r w:rsidR="00E13AF8">
              <w:t>9</w:t>
            </w:r>
            <w:r w:rsidR="00CE5E04" w:rsidRPr="00A60E96">
              <w:t>/</w:t>
            </w:r>
            <w:r w:rsidR="00E13AF8">
              <w:t>20</w:t>
            </w:r>
            <w:r w:rsidR="00E13AF8" w:rsidRPr="00A60E96">
              <w:t xml:space="preserve"> </w:t>
            </w:r>
          </w:p>
        </w:tc>
      </w:tr>
      <w:tr w:rsidR="000B4B50" w14:paraId="74ABB5DD" w14:textId="77777777" w:rsidTr="00FA1EC1">
        <w:trPr>
          <w:trHeight w:val="577"/>
        </w:trPr>
        <w:tc>
          <w:tcPr>
            <w:tcW w:w="9299" w:type="dxa"/>
            <w:tcBorders>
              <w:top w:val="nil"/>
              <w:bottom w:val="nil"/>
            </w:tcBorders>
            <w:vAlign w:val="bottom"/>
          </w:tcPr>
          <w:p w14:paraId="1A421852" w14:textId="77777777" w:rsidR="00CE5E04" w:rsidRDefault="00CE5E04" w:rsidP="003D3930"/>
        </w:tc>
      </w:tr>
    </w:tbl>
    <w:p w14:paraId="7A6CC256" w14:textId="77777777" w:rsidR="00CE5E04" w:rsidRDefault="009713FF" w:rsidP="0048452E">
      <w:pPr>
        <w:jc w:val="right"/>
      </w:pPr>
      <w:bookmarkStart w:id="1" w:name="TemplateAnnualReport"/>
      <w:bookmarkEnd w:id="1"/>
      <w:r>
        <w:t>A.3</w:t>
      </w:r>
    </w:p>
    <w:p w14:paraId="3968628A" w14:textId="77777777" w:rsidR="003D3930" w:rsidRDefault="003D3930" w:rsidP="00CE5E04">
      <w:pPr>
        <w:pStyle w:val="Heading1"/>
        <w:pageBreakBefore w:val="0"/>
      </w:pPr>
    </w:p>
    <w:p w14:paraId="7499275D" w14:textId="77777777" w:rsidR="00CE5E04" w:rsidRDefault="002231B4" w:rsidP="00CE5E04">
      <w:pPr>
        <w:pStyle w:val="Heading1"/>
        <w:pageBreakBefore w:val="0"/>
      </w:pPr>
      <w:r>
        <w:t>O</w:t>
      </w:r>
      <w:r w:rsidR="00CE5E04">
        <w:t>mbudsman</w:t>
      </w:r>
    </w:p>
    <w:p w14:paraId="328815D2" w14:textId="77777777" w:rsidR="00CE5E04" w:rsidRDefault="00CE5E04" w:rsidP="00CE5E04">
      <w:pPr>
        <w:pStyle w:val="Heading1"/>
        <w:pageBreakBefore w:val="0"/>
      </w:pPr>
      <w:r w:rsidRPr="009003B5">
        <w:t>Kaitiaki Mana Tangata</w:t>
      </w:r>
    </w:p>
    <w:p w14:paraId="29B9D6A8" w14:textId="77777777" w:rsidR="00CE5E04" w:rsidRPr="002F5E8C" w:rsidRDefault="00CE5E04" w:rsidP="002F5E8C">
      <w:pPr>
        <w:pStyle w:val="BodyText"/>
      </w:pPr>
      <w:r>
        <w:t xml:space="preserve">for the year </w:t>
      </w:r>
      <w:r w:rsidRPr="00A60E96">
        <w:t xml:space="preserve">ended 30 June </w:t>
      </w:r>
      <w:r w:rsidR="00D97CEE" w:rsidRPr="00A60E96">
        <w:t>20</w:t>
      </w:r>
      <w:r w:rsidR="00D97CEE">
        <w:t>20</w:t>
      </w:r>
    </w:p>
    <w:p w14:paraId="596CBBCD" w14:textId="77777777" w:rsidR="00CE5E04" w:rsidRDefault="00CE5E04" w:rsidP="00CE5E04">
      <w:pPr>
        <w:pStyle w:val="BodyText"/>
      </w:pPr>
    </w:p>
    <w:p w14:paraId="3B6DA055" w14:textId="248661B0" w:rsidR="00CE5E04" w:rsidRDefault="00CE5E04" w:rsidP="00CE5E04">
      <w:pPr>
        <w:pStyle w:val="BodyText"/>
      </w:pPr>
      <w:r w:rsidRPr="00EF2850">
        <w:t xml:space="preserve">Presented to the House of Representatives </w:t>
      </w:r>
      <w:r w:rsidRPr="002E206F">
        <w:t>pursuant</w:t>
      </w:r>
      <w:r w:rsidRPr="00EF2850">
        <w:t xml:space="preserve"> to s</w:t>
      </w:r>
      <w:r w:rsidR="00F6162A">
        <w:t>ection</w:t>
      </w:r>
      <w:r w:rsidR="003D3930">
        <w:t xml:space="preserve"> 39 of the Public Finance Act 1989</w:t>
      </w:r>
    </w:p>
    <w:p w14:paraId="77ACB631" w14:textId="77777777" w:rsidR="009713FF" w:rsidRDefault="009713FF" w:rsidP="00CE5E04">
      <w:pPr>
        <w:pStyle w:val="BodyText"/>
      </w:pPr>
    </w:p>
    <w:p w14:paraId="37D6636C" w14:textId="77777777" w:rsidR="009713FF" w:rsidRDefault="009713FF" w:rsidP="00CE5E04">
      <w:pPr>
        <w:pStyle w:val="BodyText"/>
      </w:pPr>
    </w:p>
    <w:p w14:paraId="36B0F62F" w14:textId="77777777" w:rsidR="009713FF" w:rsidRDefault="009713FF" w:rsidP="00CE5E04">
      <w:pPr>
        <w:pStyle w:val="BodyText"/>
      </w:pPr>
    </w:p>
    <w:p w14:paraId="3DE13BA5" w14:textId="77777777" w:rsidR="009713FF" w:rsidRDefault="009713FF" w:rsidP="00CE5E04">
      <w:pPr>
        <w:pStyle w:val="BodyText"/>
      </w:pPr>
    </w:p>
    <w:p w14:paraId="04BA093A" w14:textId="77777777" w:rsidR="009713FF" w:rsidRDefault="009713FF" w:rsidP="00CE5E04">
      <w:pPr>
        <w:pStyle w:val="BodyText"/>
      </w:pPr>
    </w:p>
    <w:p w14:paraId="7000B934" w14:textId="77777777" w:rsidR="009713FF" w:rsidRDefault="009713FF" w:rsidP="00CE5E04">
      <w:pPr>
        <w:pStyle w:val="BodyText"/>
      </w:pPr>
    </w:p>
    <w:p w14:paraId="66CDF680" w14:textId="77777777" w:rsidR="009713FF" w:rsidRDefault="009713FF" w:rsidP="00CE5E04">
      <w:pPr>
        <w:pStyle w:val="BodyText"/>
      </w:pPr>
    </w:p>
    <w:p w14:paraId="06767B06" w14:textId="77777777" w:rsidR="009713FF" w:rsidRDefault="009713FF" w:rsidP="00CE5E04">
      <w:pPr>
        <w:pStyle w:val="BodyText"/>
      </w:pPr>
    </w:p>
    <w:p w14:paraId="0A5A4596" w14:textId="77777777" w:rsidR="009C4267" w:rsidRDefault="009C4267" w:rsidP="009C4267">
      <w:pPr>
        <w:pStyle w:val="Default"/>
      </w:pPr>
    </w:p>
    <w:p w14:paraId="442C4C01" w14:textId="77777777" w:rsidR="009713FF" w:rsidRDefault="009C4267" w:rsidP="009C4267">
      <w:pPr>
        <w:pStyle w:val="BodyText"/>
        <w:jc w:val="right"/>
      </w:pPr>
      <w:r>
        <w:t xml:space="preserve"> </w:t>
      </w:r>
      <w:r w:rsidRPr="008C4775">
        <w:rPr>
          <w:rStyle w:val="A2"/>
        </w:rPr>
        <w:t>ISSN 2382-0047</w:t>
      </w:r>
    </w:p>
    <w:p w14:paraId="726CAB43" w14:textId="77777777" w:rsidR="00CE5E04" w:rsidRDefault="00CE5E04" w:rsidP="00CE5E04">
      <w:pPr>
        <w:pStyle w:val="BodyText"/>
        <w:rPr>
          <w:rFonts w:eastAsiaTheme="majorEastAsia" w:cstheme="majorBidi"/>
          <w:sz w:val="26"/>
        </w:rPr>
      </w:pPr>
      <w:r>
        <w:br w:type="page"/>
      </w:r>
    </w:p>
    <w:p w14:paraId="4DF30E91" w14:textId="77777777" w:rsidR="00CE5E04" w:rsidRDefault="00CE5E04" w:rsidP="00FA1EC1">
      <w:pPr>
        <w:spacing w:line="276" w:lineRule="auto"/>
      </w:pPr>
      <w:r w:rsidRPr="00BE4BB3">
        <w:lastRenderedPageBreak/>
        <w:t>Mr Speaker</w:t>
      </w:r>
    </w:p>
    <w:p w14:paraId="0082B9CE" w14:textId="4C1FE903" w:rsidR="00CE5E04" w:rsidRDefault="00CE5E04" w:rsidP="007460AC">
      <w:pPr>
        <w:spacing w:after="1200"/>
      </w:pPr>
      <w:r w:rsidRPr="005233F8">
        <w:t xml:space="preserve">I submit to you </w:t>
      </w:r>
      <w:r w:rsidR="004E7D96">
        <w:t>my</w:t>
      </w:r>
      <w:r w:rsidRPr="005233F8">
        <w:t xml:space="preserve"> report for the year 1 July </w:t>
      </w:r>
      <w:r w:rsidR="00E13AF8" w:rsidRPr="005233F8">
        <w:t>20</w:t>
      </w:r>
      <w:r w:rsidR="00E13AF8">
        <w:t>19</w:t>
      </w:r>
      <w:r w:rsidR="00E13AF8" w:rsidRPr="005233F8">
        <w:t xml:space="preserve"> </w:t>
      </w:r>
      <w:r w:rsidRPr="005233F8">
        <w:t xml:space="preserve">to 30 June </w:t>
      </w:r>
      <w:r w:rsidR="00E13AF8" w:rsidRPr="005233F8">
        <w:t>20</w:t>
      </w:r>
      <w:r w:rsidR="00E13AF8">
        <w:t>20</w:t>
      </w:r>
      <w:r w:rsidRPr="005233F8">
        <w:t>.</w:t>
      </w:r>
      <w:r w:rsidR="007460AC" w:rsidRPr="00BE4BB3">
        <w:t xml:space="preserve"> </w:t>
      </w:r>
    </w:p>
    <w:p w14:paraId="321EC13E" w14:textId="77777777" w:rsidR="00CE5E04" w:rsidRPr="009C0710" w:rsidRDefault="00CE5E04" w:rsidP="00CE5E04">
      <w:pPr>
        <w:pStyle w:val="Singlespacedparagraph"/>
        <w:rPr>
          <w:b/>
        </w:rPr>
      </w:pPr>
      <w:r>
        <w:rPr>
          <w:b/>
        </w:rPr>
        <w:t>Peter Boshier</w:t>
      </w:r>
    </w:p>
    <w:p w14:paraId="60E84436" w14:textId="77777777" w:rsidR="00CE5E04" w:rsidRDefault="00CE5E04" w:rsidP="007460AC">
      <w:pPr>
        <w:spacing w:after="1000"/>
        <w:rPr>
          <w:color w:val="696969"/>
        </w:rPr>
      </w:pPr>
      <w:r w:rsidRPr="00BE4BB3">
        <w:t>Chief Ombudsman</w:t>
      </w:r>
    </w:p>
    <w:p w14:paraId="498DA50B" w14:textId="77777777" w:rsidR="00CE5E04" w:rsidRPr="00A60E96" w:rsidRDefault="00CE5E04" w:rsidP="00CE5E04">
      <w:pPr>
        <w:pStyle w:val="Singlespacedparagraph"/>
        <w:rPr>
          <w:color w:val="696969"/>
        </w:rPr>
      </w:pPr>
      <w:r w:rsidRPr="00A60E96">
        <w:rPr>
          <w:color w:val="696969"/>
        </w:rPr>
        <w:t>20</w:t>
      </w:r>
      <w:r w:rsidR="00091AB6">
        <w:rPr>
          <w:color w:val="696969"/>
        </w:rPr>
        <w:t>19/20</w:t>
      </w:r>
    </w:p>
    <w:p w14:paraId="5A017BD9" w14:textId="77777777" w:rsidR="00CE5E04" w:rsidRPr="00A60E96" w:rsidRDefault="00CE5E04" w:rsidP="00CE5E04">
      <w:pPr>
        <w:pStyle w:val="Singlespacedparagraph"/>
        <w:rPr>
          <w:color w:val="696969"/>
        </w:rPr>
      </w:pPr>
      <w:r w:rsidRPr="00A60E96">
        <w:rPr>
          <w:color w:val="696969"/>
        </w:rPr>
        <w:t>Report of the Ombudsman</w:t>
      </w:r>
    </w:p>
    <w:p w14:paraId="415CF0D3" w14:textId="3FF0C34B" w:rsidR="00CE5E04" w:rsidRDefault="00CE5E04" w:rsidP="00CE5E04">
      <w:pPr>
        <w:pStyle w:val="Singlespacedparagraph"/>
        <w:rPr>
          <w:color w:val="696969"/>
        </w:rPr>
      </w:pPr>
      <w:r w:rsidRPr="00A60E96">
        <w:rPr>
          <w:color w:val="696969"/>
        </w:rPr>
        <w:t xml:space="preserve">for the year ended 30 June </w:t>
      </w:r>
      <w:r w:rsidR="00091AB6" w:rsidRPr="00A60E96">
        <w:rPr>
          <w:color w:val="696969"/>
        </w:rPr>
        <w:t>20</w:t>
      </w:r>
      <w:r w:rsidR="00091AB6">
        <w:rPr>
          <w:color w:val="696969"/>
        </w:rPr>
        <w:t>20</w:t>
      </w:r>
    </w:p>
    <w:p w14:paraId="1280DD3B" w14:textId="71B2EE73" w:rsidR="002B533B" w:rsidRDefault="002B533B" w:rsidP="00CE5E04">
      <w:pPr>
        <w:pStyle w:val="Singlespacedparagraph"/>
        <w:rPr>
          <w:color w:val="696969"/>
        </w:rPr>
      </w:pPr>
    </w:p>
    <w:p w14:paraId="3F03EEEE" w14:textId="77777777" w:rsidR="002B533B" w:rsidRDefault="002B533B" w:rsidP="002B533B">
      <w:pPr>
        <w:pStyle w:val="Singlespacedparagraph"/>
        <w:rPr>
          <w:color w:val="696969"/>
        </w:rPr>
      </w:pPr>
      <w:r w:rsidRPr="00F6162A">
        <w:rPr>
          <w:color w:val="696969"/>
        </w:rPr>
        <w:t>Pūrongorongo o te</w:t>
      </w:r>
    </w:p>
    <w:p w14:paraId="3580C6F7" w14:textId="50D9842A" w:rsidR="002B533B" w:rsidRPr="00A60E96" w:rsidRDefault="002B533B" w:rsidP="002B533B">
      <w:pPr>
        <w:pStyle w:val="Singlespacedparagraph"/>
        <w:rPr>
          <w:color w:val="696969"/>
        </w:rPr>
      </w:pPr>
      <w:r w:rsidRPr="00A60E96">
        <w:rPr>
          <w:color w:val="696969"/>
        </w:rPr>
        <w:t>Kaitiaki Mana Tangata</w:t>
      </w:r>
    </w:p>
    <w:p w14:paraId="7872997A" w14:textId="77777777" w:rsidR="002B533B" w:rsidRPr="009C0710" w:rsidRDefault="002B533B" w:rsidP="00CE5E04">
      <w:pPr>
        <w:pStyle w:val="Singlespacedparagraph"/>
        <w:rPr>
          <w:color w:val="696969"/>
        </w:rPr>
      </w:pPr>
    </w:p>
    <w:p w14:paraId="258FAD97" w14:textId="77777777" w:rsidR="00CE5E04" w:rsidRPr="009C0710" w:rsidRDefault="00CE5E04" w:rsidP="00CE5E04">
      <w:pPr>
        <w:pStyle w:val="Singlespacedparagraph"/>
      </w:pPr>
    </w:p>
    <w:p w14:paraId="140332A7" w14:textId="77777777" w:rsidR="00CE5E04" w:rsidRPr="009C0710" w:rsidRDefault="00CE5E04" w:rsidP="00CE5E04">
      <w:pPr>
        <w:pStyle w:val="Singlespacedparagraph"/>
        <w:rPr>
          <w:b/>
          <w:i/>
        </w:rPr>
      </w:pPr>
      <w:r w:rsidRPr="009C0710">
        <w:rPr>
          <w:i/>
        </w:rPr>
        <w:t>Presented to the House of Representatives pursuant to section 29 of the Ombudsmen Act 1975</w:t>
      </w:r>
    </w:p>
    <w:p w14:paraId="59BAFE5E" w14:textId="77777777" w:rsidR="00CE5E04" w:rsidRDefault="00CE5E04">
      <w:pPr>
        <w:spacing w:line="276" w:lineRule="auto"/>
      </w:pPr>
    </w:p>
    <w:p w14:paraId="75BD43D9" w14:textId="75F1F50B" w:rsidR="00CE5E04" w:rsidRDefault="00CE5E04">
      <w:pPr>
        <w:spacing w:line="276" w:lineRule="auto"/>
      </w:pPr>
      <w:r w:rsidRPr="00AB0710">
        <w:rPr>
          <w:rStyle w:val="Emphasis"/>
        </w:rPr>
        <w:t>NB:</w:t>
      </w:r>
      <w:r>
        <w:t xml:space="preserve"> This is alternative</w:t>
      </w:r>
      <w:r w:rsidR="0053315B">
        <w:t xml:space="preserve"> text</w:t>
      </w:r>
      <w:r>
        <w:t xml:space="preserve"> version and </w:t>
      </w:r>
      <w:r w:rsidR="0053315B">
        <w:t>differs</w:t>
      </w:r>
      <w:r>
        <w:t xml:space="preserve"> to the published PDF version of this report to allow for accessibility</w:t>
      </w:r>
      <w:r w:rsidR="0053315B">
        <w:t xml:space="preserve"> with graphs and charts verbalised in the appendices where needed</w:t>
      </w:r>
      <w:r>
        <w:t>.</w:t>
      </w:r>
      <w:r w:rsidR="0053315B">
        <w:t xml:space="preserve"> </w:t>
      </w:r>
    </w:p>
    <w:p w14:paraId="78E0C4A7" w14:textId="77777777" w:rsidR="00CE5E04" w:rsidRDefault="00CE5E04" w:rsidP="002F5E8C">
      <w:pPr>
        <w:pStyle w:val="Heading1"/>
      </w:pPr>
      <w:bookmarkStart w:id="2" w:name="Contents"/>
      <w:r>
        <w:t>Contents</w:t>
      </w:r>
      <w:bookmarkEnd w:id="2"/>
    </w:p>
    <w:p w14:paraId="61E53F5D" w14:textId="392D6629" w:rsidR="00CE5E04" w:rsidRDefault="005B795D" w:rsidP="00CE5E04">
      <w:pPr>
        <w:pStyle w:val="TOCContents"/>
      </w:pPr>
      <w:hyperlink w:anchor="_Introduction_1" w:history="1">
        <w:r w:rsidR="00CE5E04" w:rsidRPr="00AB0710">
          <w:rPr>
            <w:rStyle w:val="Hyperlink"/>
          </w:rPr>
          <w:t>1 : Introduction</w:t>
        </w:r>
      </w:hyperlink>
      <w:r w:rsidR="00CE5E04">
        <w:tab/>
      </w:r>
      <w:r w:rsidR="00943733">
        <w:fldChar w:fldCharType="begin"/>
      </w:r>
      <w:r w:rsidR="00943733">
        <w:instrText xml:space="preserve"> PAGEREF _Ref336353944 \h </w:instrText>
      </w:r>
      <w:r w:rsidR="00943733">
        <w:fldChar w:fldCharType="separate"/>
      </w:r>
      <w:r w:rsidR="00E36674">
        <w:rPr>
          <w:noProof/>
        </w:rPr>
        <w:t>4</w:t>
      </w:r>
      <w:r w:rsidR="00943733">
        <w:fldChar w:fldCharType="end"/>
      </w:r>
    </w:p>
    <w:p w14:paraId="32BCC700" w14:textId="77777777" w:rsidR="00CE5E04" w:rsidRDefault="00CE5E04" w:rsidP="00CE5E04">
      <w:pPr>
        <w:pStyle w:val="Whitespace"/>
      </w:pPr>
    </w:p>
    <w:p w14:paraId="0F2B1A47" w14:textId="018D3C8D" w:rsidR="00CE5E04" w:rsidRDefault="005B795D" w:rsidP="00CE5E04">
      <w:pPr>
        <w:pStyle w:val="TOCContents"/>
      </w:pPr>
      <w:hyperlink w:anchor="_2016/17_at_a" w:history="1">
        <w:r w:rsidR="00CE5E04" w:rsidRPr="00AB0710">
          <w:rPr>
            <w:rStyle w:val="Hyperlink"/>
          </w:rPr>
          <w:t xml:space="preserve">2 : </w:t>
        </w:r>
        <w:r w:rsidR="00CE5E04" w:rsidRPr="002F5E8C">
          <w:rPr>
            <w:rStyle w:val="Hyperlink"/>
          </w:rPr>
          <w:t>20</w:t>
        </w:r>
        <w:r w:rsidR="00E5531C">
          <w:rPr>
            <w:rStyle w:val="Hyperlink"/>
          </w:rPr>
          <w:t>19</w:t>
        </w:r>
        <w:r w:rsidR="00CE5E04" w:rsidRPr="002F5E8C">
          <w:rPr>
            <w:rStyle w:val="Hyperlink"/>
          </w:rPr>
          <w:t>/</w:t>
        </w:r>
        <w:r w:rsidR="00E5531C">
          <w:rPr>
            <w:rStyle w:val="Hyperlink"/>
          </w:rPr>
          <w:t>20</w:t>
        </w:r>
        <w:r w:rsidR="00CE5E04" w:rsidRPr="00AB0710">
          <w:rPr>
            <w:rStyle w:val="Hyperlink"/>
          </w:rPr>
          <w:t xml:space="preserve"> at a glance</w:t>
        </w:r>
      </w:hyperlink>
      <w:r w:rsidR="00CE5E04">
        <w:tab/>
      </w:r>
      <w:r w:rsidR="00F31CFD">
        <w:fldChar w:fldCharType="begin"/>
      </w:r>
      <w:r w:rsidR="00F31CFD">
        <w:instrText xml:space="preserve"> PAGEREF _Ref336348165 \h </w:instrText>
      </w:r>
      <w:r w:rsidR="00F31CFD">
        <w:fldChar w:fldCharType="separate"/>
      </w:r>
      <w:r w:rsidR="00E36674">
        <w:rPr>
          <w:noProof/>
        </w:rPr>
        <w:t>8</w:t>
      </w:r>
      <w:r w:rsidR="00F31CFD">
        <w:fldChar w:fldCharType="end"/>
      </w:r>
    </w:p>
    <w:p w14:paraId="039BD004" w14:textId="77777777" w:rsidR="00CE5E04" w:rsidRDefault="00CE5E04" w:rsidP="00CE5E04">
      <w:pPr>
        <w:pStyle w:val="Whitespace"/>
      </w:pPr>
    </w:p>
    <w:p w14:paraId="0B87E21A" w14:textId="657C432F" w:rsidR="00CE5E04" w:rsidRDefault="005B795D" w:rsidP="00CE5E04">
      <w:pPr>
        <w:pStyle w:val="TOCContents"/>
      </w:pPr>
      <w:hyperlink w:anchor="_Background" w:history="1">
        <w:r w:rsidR="00CE5E04" w:rsidRPr="00AB0710">
          <w:rPr>
            <w:rStyle w:val="Hyperlink"/>
          </w:rPr>
          <w:t>3 : Background</w:t>
        </w:r>
      </w:hyperlink>
      <w:r w:rsidR="00CE5E04">
        <w:tab/>
      </w:r>
      <w:r w:rsidR="00F31CFD">
        <w:fldChar w:fldCharType="begin"/>
      </w:r>
      <w:r w:rsidR="00F31CFD">
        <w:instrText xml:space="preserve"> PAGEREF _Ref336353922 \h </w:instrText>
      </w:r>
      <w:r w:rsidR="00F31CFD">
        <w:fldChar w:fldCharType="separate"/>
      </w:r>
      <w:r w:rsidR="00E36674">
        <w:rPr>
          <w:noProof/>
        </w:rPr>
        <w:t>13</w:t>
      </w:r>
      <w:r w:rsidR="00F31CFD">
        <w:fldChar w:fldCharType="end"/>
      </w:r>
    </w:p>
    <w:p w14:paraId="76F9BF35" w14:textId="77777777" w:rsidR="00CE5E04" w:rsidRDefault="00CE5E04" w:rsidP="00CE5E04">
      <w:pPr>
        <w:pStyle w:val="Whitespace"/>
      </w:pPr>
    </w:p>
    <w:p w14:paraId="66294432" w14:textId="013199A4" w:rsidR="00CE5E04" w:rsidRDefault="005B795D" w:rsidP="00CE5E04">
      <w:pPr>
        <w:pStyle w:val="TOCContents"/>
      </w:pPr>
      <w:hyperlink w:anchor="_Report_on_operations" w:history="1">
        <w:r w:rsidR="00CE5E04" w:rsidRPr="00AB0710">
          <w:rPr>
            <w:rStyle w:val="Hyperlink"/>
          </w:rPr>
          <w:t xml:space="preserve">4 : </w:t>
        </w:r>
        <w:r w:rsidR="002D3B5E">
          <w:rPr>
            <w:rStyle w:val="Hyperlink"/>
          </w:rPr>
          <w:t>Outputs and</w:t>
        </w:r>
        <w:r w:rsidR="00CE5E04" w:rsidRPr="00AB0710">
          <w:rPr>
            <w:rStyle w:val="Hyperlink"/>
          </w:rPr>
          <w:t xml:space="preserve"> operations</w:t>
        </w:r>
      </w:hyperlink>
      <w:r w:rsidR="00CE5E04">
        <w:tab/>
      </w:r>
      <w:r w:rsidR="00F31CFD">
        <w:fldChar w:fldCharType="begin"/>
      </w:r>
      <w:r w:rsidR="00F31CFD">
        <w:instrText xml:space="preserve"> PAGEREF _Ref336353967 \h </w:instrText>
      </w:r>
      <w:r w:rsidR="00F31CFD">
        <w:fldChar w:fldCharType="separate"/>
      </w:r>
      <w:r w:rsidR="00E36674">
        <w:rPr>
          <w:noProof/>
        </w:rPr>
        <w:t>20</w:t>
      </w:r>
      <w:r w:rsidR="00F31CFD">
        <w:fldChar w:fldCharType="end"/>
      </w:r>
    </w:p>
    <w:p w14:paraId="582A1A63" w14:textId="77777777" w:rsidR="00CE5E04" w:rsidRDefault="00CE5E04" w:rsidP="00CE5E04">
      <w:pPr>
        <w:pStyle w:val="Whitespace"/>
      </w:pPr>
    </w:p>
    <w:p w14:paraId="62433B34" w14:textId="67B6BFDD" w:rsidR="00CE5E04" w:rsidRDefault="005B795D" w:rsidP="00CE5E04">
      <w:pPr>
        <w:pStyle w:val="TOCContents"/>
      </w:pPr>
      <w:hyperlink w:anchor="_Organisational_health_and" w:history="1">
        <w:r w:rsidR="00CE5E04" w:rsidRPr="00AB0710">
          <w:rPr>
            <w:rStyle w:val="Hyperlink"/>
          </w:rPr>
          <w:t>5 : Organisational health and capability</w:t>
        </w:r>
      </w:hyperlink>
      <w:r w:rsidR="00CE5E04">
        <w:tab/>
      </w:r>
      <w:r w:rsidR="00F31CFD">
        <w:fldChar w:fldCharType="begin"/>
      </w:r>
      <w:r w:rsidR="00F31CFD">
        <w:instrText xml:space="preserve"> PAGEREF _Ref336348663 \h </w:instrText>
      </w:r>
      <w:r w:rsidR="00F31CFD">
        <w:fldChar w:fldCharType="separate"/>
      </w:r>
      <w:r w:rsidR="00E36674">
        <w:rPr>
          <w:noProof/>
        </w:rPr>
        <w:t>61</w:t>
      </w:r>
      <w:r w:rsidR="00F31CFD">
        <w:fldChar w:fldCharType="end"/>
      </w:r>
    </w:p>
    <w:p w14:paraId="484321AB" w14:textId="77777777" w:rsidR="00CE5E04" w:rsidRDefault="00CE5E04" w:rsidP="00CE5E04">
      <w:pPr>
        <w:pStyle w:val="Whitespace"/>
      </w:pPr>
    </w:p>
    <w:p w14:paraId="526F668D" w14:textId="4812AE68" w:rsidR="00CE5E04" w:rsidRDefault="005B795D" w:rsidP="00CE5E04">
      <w:pPr>
        <w:pStyle w:val="TOCContents"/>
      </w:pPr>
      <w:hyperlink w:anchor="_Financial_and_performance" w:history="1">
        <w:r w:rsidR="00CE5E04" w:rsidRPr="00AB0710">
          <w:rPr>
            <w:rStyle w:val="Hyperlink"/>
          </w:rPr>
          <w:t>6 : Financial and performance</w:t>
        </w:r>
      </w:hyperlink>
      <w:r w:rsidR="00CE5E04">
        <w:tab/>
      </w:r>
      <w:r w:rsidR="00F31CFD">
        <w:fldChar w:fldCharType="begin"/>
      </w:r>
      <w:r w:rsidR="00F31CFD">
        <w:instrText xml:space="preserve"> PAGEREF _Ref54686920 \h </w:instrText>
      </w:r>
      <w:r w:rsidR="00F31CFD">
        <w:fldChar w:fldCharType="separate"/>
      </w:r>
      <w:r w:rsidR="00E36674">
        <w:rPr>
          <w:noProof/>
        </w:rPr>
        <w:t>67</w:t>
      </w:r>
      <w:r w:rsidR="00F31CFD">
        <w:fldChar w:fldCharType="end"/>
      </w:r>
    </w:p>
    <w:p w14:paraId="16BE095D" w14:textId="77777777" w:rsidR="00CE5E04" w:rsidRDefault="00CE5E04" w:rsidP="00CE5E04">
      <w:pPr>
        <w:pStyle w:val="Whitespace"/>
      </w:pPr>
    </w:p>
    <w:p w14:paraId="1379FBF8" w14:textId="669734A9" w:rsidR="00CE5E04" w:rsidRPr="00814B99" w:rsidRDefault="00830423" w:rsidP="00CE5E04">
      <w:pPr>
        <w:pStyle w:val="TOCContents"/>
        <w:rPr>
          <w:sz w:val="30"/>
          <w:szCs w:val="30"/>
        </w:rPr>
      </w:pPr>
      <w:r w:rsidRPr="00B10EFF">
        <w:rPr>
          <w:rStyle w:val="Hyperlink"/>
          <w:sz w:val="30"/>
          <w:szCs w:val="30"/>
          <w:u w:val="none"/>
        </w:rPr>
        <w:t xml:space="preserve">     </w:t>
      </w:r>
      <w:hyperlink w:anchor="Audit" w:history="1">
        <w:r w:rsidR="00CE5E04" w:rsidRPr="00B10EFF">
          <w:rPr>
            <w:rStyle w:val="Hyperlink"/>
            <w:sz w:val="30"/>
            <w:szCs w:val="30"/>
          </w:rPr>
          <w:t>Independent Auditor’s Report</w:t>
        </w:r>
      </w:hyperlink>
      <w:r w:rsidR="00CE5E04" w:rsidRPr="002F5E8C">
        <w:tab/>
      </w:r>
      <w:r w:rsidR="0057093C">
        <w:fldChar w:fldCharType="begin"/>
      </w:r>
      <w:r w:rsidR="0057093C">
        <w:instrText xml:space="preserve"> PAGEREF Audit \h </w:instrText>
      </w:r>
      <w:r w:rsidR="0057093C">
        <w:fldChar w:fldCharType="separate"/>
      </w:r>
      <w:r w:rsidR="0057093C">
        <w:rPr>
          <w:noProof/>
        </w:rPr>
        <w:t>69</w:t>
      </w:r>
      <w:r w:rsidR="0057093C">
        <w:fldChar w:fldCharType="end"/>
      </w:r>
    </w:p>
    <w:p w14:paraId="49C42200" w14:textId="53A3980C" w:rsidR="00CE5E04" w:rsidRDefault="005B795D" w:rsidP="00CE5E04">
      <w:pPr>
        <w:pStyle w:val="TOCContents"/>
      </w:pPr>
      <w:hyperlink w:anchor="_Analysis,_statistics_and" w:history="1">
        <w:r w:rsidR="00CE5E04" w:rsidRPr="00AB0710">
          <w:rPr>
            <w:rStyle w:val="Hyperlink"/>
          </w:rPr>
          <w:t>7 : Analysis, statistics</w:t>
        </w:r>
        <w:r w:rsidR="00D469F2">
          <w:rPr>
            <w:rStyle w:val="Hyperlink"/>
          </w:rPr>
          <w:t>,</w:t>
        </w:r>
        <w:r w:rsidR="00CE5E04" w:rsidRPr="00AB0710">
          <w:rPr>
            <w:rStyle w:val="Hyperlink"/>
          </w:rPr>
          <w:t xml:space="preserve"> and directory</w:t>
        </w:r>
      </w:hyperlink>
      <w:r w:rsidR="00CE5E04">
        <w:tab/>
      </w:r>
      <w:r w:rsidR="00943733">
        <w:fldChar w:fldCharType="begin"/>
      </w:r>
      <w:r w:rsidR="00943733">
        <w:instrText xml:space="preserve"> PAGEREF _Ref336348687 \h </w:instrText>
      </w:r>
      <w:r w:rsidR="00943733">
        <w:fldChar w:fldCharType="separate"/>
      </w:r>
      <w:r w:rsidR="00E36674">
        <w:rPr>
          <w:noProof/>
        </w:rPr>
        <w:t>107</w:t>
      </w:r>
      <w:r w:rsidR="00943733">
        <w:fldChar w:fldCharType="end"/>
      </w:r>
    </w:p>
    <w:p w14:paraId="045929BA" w14:textId="11601753" w:rsidR="00C44689" w:rsidRPr="00C44689" w:rsidRDefault="005B795D" w:rsidP="00C44689">
      <w:pPr>
        <w:pStyle w:val="BodyText"/>
        <w:tabs>
          <w:tab w:val="right" w:pos="9214"/>
        </w:tabs>
        <w:rPr>
          <w:color w:val="00B050"/>
          <w:sz w:val="36"/>
          <w:szCs w:val="36"/>
        </w:rPr>
      </w:pPr>
      <w:hyperlink w:anchor="Appendix1" w:history="1">
        <w:r w:rsidR="00C44689" w:rsidRPr="00C44689">
          <w:rPr>
            <w:rStyle w:val="Hyperlink"/>
            <w:sz w:val="36"/>
            <w:szCs w:val="36"/>
          </w:rPr>
          <w:t xml:space="preserve">Appendix 1: Ombudsman Outcomes Framework </w:t>
        </w:r>
        <w:r w:rsidR="00C44689" w:rsidRPr="00C44689">
          <w:rPr>
            <w:rStyle w:val="Hyperlink"/>
            <w:sz w:val="36"/>
            <w:szCs w:val="36"/>
          </w:rPr>
          <w:br/>
          <w:t xml:space="preserve">diagram </w:t>
        </w:r>
        <w:r w:rsidR="00C44689">
          <w:rPr>
            <w:rStyle w:val="Hyperlink"/>
            <w:sz w:val="36"/>
            <w:szCs w:val="36"/>
          </w:rPr>
          <w:t>–</w:t>
        </w:r>
        <w:r w:rsidR="00C44689" w:rsidRPr="00C44689">
          <w:rPr>
            <w:rStyle w:val="Hyperlink"/>
            <w:sz w:val="36"/>
            <w:szCs w:val="36"/>
          </w:rPr>
          <w:t xml:space="preserve"> </w:t>
        </w:r>
        <w:r w:rsidR="00C44689">
          <w:rPr>
            <w:rStyle w:val="Hyperlink"/>
            <w:sz w:val="36"/>
            <w:szCs w:val="36"/>
          </w:rPr>
          <w:t>t</w:t>
        </w:r>
        <w:r w:rsidR="00C44689" w:rsidRPr="00C44689">
          <w:rPr>
            <w:rStyle w:val="Hyperlink"/>
            <w:sz w:val="36"/>
            <w:szCs w:val="36"/>
          </w:rPr>
          <w:t>ext alternative version</w:t>
        </w:r>
      </w:hyperlink>
      <w:r w:rsidR="00C44689" w:rsidRPr="00C44689">
        <w:rPr>
          <w:color w:val="00B050"/>
          <w:sz w:val="36"/>
          <w:szCs w:val="36"/>
        </w:rPr>
        <w:tab/>
      </w:r>
      <w:r w:rsidR="00F31CFD">
        <w:rPr>
          <w:color w:val="00B050"/>
          <w:sz w:val="36"/>
          <w:szCs w:val="36"/>
        </w:rPr>
        <w:fldChar w:fldCharType="begin"/>
      </w:r>
      <w:r w:rsidR="00F31CFD">
        <w:rPr>
          <w:color w:val="00B050"/>
          <w:sz w:val="36"/>
          <w:szCs w:val="36"/>
        </w:rPr>
        <w:instrText xml:space="preserve"> PAGEREF Appendix1 \h </w:instrText>
      </w:r>
      <w:r w:rsidR="00F31CFD">
        <w:rPr>
          <w:color w:val="00B050"/>
          <w:sz w:val="36"/>
          <w:szCs w:val="36"/>
        </w:rPr>
      </w:r>
      <w:r w:rsidR="00F31CFD">
        <w:rPr>
          <w:color w:val="00B050"/>
          <w:sz w:val="36"/>
          <w:szCs w:val="36"/>
        </w:rPr>
        <w:fldChar w:fldCharType="separate"/>
      </w:r>
      <w:r w:rsidR="00E36674">
        <w:rPr>
          <w:noProof/>
          <w:color w:val="00B050"/>
          <w:sz w:val="36"/>
          <w:szCs w:val="36"/>
        </w:rPr>
        <w:t>136</w:t>
      </w:r>
      <w:r w:rsidR="00F31CFD">
        <w:rPr>
          <w:color w:val="00B050"/>
          <w:sz w:val="36"/>
          <w:szCs w:val="36"/>
        </w:rPr>
        <w:fldChar w:fldCharType="end"/>
      </w:r>
    </w:p>
    <w:p w14:paraId="6BA2823C" w14:textId="77777777" w:rsidR="00CE5E04" w:rsidRDefault="00CE5E04">
      <w:pPr>
        <w:spacing w:line="276" w:lineRule="auto"/>
      </w:pPr>
      <w:bookmarkStart w:id="3" w:name="start"/>
      <w:r>
        <w:br w:type="page"/>
      </w:r>
    </w:p>
    <w:bookmarkStart w:id="4" w:name="_Introduction_1"/>
    <w:bookmarkStart w:id="5" w:name="_Ref336353944"/>
    <w:bookmarkEnd w:id="4"/>
    <w:p w14:paraId="546B2471" w14:textId="77777777" w:rsidR="00CE5E04" w:rsidRDefault="00CE5E04" w:rsidP="00CE5E04">
      <w:pPr>
        <w:pStyle w:val="Heading1"/>
        <w:pageBreakBefore w:val="0"/>
        <w:tabs>
          <w:tab w:val="right" w:pos="9014"/>
        </w:tabs>
        <w:spacing w:after="1680"/>
      </w:pPr>
      <w:r>
        <w:rPr>
          <w:noProof/>
          <w:lang w:eastAsia="en-NZ"/>
        </w:rPr>
        <mc:AlternateContent>
          <mc:Choice Requires="wps">
            <w:drawing>
              <wp:anchor distT="0" distB="0" distL="114300" distR="114300" simplePos="0" relativeHeight="251672576" behindDoc="0" locked="0" layoutInCell="1" allowOverlap="1" wp14:anchorId="4963C1B0" wp14:editId="130A6671">
                <wp:simplePos x="0" y="0"/>
                <wp:positionH relativeFrom="page">
                  <wp:posOffset>5596255</wp:posOffset>
                </wp:positionH>
                <wp:positionV relativeFrom="page">
                  <wp:posOffset>852971</wp:posOffset>
                </wp:positionV>
                <wp:extent cx="1189990" cy="3059430"/>
                <wp:effectExtent l="0" t="0" r="0" b="0"/>
                <wp:wrapNone/>
                <wp:docPr id="18" name="Text Box 5" title="Illustrative element - numb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05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60189" w14:textId="77777777" w:rsidR="0099164B" w:rsidRPr="00C95275" w:rsidRDefault="0099164B" w:rsidP="00CE5E04">
                            <w:pPr>
                              <w:spacing w:after="0"/>
                              <w:jc w:val="right"/>
                              <w:rPr>
                                <w:rFonts w:ascii="Lucida Sans" w:hAnsi="Lucida Sans" w:cs="Lucida Sans"/>
                                <w:color w:val="2BB673"/>
                                <w:sz w:val="280"/>
                                <w:szCs w:val="280"/>
                              </w:rPr>
                            </w:pPr>
                            <w:r>
                              <w:rPr>
                                <w:rFonts w:ascii="Lucida Sans" w:hAnsi="Lucida Sans" w:cs="Lucida Sans"/>
                                <w:color w:val="2BB673"/>
                                <w:sz w:val="280"/>
                                <w:szCs w:val="280"/>
                              </w:rPr>
                              <w:t>1</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4963C1B0" id="_x0000_t202" coordsize="21600,21600" o:spt="202" path="m,l,21600r21600,l21600,xe">
                <v:stroke joinstyle="miter"/>
                <v:path gradientshapeok="t" o:connecttype="rect"/>
              </v:shapetype>
              <v:shape id="Text Box 5" o:spid="_x0000_s1026" type="#_x0000_t202" alt="Title: Illustrative element - number '1'" style="position:absolute;margin-left:440.65pt;margin-top:67.15pt;width:93.7pt;height:240.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" filled="f" stroked="f">
                <v:textbox>
                  <w:txbxContent>
                    <w:p w14:paraId="63C60189" w14:textId="77777777" w:rsidR="0099164B" w:rsidRPr="00C95275" w:rsidRDefault="0099164B" w:rsidP="00CE5E04">
                      <w:pPr>
                        <w:spacing w:after="0"/>
                        <w:jc w:val="right"/>
                        <w:rPr>
                          <w:rFonts w:ascii="Lucida Sans" w:hAnsi="Lucida Sans" w:cs="Lucida Sans"/>
                          <w:color w:val="2BB673"/>
                          <w:sz w:val="280"/>
                          <w:szCs w:val="280"/>
                        </w:rPr>
                      </w:pPr>
                      <w:r>
                        <w:rPr>
                          <w:rFonts w:ascii="Lucida Sans" w:hAnsi="Lucida Sans" w:cs="Lucida Sans"/>
                          <w:color w:val="2BB673"/>
                          <w:sz w:val="280"/>
                          <w:szCs w:val="280"/>
                        </w:rPr>
                        <w:t>1</w:t>
                      </w:r>
                    </w:p>
                  </w:txbxContent>
                </v:textbox>
                <w10:wrap anchorx="page" anchory="page"/>
              </v:shape>
            </w:pict>
          </mc:Fallback>
        </mc:AlternateContent>
      </w:r>
      <w:r>
        <w:t>Introduction</w:t>
      </w:r>
      <w:bookmarkEnd w:id="5"/>
    </w:p>
    <w:p w14:paraId="2D61EB94" w14:textId="77777777" w:rsidR="00CE5E04" w:rsidRDefault="00CE5E04" w:rsidP="00CE5E04">
      <w:pPr>
        <w:pStyle w:val="TOCChaptercontents"/>
      </w:pPr>
      <w:r>
        <w:tab/>
      </w:r>
    </w:p>
    <w:p w14:paraId="740213CB" w14:textId="1E9A02B2" w:rsidR="00CE5E04" w:rsidRDefault="00CE5E04" w:rsidP="00CE5E04">
      <w:pPr>
        <w:spacing w:line="276" w:lineRule="auto"/>
      </w:pPr>
      <w:r>
        <w:br w:type="page"/>
      </w:r>
    </w:p>
    <w:p w14:paraId="0EBE452A" w14:textId="77777777" w:rsidR="00CE5E04" w:rsidRDefault="00CE5E04" w:rsidP="007276E2">
      <w:pPr>
        <w:pStyle w:val="Heading2"/>
      </w:pPr>
      <w:bookmarkStart w:id="6" w:name="_Introduction"/>
      <w:bookmarkStart w:id="7" w:name="_Ref54686855"/>
      <w:bookmarkEnd w:id="6"/>
      <w:r w:rsidRPr="00E82D5E">
        <w:t>Introduction</w:t>
      </w:r>
      <w:bookmarkEnd w:id="7"/>
    </w:p>
    <w:p w14:paraId="34701DD2" w14:textId="77777777" w:rsidR="00CE5E04" w:rsidRDefault="00CE5E04" w:rsidP="00FE4814">
      <w:pPr>
        <w:pStyle w:val="Heading1line"/>
        <w:pBdr>
          <w:bottom w:val="none" w:sz="0" w:space="0" w:color="auto"/>
        </w:pBdr>
        <w:spacing w:before="0"/>
      </w:pPr>
    </w:p>
    <w:p w14:paraId="4C34D8A8" w14:textId="77777777" w:rsidR="00CE5E04" w:rsidRDefault="00CD301E" w:rsidP="007460AC">
      <w:pPr>
        <w:pStyle w:val="BodyText"/>
        <w:spacing w:after="2400"/>
      </w:pPr>
      <w:r>
        <w:rPr>
          <w:noProof/>
          <w:lang w:eastAsia="en-NZ"/>
        </w:rPr>
        <w:drawing>
          <wp:anchor distT="0" distB="0" distL="114300" distR="114300" simplePos="0" relativeHeight="251682816" behindDoc="0" locked="0" layoutInCell="1" allowOverlap="1" wp14:anchorId="1108A6F0" wp14:editId="4352BDE9">
            <wp:simplePos x="0" y="0"/>
            <wp:positionH relativeFrom="column">
              <wp:posOffset>-42958</wp:posOffset>
            </wp:positionH>
            <wp:positionV relativeFrom="paragraph">
              <wp:posOffset>127635</wp:posOffset>
            </wp:positionV>
            <wp:extent cx="1562735" cy="1190625"/>
            <wp:effectExtent l="0" t="0" r="0" b="9525"/>
            <wp:wrapSquare wrapText="bothSides"/>
            <wp:docPr id="1" name="Picture 1" title="Portrait of Peter Boshier, Chief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725742" name="Picture 1" descr="http://www.ombudsman.parliament.nz/ckeditor_assets/pictures/409/content_92150_05small.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62735" cy="1190625"/>
                    </a:xfrm>
                    <a:prstGeom prst="rect">
                      <a:avLst/>
                    </a:prstGeom>
                    <a:noFill/>
                    <a:ln w="9525">
                      <a:noFill/>
                      <a:miter lim="800000"/>
                      <a:headEnd/>
                      <a:tailEnd/>
                    </a:ln>
                  </pic:spPr>
                </pic:pic>
              </a:graphicData>
            </a:graphic>
            <wp14:sizeRelH relativeFrom="margin">
              <wp14:pctWidth>0</wp14:pctWidth>
            </wp14:sizeRelH>
          </wp:anchor>
        </w:drawing>
      </w:r>
    </w:p>
    <w:p w14:paraId="226876EE" w14:textId="77777777" w:rsidR="00CE5E04" w:rsidRPr="004A0FF6" w:rsidRDefault="00CE5E04" w:rsidP="00CE5E04">
      <w:pPr>
        <w:pStyle w:val="BodyText"/>
        <w:spacing w:after="0"/>
        <w:rPr>
          <w:rStyle w:val="Emphasis"/>
        </w:rPr>
      </w:pPr>
      <w:r w:rsidRPr="004A0FF6">
        <w:rPr>
          <w:rStyle w:val="Emphasis"/>
        </w:rPr>
        <w:t>Peter Boshier</w:t>
      </w:r>
    </w:p>
    <w:p w14:paraId="1CA75065" w14:textId="77777777" w:rsidR="00CE5E04" w:rsidRDefault="00CE5E04" w:rsidP="00CE5E04">
      <w:pPr>
        <w:pStyle w:val="BodyText"/>
        <w:spacing w:after="0"/>
      </w:pPr>
      <w:r>
        <w:t>Chief Ombudsman</w:t>
      </w:r>
    </w:p>
    <w:p w14:paraId="59C3F48D" w14:textId="77777777" w:rsidR="00CE5E04" w:rsidRDefault="00CE5E04" w:rsidP="00CE5E04">
      <w:pPr>
        <w:pStyle w:val="Heading1line"/>
        <w:spacing w:before="0"/>
      </w:pPr>
    </w:p>
    <w:p w14:paraId="67C75EC5" w14:textId="77777777" w:rsidR="005F2FA1" w:rsidRPr="0095126D" w:rsidRDefault="005F2FA1" w:rsidP="005F2FA1">
      <w:pPr>
        <w:pStyle w:val="BodyText"/>
      </w:pPr>
      <w:r w:rsidRPr="0095126D">
        <w:t>COVID-19.</w:t>
      </w:r>
    </w:p>
    <w:p w14:paraId="15A00962" w14:textId="5B5679DD" w:rsidR="005F2FA1" w:rsidRPr="0095126D" w:rsidRDefault="005F2FA1" w:rsidP="007A0FDE">
      <w:pPr>
        <w:pStyle w:val="BodyText"/>
      </w:pPr>
      <w:r w:rsidRPr="0095126D">
        <w:t>The pandemic which swept the world in 2020 is undoubtedly the defining event of the past year.</w:t>
      </w:r>
      <w:r w:rsidR="007A0FDE">
        <w:t xml:space="preserve"> I</w:t>
      </w:r>
      <w:r w:rsidRPr="0095126D">
        <w:t xml:space="preserve">t </w:t>
      </w:r>
      <w:r w:rsidR="007A0FDE">
        <w:t xml:space="preserve">has </w:t>
      </w:r>
      <w:r>
        <w:t xml:space="preserve">further </w:t>
      </w:r>
      <w:r w:rsidRPr="0095126D">
        <w:t xml:space="preserve">defined </w:t>
      </w:r>
      <w:r>
        <w:t>the role of</w:t>
      </w:r>
      <w:r w:rsidRPr="0095126D">
        <w:t xml:space="preserve"> Ombudsman.</w:t>
      </w:r>
    </w:p>
    <w:p w14:paraId="3794A3BB" w14:textId="77777777" w:rsidR="005F2FA1" w:rsidRDefault="005F2FA1" w:rsidP="005F2FA1">
      <w:pPr>
        <w:pStyle w:val="BodyText"/>
      </w:pPr>
      <w:r w:rsidRPr="0095126D">
        <w:t xml:space="preserve">Transparency, </w:t>
      </w:r>
      <w:r>
        <w:t xml:space="preserve">accountability, </w:t>
      </w:r>
      <w:r w:rsidRPr="0095126D">
        <w:t xml:space="preserve">openness, and fairness are never more important than in a time of crisis. </w:t>
      </w:r>
      <w:r w:rsidRPr="00DD1175">
        <w:t>Providing confidence that people are being treated fairly, and holding government to account, helps to engender the public trust that is so crucial to us working together as a nation to combat COVID-19. I therefore did not resile from the need to provide independent oversight and report to Parliament on the impact of the extraordina</w:t>
      </w:r>
      <w:r>
        <w:t>ry measures being put in place.</w:t>
      </w:r>
    </w:p>
    <w:p w14:paraId="5C5A2070" w14:textId="77777777" w:rsidR="005F2FA1" w:rsidRPr="0095126D" w:rsidRDefault="005F2FA1" w:rsidP="005F2FA1">
      <w:pPr>
        <w:pStyle w:val="BodyText"/>
      </w:pPr>
      <w:r w:rsidRPr="0095126D">
        <w:t xml:space="preserve">That </w:t>
      </w:r>
      <w:r>
        <w:t>I</w:t>
      </w:r>
      <w:r w:rsidRPr="0095126D">
        <w:t xml:space="preserve"> was able to continue to operate </w:t>
      </w:r>
      <w:r>
        <w:t>seamlessly for the most part</w:t>
      </w:r>
      <w:r w:rsidRPr="0095126D">
        <w:t xml:space="preserve"> during this period is an immense credit to my </w:t>
      </w:r>
      <w:r>
        <w:t>staff</w:t>
      </w:r>
      <w:r w:rsidRPr="0095126D">
        <w:t xml:space="preserve">. Their professionalism, dedication, and hard work through the whole </w:t>
      </w:r>
      <w:r>
        <w:t xml:space="preserve">reporting </w:t>
      </w:r>
      <w:r w:rsidRPr="0095126D">
        <w:t>year, but particularly the last few months, make me hugely proud to lead such a professional group of people. My sincere thanks to them all.</w:t>
      </w:r>
    </w:p>
    <w:p w14:paraId="089B4AEC" w14:textId="77777777" w:rsidR="005F2FA1" w:rsidRDefault="005F2FA1" w:rsidP="005F2FA1">
      <w:pPr>
        <w:pStyle w:val="BodyText"/>
        <w:rPr>
          <w:shd w:val="clear" w:color="auto" w:fill="FFFFFF"/>
        </w:rPr>
      </w:pPr>
      <w:r>
        <w:t>The Government’s response to the pandemic</w:t>
      </w:r>
      <w:r w:rsidRPr="0095126D">
        <w:t xml:space="preserve"> require</w:t>
      </w:r>
      <w:r>
        <w:t>d</w:t>
      </w:r>
      <w:r w:rsidRPr="0095126D">
        <w:t xml:space="preserve"> me to quickly change my focus </w:t>
      </w:r>
      <w:r>
        <w:t>in some areas</w:t>
      </w:r>
      <w:r w:rsidRPr="0095126D">
        <w:t xml:space="preserve">. </w:t>
      </w:r>
      <w:r>
        <w:t xml:space="preserve">It rightly confirmed my oversight role as an essential service, and within </w:t>
      </w:r>
      <w:r w:rsidRPr="0095126D">
        <w:t xml:space="preserve">three weeks into the Level 4 lockdown, I announced my intention to </w:t>
      </w:r>
      <w:r>
        <w:t xml:space="preserve">commence COVID-19 focused </w:t>
      </w:r>
      <w:r w:rsidRPr="0095126D">
        <w:t>inspect</w:t>
      </w:r>
      <w:r>
        <w:t>ions of</w:t>
      </w:r>
      <w:r w:rsidRPr="0095126D">
        <w:t xml:space="preserve"> </w:t>
      </w:r>
      <w:r>
        <w:t>private sector</w:t>
      </w:r>
      <w:r w:rsidRPr="0095126D">
        <w:t xml:space="preserve"> aged care facilities. I also changed my </w:t>
      </w:r>
      <w:r>
        <w:t xml:space="preserve">inspections </w:t>
      </w:r>
      <w:r w:rsidRPr="0095126D">
        <w:t xml:space="preserve">programme for prisons </w:t>
      </w:r>
      <w:r>
        <w:t xml:space="preserve">and mental health facilities </w:t>
      </w:r>
      <w:r w:rsidRPr="0095126D">
        <w:t xml:space="preserve">to have a focus on the new reality of the pandemic, and I began </w:t>
      </w:r>
      <w:r>
        <w:t xml:space="preserve">planning </w:t>
      </w:r>
      <w:r w:rsidRPr="0095126D">
        <w:rPr>
          <w:shd w:val="clear" w:color="auto" w:fill="FFFFFF"/>
        </w:rPr>
        <w:t xml:space="preserve">inspections of </w:t>
      </w:r>
      <w:r>
        <w:rPr>
          <w:shd w:val="clear" w:color="auto" w:fill="FFFFFF"/>
        </w:rPr>
        <w:t>the managed</w:t>
      </w:r>
      <w:r w:rsidRPr="0095126D">
        <w:rPr>
          <w:shd w:val="clear" w:color="auto" w:fill="FFFFFF"/>
        </w:rPr>
        <w:t xml:space="preserve"> isolation and quarantine facilities for people arriving from overseas.</w:t>
      </w:r>
      <w:r>
        <w:rPr>
          <w:shd w:val="clear" w:color="auto" w:fill="FFFFFF"/>
        </w:rPr>
        <w:t xml:space="preserve"> </w:t>
      </w:r>
    </w:p>
    <w:p w14:paraId="4895F83B" w14:textId="7A21E83C" w:rsidR="005F2FA1" w:rsidRDefault="005F2FA1" w:rsidP="005F2FA1">
      <w:pPr>
        <w:pStyle w:val="BodyText"/>
        <w:rPr>
          <w:rFonts w:eastAsia="Times New Roman"/>
          <w:lang w:eastAsia="en-NZ"/>
        </w:rPr>
      </w:pPr>
      <w:r>
        <w:rPr>
          <w:shd w:val="clear" w:color="auto" w:fill="FFFFFF"/>
        </w:rPr>
        <w:t>M</w:t>
      </w:r>
      <w:r w:rsidRPr="0095126D">
        <w:rPr>
          <w:shd w:val="clear" w:color="auto" w:fill="FFFFFF"/>
        </w:rPr>
        <w:t xml:space="preserve">y inspections of mental health facilities </w:t>
      </w:r>
      <w:r>
        <w:rPr>
          <w:shd w:val="clear" w:color="auto" w:fill="FFFFFF"/>
        </w:rPr>
        <w:t>found</w:t>
      </w:r>
      <w:r w:rsidRPr="0095126D">
        <w:rPr>
          <w:shd w:val="clear" w:color="auto" w:fill="FFFFFF"/>
        </w:rPr>
        <w:t xml:space="preserve"> a good balance is possible between protecting people and preserving human rights.</w:t>
      </w:r>
      <w:r>
        <w:rPr>
          <w:shd w:val="clear" w:color="auto" w:fill="FFFFFF"/>
        </w:rPr>
        <w:t xml:space="preserve"> I found that </w:t>
      </w:r>
      <w:r w:rsidRPr="0095126D">
        <w:rPr>
          <w:shd w:val="clear" w:color="auto" w:fill="FFFFFF"/>
        </w:rPr>
        <w:t>while prisons were</w:t>
      </w:r>
      <w:r w:rsidRPr="0095126D">
        <w:rPr>
          <w:rFonts w:eastAsia="Times New Roman"/>
          <w:lang w:eastAsia="en-NZ"/>
        </w:rPr>
        <w:t xml:space="preserve"> taking positive steps to keep coronavirus out and had responded to the pandemic in a balanced and efficient manner, this had, in some instances, come at the expense of some prisoners’ rights.</w:t>
      </w:r>
      <w:r>
        <w:rPr>
          <w:rFonts w:eastAsia="Times New Roman"/>
          <w:lang w:eastAsia="en-NZ"/>
        </w:rPr>
        <w:t xml:space="preserve"> I also identified good practices, but some improvements were needed in aged care facilities, particularly in relation to </w:t>
      </w:r>
      <w:r w:rsidR="00F6162A">
        <w:rPr>
          <w:rFonts w:eastAsia="Times New Roman"/>
          <w:lang w:eastAsia="en-NZ"/>
        </w:rPr>
        <w:t xml:space="preserve">the definition of </w:t>
      </w:r>
      <w:r>
        <w:rPr>
          <w:rFonts w:eastAsia="Times New Roman"/>
          <w:lang w:eastAsia="en-NZ"/>
        </w:rPr>
        <w:t>‘bubble’ and complaint handling practices.</w:t>
      </w:r>
    </w:p>
    <w:p w14:paraId="3C60C7A0" w14:textId="77777777" w:rsidR="005F2FA1" w:rsidRPr="0095126D" w:rsidRDefault="005F2FA1" w:rsidP="005F2FA1">
      <w:pPr>
        <w:pStyle w:val="BodyText"/>
        <w:rPr>
          <w:rFonts w:eastAsia="Times New Roman"/>
          <w:lang w:eastAsia="en-NZ"/>
        </w:rPr>
      </w:pPr>
      <w:r>
        <w:rPr>
          <w:rFonts w:eastAsia="Times New Roman"/>
          <w:lang w:eastAsia="en-NZ"/>
        </w:rPr>
        <w:t xml:space="preserve">I dealt with a large number of complaints and enquiries raising new issues as a result of COVID-19, including concerns about the handling of applications for border entry exceptions and exemptions from managed isolation and quarantine. </w:t>
      </w:r>
      <w:r w:rsidRPr="00C5135B">
        <w:rPr>
          <w:rFonts w:eastAsia="Times New Roman"/>
          <w:lang w:eastAsia="en-NZ"/>
        </w:rPr>
        <w:t xml:space="preserve">I also published guidance on dealing with official information requests during lockdown, and liaised with various government agencies in an effort to ensure effective administrative practices were </w:t>
      </w:r>
      <w:r>
        <w:rPr>
          <w:rFonts w:eastAsia="Times New Roman"/>
          <w:lang w:eastAsia="en-NZ"/>
        </w:rPr>
        <w:t xml:space="preserve">being </w:t>
      </w:r>
      <w:r w:rsidRPr="00C5135B">
        <w:rPr>
          <w:rFonts w:eastAsia="Times New Roman"/>
          <w:lang w:eastAsia="en-NZ"/>
        </w:rPr>
        <w:t xml:space="preserve">put in place as new policies and processes were developed </w:t>
      </w:r>
      <w:r>
        <w:rPr>
          <w:rFonts w:eastAsia="Times New Roman"/>
          <w:lang w:eastAsia="en-NZ"/>
        </w:rPr>
        <w:t xml:space="preserve">rapidly as part of the Government’s response and management of </w:t>
      </w:r>
      <w:r w:rsidRPr="00C5135B">
        <w:rPr>
          <w:rFonts w:eastAsia="Times New Roman"/>
          <w:lang w:eastAsia="en-NZ"/>
        </w:rPr>
        <w:t>COVID-19.</w:t>
      </w:r>
      <w:r>
        <w:rPr>
          <w:rFonts w:eastAsia="Times New Roman"/>
          <w:lang w:eastAsia="en-NZ"/>
        </w:rPr>
        <w:t xml:space="preserve">   </w:t>
      </w:r>
    </w:p>
    <w:p w14:paraId="67D716F2" w14:textId="77777777" w:rsidR="005F2FA1" w:rsidRDefault="005F2FA1" w:rsidP="005F2FA1">
      <w:pPr>
        <w:pStyle w:val="BodyText"/>
        <w:rPr>
          <w:shd w:val="clear" w:color="auto" w:fill="FFFFFF"/>
        </w:rPr>
      </w:pPr>
      <w:r w:rsidRPr="0095126D">
        <w:rPr>
          <w:shd w:val="clear" w:color="auto" w:fill="FFFFFF"/>
        </w:rPr>
        <w:t xml:space="preserve">A milestone report </w:t>
      </w:r>
      <w:r>
        <w:rPr>
          <w:shd w:val="clear" w:color="auto" w:fill="FFFFFF"/>
        </w:rPr>
        <w:t xml:space="preserve">I published with my partners monitoring the Disability Convention, </w:t>
      </w:r>
      <w:r w:rsidRPr="0095126D">
        <w:rPr>
          <w:i/>
          <w:shd w:val="clear" w:color="auto" w:fill="FFFFFF"/>
        </w:rPr>
        <w:t>Making Disability Rights Real, Whakatūturu Ngā Tika Hauātanga</w:t>
      </w:r>
      <w:r w:rsidRPr="0095126D">
        <w:rPr>
          <w:shd w:val="clear" w:color="auto" w:fill="FFFFFF"/>
        </w:rPr>
        <w:t xml:space="preserve"> highlighted the need for decisive government action, including stronger laws, to protect the rights of disabled people.</w:t>
      </w:r>
    </w:p>
    <w:p w14:paraId="4198293E" w14:textId="77777777" w:rsidR="005F2FA1" w:rsidRDefault="005F2FA1" w:rsidP="005F2FA1">
      <w:pPr>
        <w:pStyle w:val="BodyText"/>
        <w:rPr>
          <w:shd w:val="clear" w:color="auto" w:fill="FFFFFF"/>
        </w:rPr>
      </w:pPr>
      <w:r w:rsidRPr="0095126D">
        <w:rPr>
          <w:shd w:val="clear" w:color="auto" w:fill="FFFFFF"/>
        </w:rPr>
        <w:t xml:space="preserve">It noted that disabled people remain far from enjoying the full range of human rights and fundamental freedoms included in the </w:t>
      </w:r>
      <w:r w:rsidRPr="00943733">
        <w:t>Disability Convention</w:t>
      </w:r>
      <w:r w:rsidRPr="0095126D">
        <w:rPr>
          <w:shd w:val="clear" w:color="auto" w:fill="FFFFFF"/>
        </w:rPr>
        <w:t>, and that eliminating these huge disparities requires a quantum leap.</w:t>
      </w:r>
    </w:p>
    <w:p w14:paraId="0572F583" w14:textId="77777777" w:rsidR="005F2FA1" w:rsidRPr="0095126D" w:rsidRDefault="005F2FA1" w:rsidP="005F2FA1">
      <w:pPr>
        <w:pStyle w:val="BodyText"/>
      </w:pPr>
      <w:r>
        <w:t>I</w:t>
      </w:r>
      <w:r w:rsidRPr="0095126D">
        <w:t xml:space="preserve"> also </w:t>
      </w:r>
      <w:r>
        <w:t xml:space="preserve">commenced work with my monitoring partners, the Human Rights Commission and the Disabled People’s Organisations, </w:t>
      </w:r>
      <w:r w:rsidRPr="0095126D">
        <w:t xml:space="preserve">on </w:t>
      </w:r>
      <w:r>
        <w:t xml:space="preserve">a report on </w:t>
      </w:r>
      <w:r w:rsidRPr="0095126D">
        <w:t>the experiences of disabled people during COVID</w:t>
      </w:r>
      <w:r>
        <w:t>-19</w:t>
      </w:r>
      <w:r w:rsidRPr="0095126D">
        <w:t>.</w:t>
      </w:r>
    </w:p>
    <w:p w14:paraId="264148BB" w14:textId="77777777" w:rsidR="005F2FA1" w:rsidRPr="0095126D" w:rsidRDefault="005F2FA1" w:rsidP="005F2FA1">
      <w:pPr>
        <w:pStyle w:val="BodyText"/>
      </w:pPr>
      <w:r w:rsidRPr="0095126D">
        <w:t xml:space="preserve">It would be easy to focus solely on the </w:t>
      </w:r>
      <w:r>
        <w:t xml:space="preserve">second half of the reporting year and the impact of the </w:t>
      </w:r>
      <w:r w:rsidRPr="0095126D">
        <w:t xml:space="preserve">pandemic, but in reality, </w:t>
      </w:r>
      <w:r>
        <w:t>I</w:t>
      </w:r>
      <w:r w:rsidRPr="0095126D">
        <w:t xml:space="preserve"> had a very successful 12 months across many existing and new mandates.</w:t>
      </w:r>
      <w:r>
        <w:t xml:space="preserve"> I met almost all my key performance measures across all work areas, with some exceptions mainly where I needed to re-prioritise work in response to COVID-19</w:t>
      </w:r>
      <w:r w:rsidRPr="0095126D">
        <w:t>.</w:t>
      </w:r>
    </w:p>
    <w:p w14:paraId="318FF2DE" w14:textId="37B9E15F" w:rsidR="005F2FA1" w:rsidRDefault="005F2FA1" w:rsidP="005F2FA1">
      <w:pPr>
        <w:pStyle w:val="BodyText"/>
      </w:pPr>
      <w:r w:rsidRPr="0095126D">
        <w:t xml:space="preserve">I mentioned in last year’s report that a top priority was to improve </w:t>
      </w:r>
      <w:r>
        <w:t>my</w:t>
      </w:r>
      <w:r w:rsidRPr="0095126D">
        <w:t xml:space="preserve"> relationship with tangata whenua. Significant progress has been made in this area. I established Pūhara Mana Tangata, an advisory panel made up of senior and rangatahi leaders from throughout </w:t>
      </w:r>
      <w:r w:rsidR="004D35F3">
        <w:t>t</w:t>
      </w:r>
      <w:r w:rsidR="004D35F3" w:rsidRPr="0095126D">
        <w:t xml:space="preserve">e </w:t>
      </w:r>
      <w:r w:rsidR="004D35F3">
        <w:t>a</w:t>
      </w:r>
      <w:r w:rsidR="004D35F3" w:rsidRPr="0095126D">
        <w:t xml:space="preserve">o </w:t>
      </w:r>
      <w:r w:rsidRPr="0095126D">
        <w:t xml:space="preserve">Māori, to guide me on my </w:t>
      </w:r>
      <w:r>
        <w:t>engagement</w:t>
      </w:r>
      <w:r w:rsidRPr="0095126D">
        <w:t xml:space="preserve"> with Māori. </w:t>
      </w:r>
    </w:p>
    <w:p w14:paraId="7A650CAE" w14:textId="77777777" w:rsidR="005F2FA1" w:rsidRPr="0095126D" w:rsidRDefault="005F2FA1" w:rsidP="005F2FA1">
      <w:pPr>
        <w:pStyle w:val="BodyText"/>
      </w:pPr>
      <w:r w:rsidRPr="0095126D">
        <w:t xml:space="preserve">But that guidance needs to be translated into action, and it was my pleasure during the year to attend </w:t>
      </w:r>
      <w:r>
        <w:t>several</w:t>
      </w:r>
      <w:r w:rsidRPr="0095126D">
        <w:t xml:space="preserve"> regional hui about strengthening oversight of the </w:t>
      </w:r>
      <w:r>
        <w:t>children in care</w:t>
      </w:r>
      <w:r w:rsidRPr="0095126D">
        <w:t xml:space="preserve"> system, alongside the Independent Children’s Monitor and the Children’s Commissioner. These hui were vital for me as I begin to prepare for my </w:t>
      </w:r>
      <w:r>
        <w:t xml:space="preserve">enhanced </w:t>
      </w:r>
      <w:r w:rsidRPr="0095126D">
        <w:t xml:space="preserve">oversight role </w:t>
      </w:r>
      <w:r>
        <w:t>in this area</w:t>
      </w:r>
      <w:r w:rsidRPr="0095126D">
        <w:t>.</w:t>
      </w:r>
      <w:r>
        <w:t xml:space="preserve"> </w:t>
      </w:r>
      <w:r w:rsidRPr="0095126D">
        <w:t xml:space="preserve">Further afield, I </w:t>
      </w:r>
      <w:r>
        <w:t xml:space="preserve">also </w:t>
      </w:r>
      <w:r w:rsidRPr="0095126D">
        <w:t>met with several iwi across the country.</w:t>
      </w:r>
    </w:p>
    <w:p w14:paraId="11A46DD8" w14:textId="77777777" w:rsidR="005F2FA1" w:rsidRPr="0095126D" w:rsidRDefault="005F2FA1" w:rsidP="005F2FA1">
      <w:pPr>
        <w:pStyle w:val="BodyText"/>
      </w:pPr>
      <w:r w:rsidRPr="0095126D">
        <w:t xml:space="preserve">Integral to </w:t>
      </w:r>
      <w:r>
        <w:t xml:space="preserve">ongoing </w:t>
      </w:r>
      <w:r w:rsidRPr="0095126D">
        <w:t xml:space="preserve">development has been </w:t>
      </w:r>
      <w:r>
        <w:t xml:space="preserve">my </w:t>
      </w:r>
      <w:r w:rsidRPr="0095126D">
        <w:t xml:space="preserve">international </w:t>
      </w:r>
      <w:r>
        <w:t>development and engagement</w:t>
      </w:r>
      <w:r w:rsidRPr="0095126D">
        <w:t xml:space="preserve"> programme. My </w:t>
      </w:r>
      <w:r>
        <w:t xml:space="preserve">former colleagues have </w:t>
      </w:r>
      <w:r w:rsidRPr="0095126D">
        <w:t xml:space="preserve">a long history of supporting the development of international Ombudsman institutions, and in the past year this work has ramped up significantly. Indeed one of the benefits of the </w:t>
      </w:r>
      <w:r>
        <w:t>pandemic</w:t>
      </w:r>
      <w:r w:rsidRPr="0095126D">
        <w:t xml:space="preserve"> has been the necessity to use technologies in different ways when face-to-face interaction is impossible.</w:t>
      </w:r>
    </w:p>
    <w:p w14:paraId="6C16AA0B" w14:textId="77777777" w:rsidR="005F2FA1" w:rsidRPr="0095126D" w:rsidRDefault="005F2FA1" w:rsidP="005F2FA1">
      <w:pPr>
        <w:pStyle w:val="BodyText"/>
      </w:pPr>
      <w:r w:rsidRPr="0095126D">
        <w:t xml:space="preserve">Prior to lockdown, I hosted an investigator training workshop for Pacific Ombudsmen, as well as the inaugural Pacific Ombudsman Leadership Forum. In lockdown, I switched to electronic means to network with </w:t>
      </w:r>
      <w:r>
        <w:t>my</w:t>
      </w:r>
      <w:r w:rsidRPr="0095126D">
        <w:t xml:space="preserve"> Pacific peers</w:t>
      </w:r>
      <w:r>
        <w:t xml:space="preserve"> and colleagues around the world</w:t>
      </w:r>
      <w:r w:rsidRPr="0095126D">
        <w:t>, and I have held several virtual workshops since</w:t>
      </w:r>
      <w:r>
        <w:t xml:space="preserve"> attended by participants from a wide range of countries</w:t>
      </w:r>
      <w:r w:rsidRPr="0095126D">
        <w:t>.</w:t>
      </w:r>
    </w:p>
    <w:p w14:paraId="3C865923" w14:textId="77777777" w:rsidR="005F2FA1" w:rsidRPr="0095126D" w:rsidRDefault="005F2FA1" w:rsidP="005F2FA1">
      <w:pPr>
        <w:pStyle w:val="BodyText"/>
      </w:pPr>
      <w:r w:rsidRPr="0095126D">
        <w:t xml:space="preserve">Crucially, the public awareness of my </w:t>
      </w:r>
      <w:r>
        <w:t>role</w:t>
      </w:r>
      <w:r w:rsidRPr="0095126D">
        <w:t xml:space="preserve"> continues to </w:t>
      </w:r>
      <w:r>
        <w:t>grow</w:t>
      </w:r>
      <w:r w:rsidRPr="0095126D">
        <w:t>. Why is this important? Having integrity institutions is fundamental to human rights and transparency. But if the public are not aware of them or how they access them, their impact is diluted</w:t>
      </w:r>
      <w:r>
        <w:t xml:space="preserve"> and my ability to provide comprehensive oversight of the actions of those in power constrained</w:t>
      </w:r>
      <w:r w:rsidRPr="0095126D">
        <w:t>.</w:t>
      </w:r>
    </w:p>
    <w:p w14:paraId="09167859" w14:textId="77777777" w:rsidR="005F2FA1" w:rsidRPr="0095126D" w:rsidRDefault="005F2FA1" w:rsidP="005F2FA1">
      <w:pPr>
        <w:pStyle w:val="BodyText"/>
      </w:pPr>
      <w:r w:rsidRPr="0095126D">
        <w:t xml:space="preserve">The increasing </w:t>
      </w:r>
      <w:r>
        <w:t xml:space="preserve">public </w:t>
      </w:r>
      <w:r w:rsidRPr="0095126D">
        <w:t xml:space="preserve">awareness helps both communities and agencies, and makes </w:t>
      </w:r>
      <w:r>
        <w:t xml:space="preserve">fair decision making, respect for human rights, and </w:t>
      </w:r>
      <w:r w:rsidRPr="0095126D">
        <w:t xml:space="preserve">freedom of information an integral part of society rather than an add-on. </w:t>
      </w:r>
      <w:r>
        <w:t>Aotearoa</w:t>
      </w:r>
      <w:r w:rsidRPr="0095126D">
        <w:t xml:space="preserve"> should be rightfully pleased that our public sector </w:t>
      </w:r>
      <w:r>
        <w:t xml:space="preserve">integrity </w:t>
      </w:r>
      <w:r w:rsidRPr="0095126D">
        <w:t>sit</w:t>
      </w:r>
      <w:r>
        <w:t>s</w:t>
      </w:r>
      <w:r w:rsidRPr="0095126D">
        <w:t xml:space="preserve"> atop the Transparency International Corruption Perceptions Index alongside Denmark.</w:t>
      </w:r>
    </w:p>
    <w:p w14:paraId="3E139FA3" w14:textId="7107D72C" w:rsidR="005F2FA1" w:rsidRDefault="005F2FA1" w:rsidP="005F2FA1">
      <w:pPr>
        <w:pStyle w:val="BodyText"/>
      </w:pPr>
      <w:r w:rsidRPr="0095126D">
        <w:t xml:space="preserve">The </w:t>
      </w:r>
      <w:r>
        <w:t xml:space="preserve">impact </w:t>
      </w:r>
      <w:r w:rsidRPr="0095126D">
        <w:t>of COVID</w:t>
      </w:r>
      <w:r>
        <w:t>-19</w:t>
      </w:r>
      <w:r w:rsidRPr="0095126D">
        <w:t xml:space="preserve"> will be with us all for many years to come and will manifest </w:t>
      </w:r>
      <w:r w:rsidR="00F6162A">
        <w:t>itself</w:t>
      </w:r>
      <w:r w:rsidR="00F6162A" w:rsidRPr="0095126D">
        <w:t xml:space="preserve"> </w:t>
      </w:r>
      <w:r w:rsidRPr="0095126D">
        <w:t xml:space="preserve">in many different ways. What I am committed to is ensuring </w:t>
      </w:r>
      <w:r>
        <w:t xml:space="preserve">that all </w:t>
      </w:r>
      <w:r w:rsidRPr="0095126D">
        <w:t xml:space="preserve">work across the </w:t>
      </w:r>
      <w:r>
        <w:t xml:space="preserve">public </w:t>
      </w:r>
      <w:r w:rsidRPr="0095126D">
        <w:t>sector</w:t>
      </w:r>
      <w:r>
        <w:t xml:space="preserve"> and beyond is carried </w:t>
      </w:r>
      <w:r w:rsidR="00AD2026">
        <w:t xml:space="preserve">out </w:t>
      </w:r>
      <w:r w:rsidRPr="0095126D">
        <w:t>transparen</w:t>
      </w:r>
      <w:r>
        <w:t>tly</w:t>
      </w:r>
      <w:r w:rsidR="00AD2026">
        <w:t xml:space="preserve"> and</w:t>
      </w:r>
      <w:r>
        <w:t xml:space="preserve"> with accountability</w:t>
      </w:r>
      <w:r w:rsidR="00AD2026">
        <w:t>,</w:t>
      </w:r>
      <w:r>
        <w:t xml:space="preserve"> to ensure </w:t>
      </w:r>
      <w:r w:rsidRPr="0095126D">
        <w:t>fairness for all</w:t>
      </w:r>
      <w:r>
        <w:t xml:space="preserve"> is achieved</w:t>
      </w:r>
      <w:r w:rsidRPr="0095126D">
        <w:t>.</w:t>
      </w:r>
    </w:p>
    <w:p w14:paraId="1C3EA929" w14:textId="77777777" w:rsidR="003C6657" w:rsidRDefault="003C6657" w:rsidP="001D5E0F">
      <w:pPr>
        <w:pStyle w:val="BodyText"/>
      </w:pPr>
    </w:p>
    <w:p w14:paraId="37766EA5" w14:textId="327060CF" w:rsidR="001D5E0F" w:rsidRPr="007910FF" w:rsidRDefault="001D5E0F" w:rsidP="001D5E0F">
      <w:pPr>
        <w:pStyle w:val="BodyText"/>
        <w:rPr>
          <w:rFonts w:asciiTheme="minorHAnsi" w:hAnsiTheme="minorHAnsi"/>
          <w:color w:val="auto"/>
          <w:szCs w:val="24"/>
        </w:rPr>
      </w:pPr>
      <w:r>
        <w:rPr>
          <w:rFonts w:asciiTheme="minorHAnsi" w:hAnsiTheme="minorHAnsi"/>
          <w:color w:val="auto"/>
          <w:szCs w:val="24"/>
        </w:rPr>
        <w:t>Peter Boshier</w:t>
      </w:r>
      <w:r w:rsidR="005069CD">
        <w:rPr>
          <w:rFonts w:asciiTheme="minorHAnsi" w:hAnsiTheme="minorHAnsi"/>
          <w:color w:val="auto"/>
          <w:szCs w:val="24"/>
        </w:rPr>
        <w:br/>
      </w:r>
      <w:r>
        <w:rPr>
          <w:rFonts w:asciiTheme="minorHAnsi" w:hAnsiTheme="minorHAnsi"/>
          <w:color w:val="auto"/>
          <w:szCs w:val="24"/>
        </w:rPr>
        <w:t>Chief Ombudsman</w:t>
      </w:r>
    </w:p>
    <w:p w14:paraId="557F795F" w14:textId="2E6B793C" w:rsidR="00CE5E04" w:rsidRDefault="005B795D" w:rsidP="00CE5E04">
      <w:pPr>
        <w:pStyle w:val="BodyText"/>
      </w:pPr>
      <w:hyperlink w:anchor="Contents" w:history="1">
        <w:r w:rsidR="00CE5E04" w:rsidRPr="00F5248A">
          <w:rPr>
            <w:rStyle w:val="Hyperlink"/>
          </w:rPr>
          <w:t>Back to contents</w:t>
        </w:r>
      </w:hyperlink>
    </w:p>
    <w:p w14:paraId="16600BA7" w14:textId="77777777" w:rsidR="00CE5E04" w:rsidRDefault="00CE5E04">
      <w:pPr>
        <w:spacing w:line="276" w:lineRule="auto"/>
      </w:pPr>
      <w:r>
        <w:br w:type="page"/>
      </w:r>
    </w:p>
    <w:p w14:paraId="7DABCCD9" w14:textId="77777777" w:rsidR="00CE5E04" w:rsidRPr="00B36520" w:rsidRDefault="00CE5E04" w:rsidP="00CE5E04">
      <w:pPr>
        <w:pStyle w:val="HeadingPart"/>
      </w:pPr>
      <w:r>
        <w:rPr>
          <w:noProof/>
          <w:lang w:eastAsia="en-NZ"/>
        </w:rPr>
        <mc:AlternateContent>
          <mc:Choice Requires="wps">
            <w:drawing>
              <wp:anchor distT="0" distB="0" distL="114300" distR="114300" simplePos="0" relativeHeight="251658240" behindDoc="0" locked="0" layoutInCell="1" allowOverlap="1" wp14:anchorId="547EDFDD" wp14:editId="225F0C49">
                <wp:simplePos x="0" y="0"/>
                <wp:positionH relativeFrom="page">
                  <wp:posOffset>5578475</wp:posOffset>
                </wp:positionH>
                <wp:positionV relativeFrom="page">
                  <wp:posOffset>1412240</wp:posOffset>
                </wp:positionV>
                <wp:extent cx="1085215" cy="2177415"/>
                <wp:effectExtent l="0" t="2540" r="3810" b="1270"/>
                <wp:wrapNone/>
                <wp:docPr id="19" name="Text Box 2" title="Illustrative element - numb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2177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D64F2" w14:textId="77777777" w:rsidR="0099164B" w:rsidRPr="00C95275" w:rsidRDefault="0099164B" w:rsidP="00CE5E04">
                            <w:pPr>
                              <w:spacing w:after="0"/>
                              <w:jc w:val="right"/>
                              <w:rPr>
                                <w:rFonts w:ascii="Lucida Sans" w:hAnsi="Lucida Sans" w:cs="Lucida Sans"/>
                                <w:color w:val="2BB673"/>
                                <w:sz w:val="280"/>
                                <w:szCs w:val="280"/>
                              </w:rPr>
                            </w:pPr>
                            <w:r>
                              <w:rPr>
                                <w:rFonts w:ascii="Lucida Sans" w:hAnsi="Lucida Sans" w:cs="Lucida Sans"/>
                                <w:color w:val="2BB673"/>
                                <w:sz w:val="280"/>
                                <w:szCs w:val="280"/>
                              </w:rPr>
                              <w:t>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547EDFDD" id="Text Box 2" o:spid="_x0000_s1027" type="#_x0000_t202" alt="Title: Illustrative element - number '2'" style="position:absolute;margin-left:439.25pt;margin-top:111.2pt;width:85.45pt;height:17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" filled="f" stroked="f">
                <v:textbox>
                  <w:txbxContent>
                    <w:p w14:paraId="308D64F2" w14:textId="77777777" w:rsidR="0099164B" w:rsidRPr="00C95275" w:rsidRDefault="0099164B" w:rsidP="00CE5E04">
                      <w:pPr>
                        <w:spacing w:after="0"/>
                        <w:jc w:val="right"/>
                        <w:rPr>
                          <w:rFonts w:ascii="Lucida Sans" w:hAnsi="Lucida Sans" w:cs="Lucida Sans"/>
                          <w:color w:val="2BB673"/>
                          <w:sz w:val="280"/>
                          <w:szCs w:val="280"/>
                        </w:rPr>
                      </w:pPr>
                      <w:r>
                        <w:rPr>
                          <w:rFonts w:ascii="Lucida Sans" w:hAnsi="Lucida Sans" w:cs="Lucida Sans"/>
                          <w:color w:val="2BB673"/>
                          <w:sz w:val="280"/>
                          <w:szCs w:val="280"/>
                        </w:rPr>
                        <w:t>2</w:t>
                      </w:r>
                    </w:p>
                  </w:txbxContent>
                </v:textbox>
                <w10:wrap anchorx="page" anchory="page"/>
              </v:shape>
            </w:pict>
          </mc:Fallback>
        </mc:AlternateContent>
      </w:r>
    </w:p>
    <w:p w14:paraId="42DE901A" w14:textId="77777777" w:rsidR="00CE5E04" w:rsidRDefault="00CE5E04" w:rsidP="00CE5E04">
      <w:pPr>
        <w:pStyle w:val="Heading1"/>
        <w:pageBreakBefore w:val="0"/>
        <w:tabs>
          <w:tab w:val="right" w:pos="9014"/>
        </w:tabs>
        <w:spacing w:before="240" w:after="1680"/>
      </w:pPr>
      <w:bookmarkStart w:id="8" w:name="_2016/17_at_a"/>
      <w:bookmarkStart w:id="9" w:name="_Ref336348165"/>
      <w:bookmarkEnd w:id="8"/>
      <w:r>
        <w:t>20</w:t>
      </w:r>
      <w:r w:rsidR="00091AB6">
        <w:t>19/20</w:t>
      </w:r>
      <w:r w:rsidRPr="001E77AB">
        <w:t xml:space="preserve"> at a glance</w:t>
      </w:r>
      <w:bookmarkEnd w:id="9"/>
      <w:r>
        <w:tab/>
      </w:r>
    </w:p>
    <w:tbl>
      <w:tblPr>
        <w:tblStyle w:val="TableGridAnnualReport"/>
        <w:tblW w:w="9278" w:type="dxa"/>
        <w:tblInd w:w="10" w:type="dxa"/>
        <w:tblBorders>
          <w:left w:val="single" w:sz="8" w:space="0" w:color="FFFFFF" w:themeColor="background1"/>
          <w:bottom w:val="single" w:sz="8" w:space="0" w:color="auto"/>
          <w:right w:val="single" w:sz="8" w:space="0" w:color="FFFFFF" w:themeColor="background1"/>
          <w:insideH w:val="single" w:sz="8" w:space="0" w:color="auto"/>
          <w:insideV w:val="single" w:sz="8" w:space="0" w:color="FFFFFF" w:themeColor="background1"/>
        </w:tblBorders>
        <w:shd w:val="clear" w:color="000000" w:fill="auto"/>
        <w:tblLook w:val="04A0" w:firstRow="1" w:lastRow="0" w:firstColumn="1" w:lastColumn="0" w:noHBand="0" w:noVBand="1"/>
        <w:tblCaption w:val="Contents Section 2"/>
      </w:tblPr>
      <w:tblGrid>
        <w:gridCol w:w="8208"/>
        <w:gridCol w:w="1070"/>
      </w:tblGrid>
      <w:tr w:rsidR="009B64C4" w:rsidRPr="005107B4" w14:paraId="3DA804D8" w14:textId="77777777" w:rsidTr="00815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bookmarkStart w:id="10" w:name="_Ref336348743"/>
          <w:bookmarkEnd w:id="3"/>
          <w:p w14:paraId="6F4B053E" w14:textId="6C16C178" w:rsidR="009B64C4" w:rsidRDefault="009B64C4" w:rsidP="0081525B">
            <w:pPr>
              <w:spacing w:before="120" w:after="120" w:line="276" w:lineRule="auto"/>
            </w:pPr>
            <w:r>
              <w:fldChar w:fldCharType="begin"/>
            </w:r>
            <w:r>
              <w:instrText xml:space="preserve"> HYPERLINK \l "_Complaint_handling_overview" </w:instrText>
            </w:r>
            <w:r>
              <w:fldChar w:fldCharType="separate"/>
            </w:r>
            <w:r w:rsidRPr="0024667A">
              <w:rPr>
                <w:rStyle w:val="Hyperlink"/>
              </w:rPr>
              <w:t>Inform the public to enable them to take constructive action to realise their</w:t>
            </w:r>
            <w:r>
              <w:rPr>
                <w:rStyle w:val="Hyperlink"/>
              </w:rPr>
              <w:t xml:space="preserve"> </w:t>
            </w:r>
            <w:r>
              <w:rPr>
                <w:rStyle w:val="Hyperlink"/>
              </w:rPr>
              <w:br/>
            </w:r>
            <w:r w:rsidRPr="0024667A">
              <w:rPr>
                <w:rStyle w:val="Hyperlink"/>
              </w:rPr>
              <w:t>rights</w:t>
            </w:r>
            <w:r>
              <w:rPr>
                <w:rStyle w:val="Hyperlink"/>
              </w:rPr>
              <w:fldChar w:fldCharType="end"/>
            </w:r>
          </w:p>
        </w:tc>
        <w:tc>
          <w:tcPr>
            <w:tcW w:w="1070" w:type="dxa"/>
            <w:tcBorders>
              <w:left w:val="single" w:sz="8" w:space="0" w:color="FFFFFF"/>
            </w:tcBorders>
            <w:shd w:val="clear" w:color="000000" w:fill="auto"/>
            <w:vAlign w:val="center"/>
          </w:tcPr>
          <w:p w14:paraId="2C150686" w14:textId="3670EE39" w:rsidR="009B64C4" w:rsidRPr="00F31CFD" w:rsidRDefault="00F31CFD" w:rsidP="009B64C4">
            <w:pPr>
              <w:spacing w:before="120" w:after="120" w:line="276" w:lineRule="auto"/>
              <w:jc w:val="right"/>
              <w:cnfStyle w:val="100000000000" w:firstRow="1" w:lastRow="0" w:firstColumn="0" w:lastColumn="0" w:oddVBand="0" w:evenVBand="0" w:oddHBand="0" w:evenHBand="0" w:firstRowFirstColumn="0" w:firstRowLastColumn="0" w:lastRowFirstColumn="0" w:lastRowLastColumn="0"/>
              <w:rPr>
                <w:sz w:val="25"/>
                <w:szCs w:val="25"/>
              </w:rPr>
            </w:pPr>
            <w:r w:rsidRPr="00F31CFD">
              <w:rPr>
                <w:sz w:val="25"/>
                <w:szCs w:val="25"/>
              </w:rPr>
              <w:fldChar w:fldCharType="begin"/>
            </w:r>
            <w:r w:rsidRPr="00F31CFD">
              <w:rPr>
                <w:sz w:val="25"/>
                <w:szCs w:val="25"/>
              </w:rPr>
              <w:instrText xml:space="preserve"> PAGEREF _Ref54686804 \h </w:instrText>
            </w:r>
            <w:r w:rsidRPr="00F31CFD">
              <w:rPr>
                <w:sz w:val="25"/>
                <w:szCs w:val="25"/>
              </w:rPr>
            </w:r>
            <w:r w:rsidRPr="00F31CFD">
              <w:rPr>
                <w:sz w:val="25"/>
                <w:szCs w:val="25"/>
              </w:rPr>
              <w:fldChar w:fldCharType="separate"/>
            </w:r>
            <w:r w:rsidR="00E36674">
              <w:rPr>
                <w:noProof/>
                <w:sz w:val="25"/>
                <w:szCs w:val="25"/>
              </w:rPr>
              <w:t>9</w:t>
            </w:r>
            <w:r w:rsidRPr="00F31CFD">
              <w:rPr>
                <w:sz w:val="25"/>
                <w:szCs w:val="25"/>
              </w:rPr>
              <w:fldChar w:fldCharType="end"/>
            </w:r>
          </w:p>
        </w:tc>
      </w:tr>
      <w:tr w:rsidR="009B64C4" w:rsidRPr="005107B4" w14:paraId="0C29B234" w14:textId="77777777" w:rsidTr="0081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71CE94DA" w14:textId="256FC472" w:rsidR="009B64C4" w:rsidRPr="005107B4" w:rsidRDefault="005B795D" w:rsidP="0081525B">
            <w:pPr>
              <w:spacing w:before="120" w:after="120" w:line="276" w:lineRule="auto"/>
              <w:rPr>
                <w:sz w:val="25"/>
                <w:szCs w:val="25"/>
              </w:rPr>
            </w:pPr>
            <w:hyperlink w:anchor="_Improve_public_sector_1" w:history="1">
              <w:r w:rsidR="009B64C4" w:rsidRPr="0024667A">
                <w:rPr>
                  <w:rStyle w:val="Hyperlink"/>
                </w:rPr>
                <w:t>Improve public sector cap</w:t>
              </w:r>
              <w:r w:rsidR="009B64C4">
                <w:rPr>
                  <w:rStyle w:val="Hyperlink"/>
                </w:rPr>
                <w:t xml:space="preserve">ability to do its work and make </w:t>
              </w:r>
              <w:r w:rsidR="009B64C4" w:rsidRPr="0024667A">
                <w:rPr>
                  <w:rStyle w:val="Hyperlink"/>
                </w:rPr>
                <w:t>decisions</w:t>
              </w:r>
            </w:hyperlink>
          </w:p>
        </w:tc>
        <w:tc>
          <w:tcPr>
            <w:tcW w:w="1070" w:type="dxa"/>
            <w:tcBorders>
              <w:top w:val="nil"/>
              <w:left w:val="single" w:sz="8" w:space="0" w:color="FFFFFF"/>
            </w:tcBorders>
            <w:shd w:val="clear" w:color="000000" w:fill="auto"/>
            <w:vAlign w:val="center"/>
          </w:tcPr>
          <w:p w14:paraId="1D316CDA" w14:textId="06507B0E" w:rsidR="009B64C4" w:rsidRPr="00F31CFD" w:rsidRDefault="00F31CFD" w:rsidP="0081525B">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Pr>
                <w:sz w:val="25"/>
                <w:szCs w:val="25"/>
              </w:rPr>
              <w:fldChar w:fldCharType="begin"/>
            </w:r>
            <w:r>
              <w:rPr>
                <w:sz w:val="25"/>
                <w:szCs w:val="25"/>
              </w:rPr>
              <w:instrText xml:space="preserve"> PAGEREF _Ref54686999 \h </w:instrText>
            </w:r>
            <w:r>
              <w:rPr>
                <w:sz w:val="25"/>
                <w:szCs w:val="25"/>
              </w:rPr>
            </w:r>
            <w:r>
              <w:rPr>
                <w:sz w:val="25"/>
                <w:szCs w:val="25"/>
              </w:rPr>
              <w:fldChar w:fldCharType="separate"/>
            </w:r>
            <w:r w:rsidR="00E36674">
              <w:rPr>
                <w:noProof/>
                <w:sz w:val="25"/>
                <w:szCs w:val="25"/>
              </w:rPr>
              <w:t>9</w:t>
            </w:r>
            <w:r>
              <w:rPr>
                <w:sz w:val="25"/>
                <w:szCs w:val="25"/>
              </w:rPr>
              <w:fldChar w:fldCharType="end"/>
            </w:r>
          </w:p>
        </w:tc>
      </w:tr>
      <w:tr w:rsidR="009B64C4" w:rsidRPr="005107B4" w14:paraId="2B3200A1" w14:textId="77777777" w:rsidTr="008152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36A6218C" w14:textId="588D7484" w:rsidR="009B64C4" w:rsidRDefault="005B795D" w:rsidP="0081525B">
            <w:pPr>
              <w:spacing w:before="120" w:after="120" w:line="276" w:lineRule="auto"/>
            </w:pPr>
            <w:hyperlink w:anchor="_Formal_consultation_to_1" w:history="1">
              <w:r w:rsidR="009B64C4" w:rsidRPr="0024667A">
                <w:rPr>
                  <w:rStyle w:val="Hyperlink"/>
                </w:rPr>
                <w:t xml:space="preserve">Formal consultation to assist public sector agencies to make specific </w:t>
              </w:r>
              <w:r w:rsidR="009B64C4">
                <w:rPr>
                  <w:rStyle w:val="Hyperlink"/>
                </w:rPr>
                <w:br/>
              </w:r>
              <w:r w:rsidR="009B64C4" w:rsidRPr="0024667A">
                <w:rPr>
                  <w:rStyle w:val="Hyperlink"/>
                </w:rPr>
                <w:t>decisions</w:t>
              </w:r>
            </w:hyperlink>
          </w:p>
        </w:tc>
        <w:tc>
          <w:tcPr>
            <w:tcW w:w="1070" w:type="dxa"/>
            <w:tcBorders>
              <w:left w:val="single" w:sz="8" w:space="0" w:color="FFFFFF"/>
            </w:tcBorders>
            <w:shd w:val="clear" w:color="000000" w:fill="auto"/>
            <w:vAlign w:val="center"/>
          </w:tcPr>
          <w:p w14:paraId="1E61DB97" w14:textId="53B8FF37" w:rsidR="009B64C4" w:rsidRPr="00F31CFD" w:rsidRDefault="00F31CFD" w:rsidP="0081525B">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Pr>
                <w:sz w:val="25"/>
                <w:szCs w:val="25"/>
              </w:rPr>
              <w:fldChar w:fldCharType="begin"/>
            </w:r>
            <w:r>
              <w:rPr>
                <w:sz w:val="25"/>
                <w:szCs w:val="25"/>
              </w:rPr>
              <w:instrText xml:space="preserve"> PAGEREF _Ref54687004 \h </w:instrText>
            </w:r>
            <w:r>
              <w:rPr>
                <w:sz w:val="25"/>
                <w:szCs w:val="25"/>
              </w:rPr>
            </w:r>
            <w:r>
              <w:rPr>
                <w:sz w:val="25"/>
                <w:szCs w:val="25"/>
              </w:rPr>
              <w:fldChar w:fldCharType="separate"/>
            </w:r>
            <w:r w:rsidR="00E36674">
              <w:rPr>
                <w:noProof/>
                <w:sz w:val="25"/>
                <w:szCs w:val="25"/>
              </w:rPr>
              <w:t>9</w:t>
            </w:r>
            <w:r>
              <w:rPr>
                <w:sz w:val="25"/>
                <w:szCs w:val="25"/>
              </w:rPr>
              <w:fldChar w:fldCharType="end"/>
            </w:r>
          </w:p>
        </w:tc>
      </w:tr>
      <w:tr w:rsidR="009B64C4" w:rsidRPr="005107B4" w14:paraId="0C5E938C" w14:textId="77777777" w:rsidTr="0081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384EF2FC" w14:textId="7B23B259" w:rsidR="009B64C4" w:rsidRPr="005107B4" w:rsidRDefault="005B795D" w:rsidP="00943733">
            <w:pPr>
              <w:spacing w:before="120" w:after="120" w:line="276" w:lineRule="auto"/>
              <w:rPr>
                <w:sz w:val="25"/>
                <w:szCs w:val="25"/>
              </w:rPr>
            </w:pPr>
            <w:hyperlink w:anchor="_Enable_serious_wrongdoing_1" w:history="1">
              <w:r w:rsidR="009B64C4" w:rsidRPr="0024667A">
                <w:rPr>
                  <w:rStyle w:val="Hyperlink"/>
                </w:rPr>
                <w:t xml:space="preserve">Enable serious wrongdoing to be disclosed and investigated and </w:t>
              </w:r>
              <w:r w:rsidR="009B64C4">
                <w:rPr>
                  <w:rStyle w:val="Hyperlink"/>
                </w:rPr>
                <w:br/>
              </w:r>
              <w:r w:rsidR="009B64C4" w:rsidRPr="0024667A">
                <w:rPr>
                  <w:rStyle w:val="Hyperlink"/>
                </w:rPr>
                <w:t>whistleblowers</w:t>
              </w:r>
              <w:r w:rsidR="009B64C4">
                <w:rPr>
                  <w:rStyle w:val="Hyperlink"/>
                </w:rPr>
                <w:t xml:space="preserve"> </w:t>
              </w:r>
              <w:r w:rsidR="009B64C4" w:rsidRPr="0024667A">
                <w:rPr>
                  <w:rStyle w:val="Hyperlink"/>
                </w:rPr>
                <w:t>protected</w:t>
              </w:r>
            </w:hyperlink>
          </w:p>
        </w:tc>
        <w:tc>
          <w:tcPr>
            <w:tcW w:w="1070" w:type="dxa"/>
            <w:tcBorders>
              <w:left w:val="single" w:sz="8" w:space="0" w:color="FFFFFF"/>
            </w:tcBorders>
            <w:shd w:val="clear" w:color="000000" w:fill="auto"/>
            <w:vAlign w:val="center"/>
          </w:tcPr>
          <w:p w14:paraId="47CC86DC" w14:textId="35688830" w:rsidR="009B64C4" w:rsidRPr="00F31CFD" w:rsidRDefault="00F31CFD" w:rsidP="0081525B">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Pr>
                <w:sz w:val="25"/>
                <w:szCs w:val="25"/>
              </w:rPr>
              <w:fldChar w:fldCharType="begin"/>
            </w:r>
            <w:r>
              <w:rPr>
                <w:sz w:val="25"/>
                <w:szCs w:val="25"/>
              </w:rPr>
              <w:instrText xml:space="preserve"> PAGEREF _Ref54687008 \h </w:instrText>
            </w:r>
            <w:r>
              <w:rPr>
                <w:sz w:val="25"/>
                <w:szCs w:val="25"/>
              </w:rPr>
            </w:r>
            <w:r>
              <w:rPr>
                <w:sz w:val="25"/>
                <w:szCs w:val="25"/>
              </w:rPr>
              <w:fldChar w:fldCharType="separate"/>
            </w:r>
            <w:r w:rsidR="00E36674">
              <w:rPr>
                <w:noProof/>
                <w:sz w:val="25"/>
                <w:szCs w:val="25"/>
              </w:rPr>
              <w:t>10</w:t>
            </w:r>
            <w:r>
              <w:rPr>
                <w:sz w:val="25"/>
                <w:szCs w:val="25"/>
              </w:rPr>
              <w:fldChar w:fldCharType="end"/>
            </w:r>
          </w:p>
        </w:tc>
      </w:tr>
      <w:tr w:rsidR="009B64C4" w:rsidRPr="005107B4" w14:paraId="4041C7F0" w14:textId="77777777" w:rsidTr="008152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234F0B5F" w14:textId="063D6AAA" w:rsidR="009B64C4" w:rsidRPr="005107B4" w:rsidRDefault="005B795D" w:rsidP="0081525B">
            <w:pPr>
              <w:spacing w:before="120" w:after="120" w:line="276" w:lineRule="auto"/>
              <w:rPr>
                <w:sz w:val="25"/>
                <w:szCs w:val="25"/>
              </w:rPr>
            </w:pPr>
            <w:hyperlink w:anchor="_Break_down_the_1" w:history="1">
              <w:r w:rsidR="009B64C4" w:rsidRPr="0024667A">
                <w:rPr>
                  <w:rStyle w:val="Hyperlink"/>
                </w:rPr>
                <w:t xml:space="preserve">Break down the barriers that prevent disabled people from participating </w:t>
              </w:r>
              <w:r w:rsidR="009B64C4">
                <w:rPr>
                  <w:rStyle w:val="Hyperlink"/>
                </w:rPr>
                <w:br/>
              </w:r>
              <w:r w:rsidR="009B64C4" w:rsidRPr="0024667A">
                <w:rPr>
                  <w:rStyle w:val="Hyperlink"/>
                </w:rPr>
                <w:t>equally in society</w:t>
              </w:r>
            </w:hyperlink>
          </w:p>
        </w:tc>
        <w:tc>
          <w:tcPr>
            <w:tcW w:w="1070" w:type="dxa"/>
            <w:tcBorders>
              <w:left w:val="single" w:sz="8" w:space="0" w:color="FFFFFF"/>
            </w:tcBorders>
            <w:shd w:val="clear" w:color="000000" w:fill="auto"/>
            <w:vAlign w:val="center"/>
          </w:tcPr>
          <w:p w14:paraId="2A74071E" w14:textId="7586E931" w:rsidR="009B64C4" w:rsidRPr="00F31CFD" w:rsidRDefault="00F31CFD" w:rsidP="0081525B">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Pr>
                <w:sz w:val="25"/>
                <w:szCs w:val="25"/>
              </w:rPr>
              <w:fldChar w:fldCharType="begin"/>
            </w:r>
            <w:r>
              <w:rPr>
                <w:sz w:val="25"/>
                <w:szCs w:val="25"/>
              </w:rPr>
              <w:instrText xml:space="preserve"> PAGEREF _Ref336348781 \h </w:instrText>
            </w:r>
            <w:r>
              <w:rPr>
                <w:sz w:val="25"/>
                <w:szCs w:val="25"/>
              </w:rPr>
            </w:r>
            <w:r>
              <w:rPr>
                <w:sz w:val="25"/>
                <w:szCs w:val="25"/>
              </w:rPr>
              <w:fldChar w:fldCharType="separate"/>
            </w:r>
            <w:r w:rsidR="00E36674">
              <w:rPr>
                <w:noProof/>
                <w:sz w:val="25"/>
                <w:szCs w:val="25"/>
              </w:rPr>
              <w:t>10</w:t>
            </w:r>
            <w:r>
              <w:rPr>
                <w:sz w:val="25"/>
                <w:szCs w:val="25"/>
              </w:rPr>
              <w:fldChar w:fldCharType="end"/>
            </w:r>
          </w:p>
        </w:tc>
      </w:tr>
      <w:tr w:rsidR="009B64C4" w:rsidRPr="005107B4" w14:paraId="5A911B10" w14:textId="77777777" w:rsidTr="0081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36A02B50" w14:textId="53ACECD1" w:rsidR="009B64C4" w:rsidRPr="005107B4" w:rsidRDefault="005B795D" w:rsidP="0081525B">
            <w:pPr>
              <w:spacing w:before="120" w:after="120" w:line="276" w:lineRule="auto"/>
              <w:rPr>
                <w:sz w:val="25"/>
                <w:szCs w:val="25"/>
              </w:rPr>
            </w:pPr>
            <w:hyperlink w:anchor="_Improve_the_conditions_1" w:history="1">
              <w:r w:rsidR="009B64C4" w:rsidRPr="0024667A">
                <w:rPr>
                  <w:rStyle w:val="Hyperlink"/>
                </w:rPr>
                <w:t>Improve the conditions and treatment of people in detention</w:t>
              </w:r>
            </w:hyperlink>
          </w:p>
        </w:tc>
        <w:tc>
          <w:tcPr>
            <w:tcW w:w="1070" w:type="dxa"/>
            <w:tcBorders>
              <w:left w:val="single" w:sz="8" w:space="0" w:color="FFFFFF"/>
            </w:tcBorders>
            <w:shd w:val="clear" w:color="000000" w:fill="auto"/>
            <w:vAlign w:val="center"/>
          </w:tcPr>
          <w:p w14:paraId="39AA6FD5" w14:textId="7CC97725" w:rsidR="009B64C4" w:rsidRPr="00F31CFD" w:rsidRDefault="00F31CFD" w:rsidP="0081525B">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Pr>
                <w:sz w:val="25"/>
                <w:szCs w:val="25"/>
              </w:rPr>
              <w:fldChar w:fldCharType="begin"/>
            </w:r>
            <w:r>
              <w:rPr>
                <w:sz w:val="25"/>
                <w:szCs w:val="25"/>
              </w:rPr>
              <w:instrText xml:space="preserve"> PAGEREF _Ref336348764 \h </w:instrText>
            </w:r>
            <w:r>
              <w:rPr>
                <w:sz w:val="25"/>
                <w:szCs w:val="25"/>
              </w:rPr>
            </w:r>
            <w:r>
              <w:rPr>
                <w:sz w:val="25"/>
                <w:szCs w:val="25"/>
              </w:rPr>
              <w:fldChar w:fldCharType="separate"/>
            </w:r>
            <w:r w:rsidR="00E36674">
              <w:rPr>
                <w:noProof/>
                <w:sz w:val="25"/>
                <w:szCs w:val="25"/>
              </w:rPr>
              <w:t>10</w:t>
            </w:r>
            <w:r>
              <w:rPr>
                <w:sz w:val="25"/>
                <w:szCs w:val="25"/>
              </w:rPr>
              <w:fldChar w:fldCharType="end"/>
            </w:r>
          </w:p>
        </w:tc>
      </w:tr>
      <w:tr w:rsidR="009B64C4" w:rsidRPr="005107B4" w14:paraId="096A5C67" w14:textId="77777777" w:rsidTr="008152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0BC8291B" w14:textId="57ECB2B6" w:rsidR="009B64C4" w:rsidRPr="005107B4" w:rsidRDefault="005B795D" w:rsidP="00943733">
            <w:pPr>
              <w:spacing w:before="120" w:after="120" w:line="276" w:lineRule="auto"/>
              <w:rPr>
                <w:sz w:val="25"/>
                <w:szCs w:val="25"/>
              </w:rPr>
            </w:pPr>
            <w:hyperlink w:anchor="_Ensure_official_information_1" w:history="1">
              <w:r w:rsidR="009B64C4" w:rsidRPr="0024667A">
                <w:rPr>
                  <w:rStyle w:val="Hyperlink"/>
                </w:rPr>
                <w:t>Ensure official information is increasingly available and</w:t>
              </w:r>
              <w:r w:rsidR="009B64C4">
                <w:rPr>
                  <w:rStyle w:val="Hyperlink"/>
                </w:rPr>
                <w:t xml:space="preserve"> </w:t>
              </w:r>
              <w:r w:rsidR="009B64C4" w:rsidRPr="0024667A">
                <w:rPr>
                  <w:rStyle w:val="Hyperlink"/>
                </w:rPr>
                <w:t xml:space="preserve">not unlawfully </w:t>
              </w:r>
              <w:r w:rsidR="009B64C4">
                <w:rPr>
                  <w:rStyle w:val="Hyperlink"/>
                </w:rPr>
                <w:br/>
              </w:r>
              <w:r w:rsidR="009B64C4" w:rsidRPr="0024667A">
                <w:rPr>
                  <w:rStyle w:val="Hyperlink"/>
                </w:rPr>
                <w:t>refused</w:t>
              </w:r>
            </w:hyperlink>
          </w:p>
        </w:tc>
        <w:tc>
          <w:tcPr>
            <w:tcW w:w="1070" w:type="dxa"/>
            <w:tcBorders>
              <w:left w:val="single" w:sz="8" w:space="0" w:color="FFFFFF"/>
            </w:tcBorders>
            <w:shd w:val="clear" w:color="000000" w:fill="auto"/>
            <w:vAlign w:val="center"/>
          </w:tcPr>
          <w:p w14:paraId="18DDA0B1" w14:textId="06582E62" w:rsidR="009B64C4" w:rsidRPr="00F31CFD" w:rsidRDefault="00F31CFD" w:rsidP="0081525B">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Pr>
                <w:sz w:val="25"/>
                <w:szCs w:val="25"/>
              </w:rPr>
              <w:fldChar w:fldCharType="begin"/>
            </w:r>
            <w:r>
              <w:rPr>
                <w:sz w:val="25"/>
                <w:szCs w:val="25"/>
              </w:rPr>
              <w:instrText xml:space="preserve"> PAGEREF _Ref54687024 \h </w:instrText>
            </w:r>
            <w:r>
              <w:rPr>
                <w:sz w:val="25"/>
                <w:szCs w:val="25"/>
              </w:rPr>
            </w:r>
            <w:r>
              <w:rPr>
                <w:sz w:val="25"/>
                <w:szCs w:val="25"/>
              </w:rPr>
              <w:fldChar w:fldCharType="separate"/>
            </w:r>
            <w:r w:rsidR="00E36674">
              <w:rPr>
                <w:noProof/>
                <w:sz w:val="25"/>
                <w:szCs w:val="25"/>
              </w:rPr>
              <w:t>11</w:t>
            </w:r>
            <w:r>
              <w:rPr>
                <w:sz w:val="25"/>
                <w:szCs w:val="25"/>
              </w:rPr>
              <w:fldChar w:fldCharType="end"/>
            </w:r>
          </w:p>
        </w:tc>
      </w:tr>
      <w:tr w:rsidR="009B64C4" w:rsidRPr="005107B4" w14:paraId="61D86B95" w14:textId="77777777" w:rsidTr="0081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50679470" w14:textId="7FF818C6" w:rsidR="009B64C4" w:rsidRPr="005107B4" w:rsidRDefault="005B795D" w:rsidP="0081525B">
            <w:pPr>
              <w:spacing w:before="120" w:after="120" w:line="276" w:lineRule="auto"/>
              <w:rPr>
                <w:sz w:val="25"/>
                <w:szCs w:val="25"/>
              </w:rPr>
            </w:pPr>
            <w:hyperlink w:anchor="_Identify_flawed_public_1" w:history="1">
              <w:r w:rsidR="009B64C4" w:rsidRPr="0024667A">
                <w:rPr>
                  <w:rStyle w:val="Hyperlink"/>
                </w:rPr>
                <w:t xml:space="preserve">Identify flawed public sector decision making and processes and how to </w:t>
              </w:r>
              <w:r w:rsidR="009B64C4">
                <w:rPr>
                  <w:rStyle w:val="Hyperlink"/>
                </w:rPr>
                <w:br/>
              </w:r>
              <w:r w:rsidR="009B64C4" w:rsidRPr="0024667A">
                <w:rPr>
                  <w:rStyle w:val="Hyperlink"/>
                </w:rPr>
                <w:t>resolve them</w:t>
              </w:r>
            </w:hyperlink>
          </w:p>
        </w:tc>
        <w:tc>
          <w:tcPr>
            <w:tcW w:w="1070" w:type="dxa"/>
            <w:tcBorders>
              <w:left w:val="single" w:sz="8" w:space="0" w:color="FFFFFF"/>
            </w:tcBorders>
            <w:shd w:val="clear" w:color="000000" w:fill="auto"/>
            <w:vAlign w:val="center"/>
          </w:tcPr>
          <w:p w14:paraId="30B66F4B" w14:textId="5AF65A2A" w:rsidR="009B64C4" w:rsidRPr="00F31CFD" w:rsidRDefault="00F31CFD" w:rsidP="0081525B">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Pr>
                <w:sz w:val="25"/>
                <w:szCs w:val="25"/>
              </w:rPr>
              <w:fldChar w:fldCharType="begin"/>
            </w:r>
            <w:r>
              <w:rPr>
                <w:sz w:val="25"/>
                <w:szCs w:val="25"/>
              </w:rPr>
              <w:instrText xml:space="preserve"> PAGEREF _Ref54687030 \h </w:instrText>
            </w:r>
            <w:r>
              <w:rPr>
                <w:sz w:val="25"/>
                <w:szCs w:val="25"/>
              </w:rPr>
            </w:r>
            <w:r>
              <w:rPr>
                <w:sz w:val="25"/>
                <w:szCs w:val="25"/>
              </w:rPr>
              <w:fldChar w:fldCharType="separate"/>
            </w:r>
            <w:r w:rsidR="00E36674">
              <w:rPr>
                <w:noProof/>
                <w:sz w:val="25"/>
                <w:szCs w:val="25"/>
              </w:rPr>
              <w:t>11</w:t>
            </w:r>
            <w:r>
              <w:rPr>
                <w:sz w:val="25"/>
                <w:szCs w:val="25"/>
              </w:rPr>
              <w:fldChar w:fldCharType="end"/>
            </w:r>
          </w:p>
        </w:tc>
      </w:tr>
      <w:tr w:rsidR="009B64C4" w:rsidRPr="005107B4" w14:paraId="0C60C217" w14:textId="77777777" w:rsidTr="008152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46A41D14" w14:textId="37EDD7FF" w:rsidR="009B64C4" w:rsidRPr="005107B4" w:rsidRDefault="005B795D" w:rsidP="0081525B">
            <w:pPr>
              <w:spacing w:before="120" w:after="120" w:line="276" w:lineRule="auto"/>
              <w:rPr>
                <w:sz w:val="25"/>
                <w:szCs w:val="25"/>
              </w:rPr>
            </w:pPr>
            <w:hyperlink w:anchor="_Learn_from,_and_1" w:history="1">
              <w:r w:rsidR="009B64C4" w:rsidRPr="0024667A">
                <w:rPr>
                  <w:rStyle w:val="Hyperlink"/>
                </w:rPr>
                <w:t>Learn from, and assist to develop, international best practice</w:t>
              </w:r>
            </w:hyperlink>
          </w:p>
        </w:tc>
        <w:tc>
          <w:tcPr>
            <w:tcW w:w="1070" w:type="dxa"/>
            <w:tcBorders>
              <w:left w:val="single" w:sz="8" w:space="0" w:color="FFFFFF"/>
              <w:bottom w:val="nil"/>
            </w:tcBorders>
            <w:shd w:val="clear" w:color="000000" w:fill="auto"/>
            <w:vAlign w:val="center"/>
          </w:tcPr>
          <w:p w14:paraId="20FC5BF6" w14:textId="7B53DB30" w:rsidR="009B64C4" w:rsidRPr="00F31CFD" w:rsidRDefault="00F31CFD" w:rsidP="0081525B">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Pr>
                <w:sz w:val="25"/>
                <w:szCs w:val="25"/>
              </w:rPr>
              <w:fldChar w:fldCharType="begin"/>
            </w:r>
            <w:r>
              <w:rPr>
                <w:sz w:val="25"/>
                <w:szCs w:val="25"/>
              </w:rPr>
              <w:instrText xml:space="preserve"> PAGEREF _Ref54687036 \h </w:instrText>
            </w:r>
            <w:r>
              <w:rPr>
                <w:sz w:val="25"/>
                <w:szCs w:val="25"/>
              </w:rPr>
            </w:r>
            <w:r>
              <w:rPr>
                <w:sz w:val="25"/>
                <w:szCs w:val="25"/>
              </w:rPr>
              <w:fldChar w:fldCharType="separate"/>
            </w:r>
            <w:r w:rsidR="00E36674">
              <w:rPr>
                <w:noProof/>
                <w:sz w:val="25"/>
                <w:szCs w:val="25"/>
              </w:rPr>
              <w:t>12</w:t>
            </w:r>
            <w:r>
              <w:rPr>
                <w:sz w:val="25"/>
                <w:szCs w:val="25"/>
              </w:rPr>
              <w:fldChar w:fldCharType="end"/>
            </w:r>
          </w:p>
        </w:tc>
      </w:tr>
    </w:tbl>
    <w:p w14:paraId="77029809" w14:textId="77777777" w:rsidR="00CE5E04" w:rsidRDefault="00CE5E04">
      <w:pPr>
        <w:spacing w:line="276" w:lineRule="auto"/>
      </w:pPr>
      <w:r>
        <w:br w:type="page"/>
      </w:r>
    </w:p>
    <w:p w14:paraId="398F8D80" w14:textId="77777777" w:rsidR="008F60BC" w:rsidRPr="00695FD6" w:rsidRDefault="008F60BC" w:rsidP="008F60BC">
      <w:pPr>
        <w:pStyle w:val="Heading2"/>
      </w:pPr>
      <w:bookmarkStart w:id="11" w:name="_Complaint_handling_overview"/>
      <w:bookmarkStart w:id="12" w:name="_Ombudsmen_Act_complaints"/>
      <w:bookmarkStart w:id="13" w:name="_Ref54686804"/>
      <w:bookmarkStart w:id="14" w:name="_Ref336348750"/>
      <w:bookmarkEnd w:id="10"/>
      <w:bookmarkEnd w:id="11"/>
      <w:bookmarkEnd w:id="12"/>
      <w:r>
        <w:t>Inform the public to enable them to take constructive action to realise their rights</w:t>
      </w:r>
      <w:bookmarkEnd w:id="13"/>
    </w:p>
    <w:p w14:paraId="533447A2" w14:textId="213E51EA" w:rsidR="008F60BC" w:rsidRPr="0092072A" w:rsidRDefault="003C344D" w:rsidP="008F60BC">
      <w:pPr>
        <w:pStyle w:val="Bullet1"/>
      </w:pPr>
      <w:r>
        <w:t>Twenty-two</w:t>
      </w:r>
      <w:r w:rsidRPr="0092072A">
        <w:t xml:space="preserve"> </w:t>
      </w:r>
      <w:r w:rsidR="005819AF" w:rsidRPr="0092072A">
        <w:t xml:space="preserve">percent </w:t>
      </w:r>
      <w:r w:rsidR="00953022">
        <w:t>more</w:t>
      </w:r>
      <w:r w:rsidR="005E04A8">
        <w:t xml:space="preserve"> </w:t>
      </w:r>
      <w:r w:rsidR="005E04A8" w:rsidRPr="0092072A">
        <w:t>visitors to the Ombudsman website</w:t>
      </w:r>
      <w:r w:rsidR="00953022">
        <w:t>.</w:t>
      </w:r>
    </w:p>
    <w:p w14:paraId="17ACED6B" w14:textId="77777777" w:rsidR="00B205FB" w:rsidRPr="0092072A" w:rsidRDefault="006C7376" w:rsidP="008F60BC">
      <w:pPr>
        <w:pStyle w:val="Bullet1"/>
      </w:pPr>
      <w:r>
        <w:t xml:space="preserve">Made </w:t>
      </w:r>
      <w:r w:rsidR="0092072A">
        <w:t>106</w:t>
      </w:r>
      <w:r w:rsidR="0092072A" w:rsidRPr="0092072A">
        <w:t xml:space="preserve"> </w:t>
      </w:r>
      <w:r w:rsidR="00B205FB" w:rsidRPr="0092072A">
        <w:t xml:space="preserve">external </w:t>
      </w:r>
      <w:r w:rsidR="0092072A">
        <w:t>resources</w:t>
      </w:r>
      <w:r w:rsidR="00B205FB" w:rsidRPr="0092072A">
        <w:t xml:space="preserve"> </w:t>
      </w:r>
      <w:r w:rsidR="00953022">
        <w:t xml:space="preserve">available </w:t>
      </w:r>
      <w:r w:rsidR="00B205FB" w:rsidRPr="0092072A">
        <w:t>to the public.</w:t>
      </w:r>
    </w:p>
    <w:p w14:paraId="601CD3FF" w14:textId="77777777" w:rsidR="00B205FB" w:rsidRPr="00DC6320" w:rsidRDefault="00045276" w:rsidP="008F60BC">
      <w:pPr>
        <w:pStyle w:val="Bullet1"/>
      </w:pPr>
      <w:r>
        <w:t>77 percent</w:t>
      </w:r>
      <w:r w:rsidR="003A4DF8">
        <w:t xml:space="preserve"> </w:t>
      </w:r>
      <w:r w:rsidR="00953022">
        <w:t xml:space="preserve">public </w:t>
      </w:r>
      <w:r w:rsidR="005B1FDA">
        <w:t>awareness</w:t>
      </w:r>
      <w:r w:rsidR="006F46F7" w:rsidRPr="00DC6320">
        <w:t xml:space="preserve"> of the Ombudsman</w:t>
      </w:r>
      <w:r w:rsidR="00B205FB" w:rsidRPr="00DC6320">
        <w:t>.</w:t>
      </w:r>
    </w:p>
    <w:p w14:paraId="4CFDCB55" w14:textId="5B0CB985" w:rsidR="008F60BC" w:rsidRPr="008F60BC" w:rsidRDefault="005B795D" w:rsidP="008F60BC">
      <w:pPr>
        <w:pStyle w:val="BodyText"/>
      </w:pPr>
      <w:hyperlink w:anchor="Contents" w:history="1">
        <w:r w:rsidR="008F60BC" w:rsidRPr="00F5248A">
          <w:rPr>
            <w:rStyle w:val="Hyperlink"/>
          </w:rPr>
          <w:t>Back to contents</w:t>
        </w:r>
      </w:hyperlink>
    </w:p>
    <w:p w14:paraId="3F6E52B9" w14:textId="77777777" w:rsidR="008F60BC" w:rsidRPr="00695FD6" w:rsidRDefault="008F60BC" w:rsidP="008F60BC">
      <w:pPr>
        <w:pStyle w:val="Heading2"/>
      </w:pPr>
      <w:bookmarkStart w:id="15" w:name="_Improve_public_sector_1"/>
      <w:bookmarkStart w:id="16" w:name="_Ref54686999"/>
      <w:bookmarkEnd w:id="15"/>
      <w:r>
        <w:t>Improve public sector capability to do its work and make decisions</w:t>
      </w:r>
      <w:bookmarkEnd w:id="16"/>
    </w:p>
    <w:p w14:paraId="06684AB1" w14:textId="6ED9300F" w:rsidR="008F60BC" w:rsidRPr="0092072A" w:rsidRDefault="006C7376" w:rsidP="008F60BC">
      <w:pPr>
        <w:pStyle w:val="Bullet1"/>
      </w:pPr>
      <w:r>
        <w:t xml:space="preserve">Provided </w:t>
      </w:r>
      <w:r w:rsidR="006D202B" w:rsidRPr="0092072A">
        <w:t>3</w:t>
      </w:r>
      <w:r w:rsidR="006D202B">
        <w:t>7</w:t>
      </w:r>
      <w:r w:rsidR="006D202B" w:rsidRPr="0092072A">
        <w:t xml:space="preserve"> </w:t>
      </w:r>
      <w:r w:rsidR="008F60BC" w:rsidRPr="0092072A">
        <w:t>external speeches, presentations</w:t>
      </w:r>
      <w:r w:rsidR="00C96950" w:rsidRPr="0092072A">
        <w:t>,</w:t>
      </w:r>
      <w:r w:rsidR="008F60BC" w:rsidRPr="0092072A">
        <w:t xml:space="preserve"> and training sessions to public sector agencies.</w:t>
      </w:r>
    </w:p>
    <w:p w14:paraId="6A0626B7" w14:textId="77777777" w:rsidR="003A4DF8" w:rsidRDefault="006C7376" w:rsidP="0092072A">
      <w:pPr>
        <w:pStyle w:val="Bullet1"/>
      </w:pPr>
      <w:r>
        <w:t xml:space="preserve">Published </w:t>
      </w:r>
      <w:r w:rsidR="0092072A" w:rsidRPr="0092072A">
        <w:t xml:space="preserve">252 </w:t>
      </w:r>
      <w:r w:rsidR="008F60BC" w:rsidRPr="0092072A">
        <w:t xml:space="preserve">new or updated </w:t>
      </w:r>
      <w:r>
        <w:t>guides</w:t>
      </w:r>
      <w:r w:rsidR="00953022">
        <w:t xml:space="preserve"> and case notes</w:t>
      </w:r>
      <w:r w:rsidR="003A4DF8">
        <w:t>.</w:t>
      </w:r>
    </w:p>
    <w:p w14:paraId="09082016" w14:textId="0A1D617D" w:rsidR="008F60BC" w:rsidRPr="0092072A" w:rsidRDefault="006C7376" w:rsidP="0092072A">
      <w:pPr>
        <w:pStyle w:val="Bullet1"/>
      </w:pPr>
      <w:r>
        <w:t>P</w:t>
      </w:r>
      <w:r w:rsidR="00953022">
        <w:t xml:space="preserve">rovided </w:t>
      </w:r>
      <w:r>
        <w:t xml:space="preserve">advice </w:t>
      </w:r>
      <w:r w:rsidR="003C344D">
        <w:t xml:space="preserve">or comment </w:t>
      </w:r>
      <w:r w:rsidR="00953022" w:rsidRPr="0092072A">
        <w:t>to public sector agencies</w:t>
      </w:r>
      <w:r w:rsidR="002D4024">
        <w:t xml:space="preserve"> on </w:t>
      </w:r>
      <w:r w:rsidR="002D4024" w:rsidRPr="0092072A">
        <w:t>385 occasions</w:t>
      </w:r>
      <w:r w:rsidR="008F60BC" w:rsidRPr="0092072A">
        <w:t>.</w:t>
      </w:r>
      <w:r w:rsidR="0092072A" w:rsidRPr="0092072A">
        <w:t xml:space="preserve"> </w:t>
      </w:r>
    </w:p>
    <w:p w14:paraId="17C3AB29" w14:textId="77777777" w:rsidR="008F60BC" w:rsidRPr="00DC6320" w:rsidRDefault="006C7376" w:rsidP="008F60BC">
      <w:pPr>
        <w:pStyle w:val="Bullet1"/>
      </w:pPr>
      <w:r>
        <w:t>Published d</w:t>
      </w:r>
      <w:r w:rsidR="008F60BC" w:rsidRPr="00DC6320">
        <w:t xml:space="preserve">ata about official information complaints. </w:t>
      </w:r>
    </w:p>
    <w:p w14:paraId="4889FC17" w14:textId="1236118A" w:rsidR="008F60BC" w:rsidRDefault="005B795D" w:rsidP="008F60BC">
      <w:pPr>
        <w:pStyle w:val="Bullet1"/>
        <w:numPr>
          <w:ilvl w:val="0"/>
          <w:numId w:val="0"/>
        </w:numPr>
        <w:ind w:left="567" w:hanging="567"/>
      </w:pPr>
      <w:hyperlink w:anchor="Contents" w:history="1">
        <w:r w:rsidR="008F60BC" w:rsidRPr="00F5248A">
          <w:rPr>
            <w:rStyle w:val="Hyperlink"/>
          </w:rPr>
          <w:t>Back to contents</w:t>
        </w:r>
      </w:hyperlink>
    </w:p>
    <w:p w14:paraId="7098E109" w14:textId="77777777" w:rsidR="00264A38" w:rsidRPr="00A41425" w:rsidRDefault="00AB2A70" w:rsidP="00264A38">
      <w:pPr>
        <w:pStyle w:val="Heading2"/>
      </w:pPr>
      <w:bookmarkStart w:id="17" w:name="_Formal_consultation_to_1"/>
      <w:bookmarkStart w:id="18" w:name="_Ref54687004"/>
      <w:bookmarkEnd w:id="17"/>
      <w:r>
        <w:t>Formal consultation to a</w:t>
      </w:r>
      <w:r w:rsidR="00264A38">
        <w:t>ssist public sector agencies to make specific decisions</w:t>
      </w:r>
      <w:bookmarkEnd w:id="18"/>
    </w:p>
    <w:p w14:paraId="33FDF894" w14:textId="77777777" w:rsidR="00264A38" w:rsidRDefault="008263ED" w:rsidP="00264A38">
      <w:pPr>
        <w:pStyle w:val="Bullet1"/>
      </w:pPr>
      <w:r>
        <w:t>Responded to consultations</w:t>
      </w:r>
      <w:r w:rsidR="00264A38" w:rsidRPr="006B5509">
        <w:t xml:space="preserve"> on </w:t>
      </w:r>
      <w:r w:rsidR="00DC6320" w:rsidRPr="00DC6320">
        <w:t>16</w:t>
      </w:r>
      <w:r w:rsidR="00DC6320" w:rsidRPr="006B5509">
        <w:t xml:space="preserve"> </w:t>
      </w:r>
      <w:r w:rsidR="00264A38" w:rsidRPr="006B5509">
        <w:t>applications for authorised access to personal informatio</w:t>
      </w:r>
      <w:r w:rsidR="00264A38">
        <w:t>n on the motor vehicle register.</w:t>
      </w:r>
    </w:p>
    <w:p w14:paraId="3136053B" w14:textId="77777777" w:rsidR="009F6A08" w:rsidRDefault="009F6A08" w:rsidP="00264A38">
      <w:pPr>
        <w:pStyle w:val="Bullet1"/>
      </w:pPr>
      <w:r>
        <w:t>Advised the Cabinet Office on the annual release of information from the Ministerial conflicts of interest register.</w:t>
      </w:r>
    </w:p>
    <w:p w14:paraId="00737C82" w14:textId="3F4B9607" w:rsidR="00264A38" w:rsidRDefault="005B795D" w:rsidP="00264A38">
      <w:pPr>
        <w:pStyle w:val="BodyText"/>
        <w:rPr>
          <w:rStyle w:val="Hyperlink"/>
        </w:rPr>
      </w:pPr>
      <w:hyperlink w:anchor="Contents" w:history="1">
        <w:r w:rsidR="00264A38" w:rsidRPr="00F5248A">
          <w:rPr>
            <w:rStyle w:val="Hyperlink"/>
          </w:rPr>
          <w:t>Back to contents</w:t>
        </w:r>
      </w:hyperlink>
    </w:p>
    <w:p w14:paraId="697C330F" w14:textId="1D15962E" w:rsidR="00A61ABD" w:rsidRDefault="00A61ABD" w:rsidP="00A61ABD">
      <w:pPr>
        <w:pStyle w:val="Heading2"/>
      </w:pPr>
      <w:bookmarkStart w:id="19" w:name="_Enable_serious_wrongdoing_1"/>
      <w:bookmarkStart w:id="20" w:name="_Ref54687008"/>
      <w:bookmarkEnd w:id="19"/>
      <w:r>
        <w:t>Enable serious wrongdoing to be disclosed and investigated and whistleblowers protected</w:t>
      </w:r>
      <w:bookmarkEnd w:id="20"/>
      <w:r>
        <w:t xml:space="preserve"> </w:t>
      </w:r>
    </w:p>
    <w:p w14:paraId="5CBFAA41" w14:textId="774A41D2" w:rsidR="00A61ABD" w:rsidRDefault="00A61ABD">
      <w:pPr>
        <w:pStyle w:val="Bullet1"/>
      </w:pPr>
      <w:r w:rsidRPr="00DC6320">
        <w:t xml:space="preserve">Completed </w:t>
      </w:r>
      <w:r w:rsidR="00DC6320" w:rsidRPr="00CD4671">
        <w:t>74</w:t>
      </w:r>
      <w:r w:rsidR="00DC6320" w:rsidRPr="00DC6320">
        <w:t xml:space="preserve"> </w:t>
      </w:r>
      <w:r w:rsidR="002D4024" w:rsidRPr="00DC6320">
        <w:t xml:space="preserve">enquiries </w:t>
      </w:r>
      <w:r w:rsidR="002D4024">
        <w:t xml:space="preserve">and </w:t>
      </w:r>
      <w:r w:rsidRPr="00DC6320">
        <w:t>requests for advice and guidance within three months</w:t>
      </w:r>
      <w:r w:rsidR="00953022">
        <w:t xml:space="preserve"> of receipt</w:t>
      </w:r>
      <w:r w:rsidRPr="00DC6320">
        <w:t>.</w:t>
      </w:r>
    </w:p>
    <w:p w14:paraId="3FF362D2" w14:textId="77777777" w:rsidR="009707BC" w:rsidRDefault="009707BC">
      <w:pPr>
        <w:pStyle w:val="Bullet1"/>
      </w:pPr>
      <w:r>
        <w:t>Published a guide and a checklist to assist organisation</w:t>
      </w:r>
      <w:r w:rsidR="008263ED">
        <w:t>s</w:t>
      </w:r>
      <w:r>
        <w:t xml:space="preserve"> to protect whistleblowers</w:t>
      </w:r>
      <w:r w:rsidR="002D4024">
        <w:t>.</w:t>
      </w:r>
    </w:p>
    <w:p w14:paraId="0EDE214A" w14:textId="77777777" w:rsidR="00A61ABD" w:rsidRPr="00695FD6" w:rsidRDefault="00A61ABD" w:rsidP="00A61ABD">
      <w:pPr>
        <w:pStyle w:val="Heading2"/>
      </w:pPr>
      <w:bookmarkStart w:id="21" w:name="_Break_down_the_1"/>
      <w:bookmarkStart w:id="22" w:name="_Ref336348781"/>
      <w:bookmarkEnd w:id="21"/>
      <w:r>
        <w:t>Break down the barriers that prevent disabled people from participating equally in society</w:t>
      </w:r>
      <w:bookmarkEnd w:id="22"/>
    </w:p>
    <w:p w14:paraId="7AAFC45C" w14:textId="14B6D2ED" w:rsidR="00F63FE3" w:rsidRDefault="006C7376" w:rsidP="005B1FDA">
      <w:pPr>
        <w:pStyle w:val="Bullet1"/>
      </w:pPr>
      <w:r>
        <w:t>Published</w:t>
      </w:r>
      <w:r w:rsidR="00F63FE3">
        <w:t xml:space="preserve"> </w:t>
      </w:r>
      <w:r w:rsidR="00F63FE3" w:rsidRPr="009820BF">
        <w:rPr>
          <w:rStyle w:val="Italics"/>
        </w:rPr>
        <w:t>Making Disability Rights Real</w:t>
      </w:r>
      <w:r>
        <w:rPr>
          <w:rStyle w:val="Italics"/>
        </w:rPr>
        <w:t xml:space="preserve"> 2014-2019</w:t>
      </w:r>
      <w:r w:rsidR="00F63FE3">
        <w:t xml:space="preserve">, </w:t>
      </w:r>
      <w:r w:rsidR="003C344D" w:rsidRPr="0095126D">
        <w:rPr>
          <w:i/>
          <w:shd w:val="clear" w:color="auto" w:fill="FFFFFF"/>
        </w:rPr>
        <w:t>Whakatūturu Ngā Tika Hauātanga</w:t>
      </w:r>
      <w:r w:rsidR="003C344D">
        <w:rPr>
          <w:i/>
          <w:shd w:val="clear" w:color="auto" w:fill="FFFFFF"/>
        </w:rPr>
        <w:t>,</w:t>
      </w:r>
      <w:r w:rsidR="003C344D">
        <w:t xml:space="preserve"> </w:t>
      </w:r>
      <w:r w:rsidR="00F63FE3">
        <w:t>the third report of the Independent Monitoring Mechanism under the United Nations Convention on the Rights of Persons with Disabilities.</w:t>
      </w:r>
    </w:p>
    <w:p w14:paraId="440CEB44" w14:textId="77777777" w:rsidR="006C7376" w:rsidRDefault="006C7376" w:rsidP="005B1FDA">
      <w:pPr>
        <w:pStyle w:val="Bullet1"/>
      </w:pPr>
      <w:r>
        <w:t>Conducted disability rights outreach and published information in a wide range of accessible formats.</w:t>
      </w:r>
    </w:p>
    <w:p w14:paraId="3EAA74A2" w14:textId="77777777" w:rsidR="00F63FE3" w:rsidRDefault="006C7376" w:rsidP="009803FF">
      <w:pPr>
        <w:pStyle w:val="Bullet1"/>
      </w:pPr>
      <w:r>
        <w:t>Commenced work on a report on the experiences of disabled people during the pandemic.</w:t>
      </w:r>
    </w:p>
    <w:p w14:paraId="0FF741D5" w14:textId="77777777" w:rsidR="00A61ABD" w:rsidRPr="00695FD6" w:rsidRDefault="00A61ABD" w:rsidP="00A61ABD">
      <w:pPr>
        <w:pStyle w:val="Heading2"/>
      </w:pPr>
      <w:bookmarkStart w:id="23" w:name="_Improve_the_conditions_1"/>
      <w:bookmarkStart w:id="24" w:name="_Ref336348764"/>
      <w:bookmarkEnd w:id="23"/>
      <w:r>
        <w:t>Improve the conditions and treatment of people in detention</w:t>
      </w:r>
      <w:bookmarkEnd w:id="24"/>
    </w:p>
    <w:p w14:paraId="1BA54154" w14:textId="760E61B1" w:rsidR="00A61ABD" w:rsidRPr="00CD32B8" w:rsidRDefault="00A61ABD" w:rsidP="00A61ABD">
      <w:pPr>
        <w:pStyle w:val="Bullet1"/>
      </w:pPr>
      <w:r w:rsidRPr="00CD32B8">
        <w:t xml:space="preserve">Visited </w:t>
      </w:r>
      <w:r w:rsidR="00CD32B8" w:rsidRPr="00CD32B8">
        <w:t>8</w:t>
      </w:r>
      <w:r w:rsidR="009436AE" w:rsidRPr="00CD32B8">
        <w:t xml:space="preserve">4 </w:t>
      </w:r>
      <w:r w:rsidRPr="00CD32B8">
        <w:t>places of detention</w:t>
      </w:r>
      <w:r w:rsidR="00CD32B8">
        <w:t xml:space="preserve"> (</w:t>
      </w:r>
      <w:r w:rsidR="00341780">
        <w:t xml:space="preserve">prisons and some other places </w:t>
      </w:r>
      <w:r w:rsidR="00CD32B8">
        <w:t>where people are not free to leave at will)</w:t>
      </w:r>
      <w:r w:rsidRPr="00CD32B8">
        <w:t xml:space="preserve">, including </w:t>
      </w:r>
      <w:r w:rsidR="00CD32B8">
        <w:t>59</w:t>
      </w:r>
      <w:r w:rsidR="00CD32B8" w:rsidRPr="00CD32B8">
        <w:t xml:space="preserve"> </w:t>
      </w:r>
      <w:r w:rsidRPr="00CD32B8">
        <w:t>formal inspections.</w:t>
      </w:r>
    </w:p>
    <w:p w14:paraId="2DC7E8CB" w14:textId="77777777" w:rsidR="00A61ABD" w:rsidRPr="00CD32B8" w:rsidRDefault="007A7D59" w:rsidP="007A7D59">
      <w:pPr>
        <w:pStyle w:val="Bullet1"/>
      </w:pPr>
      <w:r>
        <w:t>52</w:t>
      </w:r>
      <w:r w:rsidR="00CD32B8" w:rsidRPr="00CD32B8">
        <w:t xml:space="preserve"> </w:t>
      </w:r>
      <w:r w:rsidR="00A61ABD" w:rsidRPr="00CD32B8">
        <w:t xml:space="preserve">percent of </w:t>
      </w:r>
      <w:r>
        <w:t xml:space="preserve">non-COVID-19 specific </w:t>
      </w:r>
      <w:r w:rsidR="00A61ABD" w:rsidRPr="00CD32B8">
        <w:t>visits to places of detention were unannounced.</w:t>
      </w:r>
      <w:r>
        <w:t xml:space="preserve"> All COVID-19 inspections were </w:t>
      </w:r>
      <w:r w:rsidRPr="007A7D59">
        <w:t>announce</w:t>
      </w:r>
      <w:r>
        <w:t>d</w:t>
      </w:r>
      <w:r w:rsidRPr="007A7D59">
        <w:t xml:space="preserve"> for health and safety reasons</w:t>
      </w:r>
      <w:r>
        <w:t>.</w:t>
      </w:r>
    </w:p>
    <w:p w14:paraId="693A6CD7" w14:textId="77777777" w:rsidR="00A61ABD" w:rsidRPr="00CD32B8" w:rsidRDefault="00A61ABD" w:rsidP="00A61ABD">
      <w:pPr>
        <w:pStyle w:val="Bullet1"/>
      </w:pPr>
      <w:r w:rsidRPr="00CD32B8">
        <w:t xml:space="preserve">Made </w:t>
      </w:r>
      <w:r w:rsidR="00CD32B8">
        <w:t>125</w:t>
      </w:r>
      <w:r w:rsidR="00CD32B8" w:rsidRPr="00CD32B8">
        <w:t xml:space="preserve"> </w:t>
      </w:r>
      <w:r w:rsidRPr="00CD32B8">
        <w:t xml:space="preserve">recommendations for improvement, </w:t>
      </w:r>
      <w:r w:rsidR="00CD32B8">
        <w:t>90</w:t>
      </w:r>
      <w:r w:rsidR="00CD32B8" w:rsidRPr="00CD32B8">
        <w:t xml:space="preserve"> </w:t>
      </w:r>
      <w:r w:rsidRPr="00CD32B8">
        <w:t xml:space="preserve">of which were accepted. </w:t>
      </w:r>
    </w:p>
    <w:p w14:paraId="020CB36E" w14:textId="09A0FF0B" w:rsidR="00A61ABD" w:rsidRPr="00695FD6" w:rsidRDefault="00A61ABD" w:rsidP="00A61ABD">
      <w:pPr>
        <w:pStyle w:val="Heading2"/>
      </w:pPr>
      <w:bookmarkStart w:id="25" w:name="_Ensure_official_information_1"/>
      <w:bookmarkStart w:id="26" w:name="_Ref336348759"/>
      <w:bookmarkStart w:id="27" w:name="_Ref54687024"/>
      <w:bookmarkEnd w:id="25"/>
      <w:r>
        <w:t>Ensure official information is increasingly available and</w:t>
      </w:r>
      <w:r w:rsidR="001E05C9">
        <w:t xml:space="preserve"> </w:t>
      </w:r>
      <w:r>
        <w:t>not unlawfully refused</w:t>
      </w:r>
      <w:bookmarkEnd w:id="26"/>
      <w:bookmarkEnd w:id="27"/>
    </w:p>
    <w:p w14:paraId="3C4C46EC" w14:textId="77777777" w:rsidR="00EE08DE" w:rsidRDefault="009E2018" w:rsidP="00AF3529">
      <w:pPr>
        <w:pStyle w:val="Bullet1"/>
      </w:pPr>
      <w:r>
        <w:t xml:space="preserve">Timeliness and quality standards </w:t>
      </w:r>
      <w:r w:rsidR="003A4DF8">
        <w:t xml:space="preserve">for complaints </w:t>
      </w:r>
      <w:r>
        <w:t>remained high despite complications due to COVID-19 pandemic response.</w:t>
      </w:r>
      <w:r w:rsidR="00EE08DE">
        <w:t xml:space="preserve"> </w:t>
      </w:r>
    </w:p>
    <w:p w14:paraId="5549A768" w14:textId="77777777" w:rsidR="005B42AC" w:rsidRPr="00F942BF" w:rsidRDefault="00AF3529" w:rsidP="00AF3529">
      <w:pPr>
        <w:pStyle w:val="Bullet1"/>
      </w:pPr>
      <w:r>
        <w:t>Re</w:t>
      </w:r>
      <w:r w:rsidRPr="007F0C57">
        <w:t xml:space="preserve">ceived </w:t>
      </w:r>
      <w:r w:rsidR="00B12A4F">
        <w:t>1</w:t>
      </w:r>
      <w:r w:rsidRPr="007F0C57">
        <w:t>,</w:t>
      </w:r>
      <w:r w:rsidR="0026105E">
        <w:t>683</w:t>
      </w:r>
      <w:r>
        <w:t xml:space="preserve"> </w:t>
      </w:r>
      <w:r w:rsidR="00B12A4F">
        <w:t>official information</w:t>
      </w:r>
      <w:r w:rsidRPr="007F0C57">
        <w:t xml:space="preserve"> complaints and </w:t>
      </w:r>
      <w:r w:rsidR="005B42AC">
        <w:t>442</w:t>
      </w:r>
      <w:r w:rsidRPr="007F0C57">
        <w:t xml:space="preserve"> other contacts concerning </w:t>
      </w:r>
      <w:r w:rsidR="005B42AC">
        <w:t>official information</w:t>
      </w:r>
      <w:r w:rsidRPr="007F0C57">
        <w:t xml:space="preserve"> matters</w:t>
      </w:r>
      <w:r w:rsidRPr="00165C94">
        <w:t>.</w:t>
      </w:r>
      <w:r w:rsidRPr="00AF3529">
        <w:t xml:space="preserve"> </w:t>
      </w:r>
      <w:r w:rsidR="009E2018">
        <w:t xml:space="preserve">Official information complaints have remained steady </w:t>
      </w:r>
      <w:r w:rsidR="00DE540B">
        <w:t>at historically high levels over the last three</w:t>
      </w:r>
      <w:r w:rsidR="009E2018">
        <w:t xml:space="preserve"> years.</w:t>
      </w:r>
      <w:r w:rsidR="009E2018">
        <w:rPr>
          <w:rStyle w:val="FootnoteReference"/>
        </w:rPr>
        <w:footnoteReference w:id="2"/>
      </w:r>
      <w:r w:rsidR="009E2018">
        <w:t xml:space="preserve"> </w:t>
      </w:r>
      <w:r w:rsidR="005A6250">
        <w:t xml:space="preserve">There was a </w:t>
      </w:r>
      <w:r>
        <w:t xml:space="preserve">10 percent </w:t>
      </w:r>
      <w:r w:rsidR="005A6250">
        <w:t>increase in</w:t>
      </w:r>
      <w:r>
        <w:t xml:space="preserve"> official information other contacts.</w:t>
      </w:r>
    </w:p>
    <w:p w14:paraId="05A81FF2" w14:textId="60C031CA" w:rsidR="00AF3529" w:rsidRDefault="00AF3529" w:rsidP="00AF3529">
      <w:pPr>
        <w:pStyle w:val="Bullet1"/>
      </w:pPr>
      <w:r w:rsidRPr="008A4303">
        <w:t xml:space="preserve">Resolved </w:t>
      </w:r>
      <w:r w:rsidR="00685A42">
        <w:t xml:space="preserve">42 </w:t>
      </w:r>
      <w:r>
        <w:t xml:space="preserve">percent of </w:t>
      </w:r>
      <w:r w:rsidR="00B12A4F">
        <w:t>official information</w:t>
      </w:r>
      <w:r>
        <w:t xml:space="preserve"> complaints</w:t>
      </w:r>
      <w:r>
        <w:rPr>
          <w:rStyle w:val="FootnoteReference"/>
        </w:rPr>
        <w:footnoteReference w:id="3"/>
      </w:r>
      <w:r>
        <w:t xml:space="preserve"> and obtained </w:t>
      </w:r>
      <w:r w:rsidR="005B42AC">
        <w:t>755</w:t>
      </w:r>
      <w:r>
        <w:t xml:space="preserve"> remedies for the benefit of the individual or public administration.</w:t>
      </w:r>
    </w:p>
    <w:p w14:paraId="1DDE2E41" w14:textId="4842FC55" w:rsidR="00A61ABD" w:rsidRPr="00F942BF" w:rsidRDefault="00A61ABD">
      <w:pPr>
        <w:pStyle w:val="Bullet1"/>
      </w:pPr>
      <w:r w:rsidRPr="00F942BF">
        <w:t xml:space="preserve">Investigated </w:t>
      </w:r>
      <w:r w:rsidR="00BE1F59">
        <w:t xml:space="preserve">one quarter of all official information </w:t>
      </w:r>
      <w:r w:rsidRPr="00F942BF">
        <w:t>complaints</w:t>
      </w:r>
      <w:r w:rsidR="00BE1F59">
        <w:t xml:space="preserve"> received</w:t>
      </w:r>
      <w:r w:rsidR="00BE1F59" w:rsidRPr="00BE1F59">
        <w:t xml:space="preserve"> </w:t>
      </w:r>
      <w:r w:rsidR="00BE1F59" w:rsidRPr="00F942BF">
        <w:t xml:space="preserve">and formed 425 </w:t>
      </w:r>
      <w:r w:rsidR="00BE1F59">
        <w:t xml:space="preserve">final opinions. This is </w:t>
      </w:r>
      <w:r w:rsidR="003C344D">
        <w:t xml:space="preserve">eight </w:t>
      </w:r>
      <w:r w:rsidR="00BE1F59">
        <w:t>percent more</w:t>
      </w:r>
      <w:r w:rsidR="002C3CA3">
        <w:t xml:space="preserve"> finalised</w:t>
      </w:r>
      <w:r w:rsidR="00BE1F59">
        <w:t xml:space="preserve"> investigations </w:t>
      </w:r>
      <w:r w:rsidR="00975016">
        <w:t xml:space="preserve">than </w:t>
      </w:r>
      <w:r w:rsidR="00BE1F59">
        <w:t>last year.</w:t>
      </w:r>
    </w:p>
    <w:p w14:paraId="6FA134F3" w14:textId="77777777" w:rsidR="00BE1F59" w:rsidRPr="00F942BF" w:rsidRDefault="00BE1F59">
      <w:pPr>
        <w:pStyle w:val="Bullet1"/>
      </w:pPr>
      <w:r w:rsidRPr="00F942BF">
        <w:t xml:space="preserve">A </w:t>
      </w:r>
      <w:r w:rsidR="00975016" w:rsidRPr="00F942BF">
        <w:t>total</w:t>
      </w:r>
      <w:r w:rsidR="00975016">
        <w:t xml:space="preserve"> of </w:t>
      </w:r>
      <w:r w:rsidRPr="00F942BF">
        <w:t>77 official information investigations</w:t>
      </w:r>
      <w:r w:rsidR="00D44245">
        <w:rPr>
          <w:rStyle w:val="FootnoteReference"/>
        </w:rPr>
        <w:footnoteReference w:id="4"/>
      </w:r>
      <w:r w:rsidRPr="00F942BF">
        <w:t xml:space="preserve"> resulted in 97 recommendations.</w:t>
      </w:r>
      <w:r w:rsidR="00D44245">
        <w:rPr>
          <w:rStyle w:val="FootnoteReference"/>
        </w:rPr>
        <w:footnoteReference w:id="5"/>
      </w:r>
    </w:p>
    <w:p w14:paraId="1679371B" w14:textId="77777777" w:rsidR="0049786E" w:rsidRDefault="00AF3529" w:rsidP="00A61ABD">
      <w:pPr>
        <w:pStyle w:val="Bullet1"/>
      </w:pPr>
      <w:r>
        <w:t>Completed</w:t>
      </w:r>
      <w:r w:rsidRPr="00F942BF">
        <w:t xml:space="preserve"> </w:t>
      </w:r>
      <w:r w:rsidR="00671CA8" w:rsidRPr="00F942BF">
        <w:rPr>
          <w:szCs w:val="24"/>
        </w:rPr>
        <w:t xml:space="preserve">three </w:t>
      </w:r>
      <w:r w:rsidR="002263CF" w:rsidRPr="00F942BF">
        <w:rPr>
          <w:szCs w:val="24"/>
        </w:rPr>
        <w:t xml:space="preserve">official information practice </w:t>
      </w:r>
      <w:r w:rsidR="00A61ABD" w:rsidRPr="00F942BF">
        <w:rPr>
          <w:szCs w:val="24"/>
        </w:rPr>
        <w:t xml:space="preserve">investigations into </w:t>
      </w:r>
      <w:r w:rsidR="00A61ABD" w:rsidRPr="007F0C57">
        <w:rPr>
          <w:szCs w:val="24"/>
        </w:rPr>
        <w:t>local government agencies</w:t>
      </w:r>
      <w:r w:rsidR="002263CF" w:rsidRPr="007F0C57">
        <w:rPr>
          <w:szCs w:val="24"/>
        </w:rPr>
        <w:t>.</w:t>
      </w:r>
      <w:r w:rsidR="0049786E" w:rsidRPr="0049786E">
        <w:t xml:space="preserve"> </w:t>
      </w:r>
    </w:p>
    <w:p w14:paraId="18FACC6F" w14:textId="77777777" w:rsidR="00CE5E04" w:rsidRPr="00A41425" w:rsidRDefault="00A61ABD" w:rsidP="00CE5E04">
      <w:pPr>
        <w:pStyle w:val="Heading2"/>
      </w:pPr>
      <w:bookmarkStart w:id="28" w:name="_Identify_flawed_public_1"/>
      <w:bookmarkStart w:id="29" w:name="_Ref54687030"/>
      <w:bookmarkEnd w:id="28"/>
      <w:r>
        <w:t>Identify flawed public sector decision making and processes and how to resolve them</w:t>
      </w:r>
      <w:bookmarkEnd w:id="29"/>
      <w:r w:rsidRPr="00A41425">
        <w:t xml:space="preserve"> </w:t>
      </w:r>
      <w:bookmarkEnd w:id="14"/>
    </w:p>
    <w:p w14:paraId="688186A1" w14:textId="77777777" w:rsidR="003278D2" w:rsidRDefault="003278D2" w:rsidP="009803FF">
      <w:pPr>
        <w:pStyle w:val="Bullet1"/>
      </w:pPr>
      <w:r>
        <w:t xml:space="preserve">Timeliness and quality standards </w:t>
      </w:r>
      <w:r w:rsidR="003A4DF8">
        <w:t xml:space="preserve">for complaints </w:t>
      </w:r>
      <w:r>
        <w:t xml:space="preserve">remained high despite complications due </w:t>
      </w:r>
      <w:r w:rsidR="009803FF">
        <w:t xml:space="preserve">to COVID-19 pandemic response. </w:t>
      </w:r>
    </w:p>
    <w:p w14:paraId="4C16B331" w14:textId="38258E63" w:rsidR="00CE5E04" w:rsidRPr="00165C94" w:rsidRDefault="00693237" w:rsidP="00D469F2">
      <w:pPr>
        <w:pStyle w:val="Bullet1"/>
      </w:pPr>
      <w:r>
        <w:t>Re</w:t>
      </w:r>
      <w:r w:rsidR="00CE5E04" w:rsidRPr="007F0C57">
        <w:t xml:space="preserve">ceived </w:t>
      </w:r>
      <w:r w:rsidR="00916FD7" w:rsidRPr="007F0C57">
        <w:t>2,</w:t>
      </w:r>
      <w:r w:rsidR="007F0C57" w:rsidRPr="007F0C57">
        <w:t>811</w:t>
      </w:r>
      <w:r w:rsidR="002D4024">
        <w:t xml:space="preserve"> </w:t>
      </w:r>
      <w:r w:rsidR="001D0575">
        <w:t>Ombudsmen Act (</w:t>
      </w:r>
      <w:r w:rsidR="002D4024">
        <w:t>OA</w:t>
      </w:r>
      <w:r w:rsidR="001D0575">
        <w:t>)</w:t>
      </w:r>
      <w:r w:rsidR="007F0C57" w:rsidRPr="007F0C57">
        <w:t xml:space="preserve"> </w:t>
      </w:r>
      <w:r w:rsidR="00CE5E04" w:rsidRPr="007F0C57">
        <w:t xml:space="preserve">complaints and </w:t>
      </w:r>
      <w:r w:rsidR="00916FD7" w:rsidRPr="007F0C57">
        <w:t>5,</w:t>
      </w:r>
      <w:r w:rsidR="007F0C57" w:rsidRPr="007F0C57">
        <w:t xml:space="preserve">514 </w:t>
      </w:r>
      <w:r w:rsidR="00CE5E04" w:rsidRPr="007F0C57">
        <w:t>other contacts concerning OA matters</w:t>
      </w:r>
      <w:r w:rsidR="00D54AD0" w:rsidRPr="00165C94">
        <w:t>.</w:t>
      </w:r>
      <w:r w:rsidR="005B42AC">
        <w:t xml:space="preserve"> There has been a steady increase of OA complaints over the last five years</w:t>
      </w:r>
      <w:r w:rsidR="00F65CE4">
        <w:t xml:space="preserve"> –</w:t>
      </w:r>
      <w:r w:rsidR="009E2018">
        <w:t xml:space="preserve"> </w:t>
      </w:r>
      <w:r w:rsidR="00F65CE4">
        <w:t xml:space="preserve">16 percent more complaints </w:t>
      </w:r>
      <w:r w:rsidR="003A4DF8">
        <w:t xml:space="preserve">received </w:t>
      </w:r>
      <w:r w:rsidR="006C7376">
        <w:t xml:space="preserve">in 2019/20 compared to </w:t>
      </w:r>
      <w:r w:rsidR="00F65CE4">
        <w:t>last year.</w:t>
      </w:r>
    </w:p>
    <w:p w14:paraId="1DE53D70" w14:textId="77777777" w:rsidR="00454192" w:rsidRPr="007F0C57" w:rsidRDefault="00454192" w:rsidP="00454192">
      <w:pPr>
        <w:pStyle w:val="Bullet1"/>
      </w:pPr>
      <w:r w:rsidRPr="008A4303">
        <w:t xml:space="preserve">Resolved </w:t>
      </w:r>
      <w:r>
        <w:t xml:space="preserve">48 percent of </w:t>
      </w:r>
      <w:r w:rsidR="00165C94">
        <w:t xml:space="preserve">OA </w:t>
      </w:r>
      <w:r>
        <w:t>complaints</w:t>
      </w:r>
      <w:r w:rsidR="00693237">
        <w:t xml:space="preserve"> and obtained 260 remedies for the benefit of the individual or public administration.</w:t>
      </w:r>
    </w:p>
    <w:p w14:paraId="7E72B4F8" w14:textId="77777777" w:rsidR="00CE5E04" w:rsidRDefault="00165C94" w:rsidP="00CE5E04">
      <w:pPr>
        <w:pStyle w:val="Bullet1"/>
      </w:pPr>
      <w:r>
        <w:t>I</w:t>
      </w:r>
      <w:r w:rsidR="00CE5E04" w:rsidRPr="007F0C57">
        <w:t xml:space="preserve">nvestigated </w:t>
      </w:r>
      <w:r>
        <w:t>228</w:t>
      </w:r>
      <w:r w:rsidRPr="007F0C57">
        <w:t xml:space="preserve"> </w:t>
      </w:r>
      <w:r>
        <w:t xml:space="preserve">OA </w:t>
      </w:r>
      <w:r w:rsidR="00CE5E04" w:rsidRPr="007F0C57">
        <w:t xml:space="preserve">complaints, and formed </w:t>
      </w:r>
      <w:r>
        <w:t>150</w:t>
      </w:r>
      <w:r w:rsidRPr="007F0C57">
        <w:t xml:space="preserve"> </w:t>
      </w:r>
      <w:r w:rsidR="00427DCE" w:rsidRPr="007F0C57">
        <w:t>final opinions</w:t>
      </w:r>
      <w:r w:rsidR="00D54AD0" w:rsidRPr="007F0C57">
        <w:t>.</w:t>
      </w:r>
    </w:p>
    <w:p w14:paraId="119592A5" w14:textId="6C0337CC" w:rsidR="00165C94" w:rsidRDefault="00165C94" w:rsidP="00165C94">
      <w:pPr>
        <w:pStyle w:val="Bullet1"/>
      </w:pPr>
      <w:r w:rsidRPr="00671CA8">
        <w:t>A total of 3</w:t>
      </w:r>
      <w:r w:rsidR="007C16A7">
        <w:t>1</w:t>
      </w:r>
      <w:r w:rsidRPr="00671CA8">
        <w:t xml:space="preserve"> investigations</w:t>
      </w:r>
      <w:r w:rsidR="00D44245">
        <w:rPr>
          <w:rStyle w:val="FootnoteReference"/>
        </w:rPr>
        <w:footnoteReference w:id="6"/>
      </w:r>
      <w:r w:rsidRPr="00671CA8">
        <w:t xml:space="preserve"> resulted in 56 recommendations.</w:t>
      </w:r>
      <w:r w:rsidR="00D44245">
        <w:rPr>
          <w:rStyle w:val="FootnoteReference"/>
        </w:rPr>
        <w:footnoteReference w:id="7"/>
      </w:r>
    </w:p>
    <w:p w14:paraId="322783DB" w14:textId="77777777" w:rsidR="00D469F2" w:rsidRPr="00671CA8" w:rsidRDefault="00D469F2" w:rsidP="00165C94">
      <w:pPr>
        <w:pStyle w:val="Bullet1"/>
      </w:pPr>
      <w:r>
        <w:t>C</w:t>
      </w:r>
      <w:r w:rsidRPr="002733A7">
        <w:t>ompleted two</w:t>
      </w:r>
      <w:r>
        <w:t xml:space="preserve"> formal</w:t>
      </w:r>
      <w:r w:rsidRPr="002733A7">
        <w:t xml:space="preserve"> systemic resolutions with the Ministry of Health.</w:t>
      </w:r>
    </w:p>
    <w:p w14:paraId="30FA4013" w14:textId="77777777" w:rsidR="005B7A88" w:rsidRPr="00165C94" w:rsidRDefault="005B7A88" w:rsidP="005B7A88">
      <w:pPr>
        <w:pStyle w:val="Bullet1"/>
        <w:rPr>
          <w:i/>
        </w:rPr>
      </w:pPr>
      <w:r>
        <w:t>Conducted t</w:t>
      </w:r>
      <w:r w:rsidRPr="00165C94">
        <w:t>hree systemic improvement investigations</w:t>
      </w:r>
      <w:r>
        <w:t>; one involving Oranga Tamariki, and two involving the Ministry of Health, of which one was completed by the end of June 2020.</w:t>
      </w:r>
    </w:p>
    <w:p w14:paraId="0B78F8BD" w14:textId="619827D1" w:rsidR="00E87049" w:rsidRDefault="005B795D" w:rsidP="00E87049">
      <w:pPr>
        <w:pStyle w:val="Bullet1"/>
        <w:numPr>
          <w:ilvl w:val="0"/>
          <w:numId w:val="0"/>
        </w:numPr>
        <w:rPr>
          <w:rStyle w:val="Hyperlink"/>
        </w:rPr>
      </w:pPr>
      <w:hyperlink w:anchor="Contents" w:history="1">
        <w:r w:rsidR="00E87049" w:rsidRPr="00F5248A">
          <w:rPr>
            <w:rStyle w:val="Hyperlink"/>
          </w:rPr>
          <w:t>Back to contents</w:t>
        </w:r>
      </w:hyperlink>
    </w:p>
    <w:p w14:paraId="3AEB2A5A" w14:textId="77777777" w:rsidR="00A61ABD" w:rsidRPr="00A41425" w:rsidRDefault="00A61ABD" w:rsidP="00A61ABD">
      <w:pPr>
        <w:pStyle w:val="Heading2"/>
      </w:pPr>
      <w:bookmarkStart w:id="30" w:name="_Learn_from,_and_1"/>
      <w:bookmarkStart w:id="31" w:name="_Ref54687036"/>
      <w:bookmarkEnd w:id="30"/>
      <w:r>
        <w:t>Learn from, and assist to develop, international best practice</w:t>
      </w:r>
      <w:bookmarkEnd w:id="31"/>
      <w:r>
        <w:t xml:space="preserve"> </w:t>
      </w:r>
    </w:p>
    <w:p w14:paraId="6AC4814E" w14:textId="0281FDE7" w:rsidR="008C320F" w:rsidRPr="008C320F" w:rsidRDefault="008C320F" w:rsidP="00D2488E">
      <w:pPr>
        <w:pStyle w:val="Bullet1"/>
      </w:pPr>
      <w:r>
        <w:t>D</w:t>
      </w:r>
      <w:r w:rsidRPr="008C320F">
        <w:t xml:space="preserve">elivered an </w:t>
      </w:r>
      <w:r w:rsidR="001D0575">
        <w:t>i</w:t>
      </w:r>
      <w:r w:rsidR="001D0575" w:rsidRPr="008C320F">
        <w:t xml:space="preserve">nvestigator </w:t>
      </w:r>
      <w:r w:rsidR="001D0575">
        <w:t>t</w:t>
      </w:r>
      <w:r w:rsidR="001D0575" w:rsidRPr="008C320F">
        <w:t xml:space="preserve">raining </w:t>
      </w:r>
      <w:r w:rsidR="001D0575">
        <w:t>w</w:t>
      </w:r>
      <w:r w:rsidR="001D0575" w:rsidRPr="008C320F">
        <w:t xml:space="preserve">orkshop </w:t>
      </w:r>
      <w:r w:rsidR="003A4DF8">
        <w:t xml:space="preserve">for participants from </w:t>
      </w:r>
      <w:r w:rsidRPr="008C320F">
        <w:t xml:space="preserve">Ombudsman offices </w:t>
      </w:r>
      <w:r w:rsidR="00AF3529">
        <w:t>across the Pacific</w:t>
      </w:r>
      <w:r>
        <w:t>.</w:t>
      </w:r>
    </w:p>
    <w:p w14:paraId="0FA17989" w14:textId="77777777" w:rsidR="00A61ABD" w:rsidRPr="008C320F" w:rsidRDefault="008C320F" w:rsidP="00167275">
      <w:pPr>
        <w:pStyle w:val="Bullet1"/>
        <w:rPr>
          <w:color w:val="auto"/>
        </w:rPr>
      </w:pPr>
      <w:r>
        <w:t xml:space="preserve">Hosted the Inaugural Pacific Ombudsman Leadership Forum – </w:t>
      </w:r>
      <w:r w:rsidRPr="003A4DF8">
        <w:rPr>
          <w:rStyle w:val="Italics"/>
        </w:rPr>
        <w:t>Ombudsmen: Trusted Leaders</w:t>
      </w:r>
      <w:r>
        <w:t>.</w:t>
      </w:r>
    </w:p>
    <w:p w14:paraId="40C03B56" w14:textId="77777777" w:rsidR="008C320F" w:rsidRPr="008C320F" w:rsidRDefault="008C320F" w:rsidP="00167275">
      <w:pPr>
        <w:pStyle w:val="Bullet1"/>
        <w:rPr>
          <w:color w:val="auto"/>
        </w:rPr>
      </w:pPr>
      <w:r>
        <w:t xml:space="preserve">Delivered virtual performance management workshops and </w:t>
      </w:r>
      <w:r w:rsidR="00AF3529">
        <w:t xml:space="preserve">a </w:t>
      </w:r>
      <w:r>
        <w:t xml:space="preserve">webinar on how </w:t>
      </w:r>
      <w:r w:rsidR="00CF31F2">
        <w:t>the Chief Ombudsman</w:t>
      </w:r>
      <w:r>
        <w:t xml:space="preserve"> function</w:t>
      </w:r>
      <w:r w:rsidR="00CF31F2">
        <w:t>s</w:t>
      </w:r>
      <w:r>
        <w:t xml:space="preserve"> </w:t>
      </w:r>
      <w:r w:rsidR="003A4DF8">
        <w:t>under OPCAT</w:t>
      </w:r>
      <w:r>
        <w:t>.</w:t>
      </w:r>
    </w:p>
    <w:p w14:paraId="29B11F6C" w14:textId="4FF638BF" w:rsidR="008C320F" w:rsidRPr="008C320F" w:rsidRDefault="008C320F" w:rsidP="00167275">
      <w:pPr>
        <w:pStyle w:val="Bullet1"/>
        <w:rPr>
          <w:color w:val="auto"/>
        </w:rPr>
      </w:pPr>
      <w:r>
        <w:t xml:space="preserve">Hosted </w:t>
      </w:r>
      <w:r w:rsidR="001D0575">
        <w:t xml:space="preserve">eight </w:t>
      </w:r>
      <w:r>
        <w:t>delegations</w:t>
      </w:r>
      <w:r w:rsidR="003A4DF8">
        <w:t>, including</w:t>
      </w:r>
      <w:r>
        <w:t xml:space="preserve"> from </w:t>
      </w:r>
      <w:r w:rsidR="006C7376">
        <w:t xml:space="preserve">the </w:t>
      </w:r>
      <w:r>
        <w:t>Vanuatu and Sri Lankan Ombudsmen.</w:t>
      </w:r>
    </w:p>
    <w:p w14:paraId="0B0F2929" w14:textId="33EBC936" w:rsidR="008C320F" w:rsidRPr="008C320F" w:rsidRDefault="008C320F" w:rsidP="008C320F">
      <w:pPr>
        <w:pStyle w:val="Bullet1"/>
      </w:pPr>
      <w:r>
        <w:t>S</w:t>
      </w:r>
      <w:r w:rsidRPr="006564AD">
        <w:t>ign</w:t>
      </w:r>
      <w:r>
        <w:t>ed</w:t>
      </w:r>
      <w:r w:rsidRPr="006564AD">
        <w:t xml:space="preserve"> a memorandum of understanding with </w:t>
      </w:r>
      <w:r w:rsidR="00975016">
        <w:t xml:space="preserve">the </w:t>
      </w:r>
      <w:r>
        <w:t xml:space="preserve">Thai Ombudsman setting out how </w:t>
      </w:r>
      <w:r w:rsidRPr="006564AD">
        <w:t>we will work together for good governance, integrity, and human rights across the Asia and Pacific regions.</w:t>
      </w:r>
    </w:p>
    <w:p w14:paraId="5FAAC2D7" w14:textId="253C6CCC" w:rsidR="00CE5E04" w:rsidRDefault="005B795D" w:rsidP="00CE5E04">
      <w:pPr>
        <w:pStyle w:val="BodyText"/>
      </w:pPr>
      <w:hyperlink w:anchor="Contents" w:history="1">
        <w:r w:rsidR="00C97064" w:rsidRPr="00F5248A">
          <w:rPr>
            <w:rStyle w:val="Hyperlink"/>
          </w:rPr>
          <w:t>Back to contents</w:t>
        </w:r>
      </w:hyperlink>
      <w:bookmarkStart w:id="32" w:name="_Official_information_complaints"/>
      <w:bookmarkStart w:id="33" w:name="_Systemic_improvement"/>
      <w:bookmarkStart w:id="34" w:name="_Protected_disclosures_2"/>
      <w:bookmarkStart w:id="35" w:name="_United_Nations_Optional"/>
      <w:bookmarkStart w:id="36" w:name="_United_Nations_Convention"/>
      <w:bookmarkStart w:id="37" w:name="_Advice,_guidance_and"/>
      <w:bookmarkEnd w:id="32"/>
      <w:bookmarkEnd w:id="33"/>
      <w:bookmarkEnd w:id="34"/>
      <w:bookmarkEnd w:id="35"/>
      <w:bookmarkEnd w:id="36"/>
      <w:bookmarkEnd w:id="37"/>
      <w:r w:rsidR="00CE5E04">
        <w:br w:type="page"/>
      </w:r>
    </w:p>
    <w:p w14:paraId="35018DBE" w14:textId="77777777" w:rsidR="00CE5E04" w:rsidRPr="00B36520" w:rsidRDefault="00CE5E04" w:rsidP="00CE5E04">
      <w:pPr>
        <w:pStyle w:val="HeadingPart"/>
      </w:pPr>
      <w:r>
        <w:rPr>
          <w:noProof/>
          <w:lang w:eastAsia="en-NZ"/>
        </w:rPr>
        <mc:AlternateContent>
          <mc:Choice Requires="wps">
            <w:drawing>
              <wp:anchor distT="0" distB="0" distL="114300" distR="114300" simplePos="0" relativeHeight="251660288" behindDoc="0" locked="0" layoutInCell="1" allowOverlap="1" wp14:anchorId="33670EAF" wp14:editId="13AB11F7">
                <wp:simplePos x="0" y="0"/>
                <wp:positionH relativeFrom="page">
                  <wp:posOffset>5622925</wp:posOffset>
                </wp:positionH>
                <wp:positionV relativeFrom="page">
                  <wp:posOffset>1487805</wp:posOffset>
                </wp:positionV>
                <wp:extent cx="1189990" cy="2524125"/>
                <wp:effectExtent l="3175" t="1905" r="0" b="0"/>
                <wp:wrapNone/>
                <wp:docPr id="16" name="Text Box 6" title="Illustrative element - numbe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ED30F" w14:textId="77777777" w:rsidR="0099164B" w:rsidRPr="00C95275" w:rsidRDefault="0099164B" w:rsidP="00CE5E04">
                            <w:pPr>
                              <w:spacing w:after="0"/>
                              <w:jc w:val="right"/>
                              <w:rPr>
                                <w:rFonts w:ascii="Lucida Sans" w:hAnsi="Lucida Sans" w:cs="Lucida Sans"/>
                                <w:color w:val="2BB673"/>
                                <w:sz w:val="280"/>
                                <w:szCs w:val="280"/>
                              </w:rPr>
                            </w:pPr>
                            <w:r>
                              <w:rPr>
                                <w:rFonts w:ascii="Lucida Sans" w:hAnsi="Lucida Sans" w:cs="Lucida Sans"/>
                                <w:color w:val="2BB673"/>
                                <w:sz w:val="280"/>
                                <w:szCs w:val="280"/>
                              </w:rPr>
                              <w:t>3</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33670EAF" id="Text Box 6" o:spid="_x0000_s1028" type="#_x0000_t202" alt="Title: Illustrative element - number '3'" style="position:absolute;margin-left:442.75pt;margin-top:117.15pt;width:93.7pt;height:19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" filled="f" stroked="f">
                <v:textbox>
                  <w:txbxContent>
                    <w:p w14:paraId="636ED30F" w14:textId="77777777" w:rsidR="0099164B" w:rsidRPr="00C95275" w:rsidRDefault="0099164B" w:rsidP="00CE5E04">
                      <w:pPr>
                        <w:spacing w:after="0"/>
                        <w:jc w:val="right"/>
                        <w:rPr>
                          <w:rFonts w:ascii="Lucida Sans" w:hAnsi="Lucida Sans" w:cs="Lucida Sans"/>
                          <w:color w:val="2BB673"/>
                          <w:sz w:val="280"/>
                          <w:szCs w:val="280"/>
                        </w:rPr>
                      </w:pPr>
                      <w:r>
                        <w:rPr>
                          <w:rFonts w:ascii="Lucida Sans" w:hAnsi="Lucida Sans" w:cs="Lucida Sans"/>
                          <w:color w:val="2BB673"/>
                          <w:sz w:val="280"/>
                          <w:szCs w:val="280"/>
                        </w:rPr>
                        <w:t>3</w:t>
                      </w:r>
                    </w:p>
                  </w:txbxContent>
                </v:textbox>
                <w10:wrap anchorx="page" anchory="page"/>
              </v:shape>
            </w:pict>
          </mc:Fallback>
        </mc:AlternateContent>
      </w:r>
    </w:p>
    <w:p w14:paraId="17A7917C" w14:textId="77777777" w:rsidR="00CE5E04" w:rsidRDefault="00CE5E04" w:rsidP="00CE5E04">
      <w:pPr>
        <w:pStyle w:val="Heading1"/>
        <w:pageBreakBefore w:val="0"/>
        <w:tabs>
          <w:tab w:val="right" w:pos="9014"/>
        </w:tabs>
        <w:spacing w:after="1680"/>
      </w:pPr>
      <w:bookmarkStart w:id="38" w:name="_Background"/>
      <w:bookmarkStart w:id="39" w:name="_Ref336353922"/>
      <w:bookmarkEnd w:id="38"/>
      <w:r w:rsidRPr="00C64735">
        <w:t>Background</w:t>
      </w:r>
      <w:bookmarkEnd w:id="39"/>
      <w:r>
        <w:tab/>
      </w:r>
    </w:p>
    <w:tbl>
      <w:tblPr>
        <w:tblStyle w:val="TableGridAnnualReport"/>
        <w:tblW w:w="9278" w:type="dxa"/>
        <w:tblInd w:w="10" w:type="dxa"/>
        <w:tblBorders>
          <w:left w:val="single" w:sz="8" w:space="0" w:color="FFFFFF" w:themeColor="background1"/>
          <w:bottom w:val="single" w:sz="8" w:space="0" w:color="auto"/>
          <w:right w:val="single" w:sz="8" w:space="0" w:color="FFFFFF" w:themeColor="background1"/>
          <w:insideH w:val="single" w:sz="8" w:space="0" w:color="auto"/>
          <w:insideV w:val="single" w:sz="8" w:space="0" w:color="FFFFFF" w:themeColor="background1"/>
        </w:tblBorders>
        <w:shd w:val="clear" w:color="000000" w:fill="auto"/>
        <w:tblLook w:val="04A0" w:firstRow="1" w:lastRow="0" w:firstColumn="1" w:lastColumn="0" w:noHBand="0" w:noVBand="1"/>
        <w:tblCaption w:val="Contents Section 3"/>
      </w:tblPr>
      <w:tblGrid>
        <w:gridCol w:w="8208"/>
        <w:gridCol w:w="1070"/>
      </w:tblGrid>
      <w:tr w:rsidR="009B64C4" w:rsidRPr="00F31CFD" w14:paraId="4C3A1E20" w14:textId="77777777" w:rsidTr="00815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12850543" w14:textId="1A2688DB" w:rsidR="009B64C4" w:rsidRDefault="005B795D" w:rsidP="0081525B">
            <w:pPr>
              <w:spacing w:before="120" w:after="120" w:line="276" w:lineRule="auto"/>
            </w:pPr>
            <w:hyperlink w:anchor="_Nature_and_scope" w:history="1">
              <w:r w:rsidR="009B64C4" w:rsidRPr="00591A85">
                <w:rPr>
                  <w:rStyle w:val="Hyperlink"/>
                </w:rPr>
                <w:t>Nature and scope of the Ombudsman’s functions</w:t>
              </w:r>
            </w:hyperlink>
          </w:p>
        </w:tc>
        <w:tc>
          <w:tcPr>
            <w:tcW w:w="1070" w:type="dxa"/>
            <w:tcBorders>
              <w:left w:val="single" w:sz="8" w:space="0" w:color="FFFFFF"/>
            </w:tcBorders>
            <w:shd w:val="clear" w:color="000000" w:fill="auto"/>
            <w:vAlign w:val="center"/>
          </w:tcPr>
          <w:p w14:paraId="14278C32" w14:textId="3154290B" w:rsidR="009B64C4" w:rsidRPr="00F31CFD" w:rsidRDefault="00F31CFD" w:rsidP="009B64C4">
            <w:pPr>
              <w:spacing w:before="120" w:after="120" w:line="276" w:lineRule="auto"/>
              <w:jc w:val="right"/>
              <w:cnfStyle w:val="100000000000" w:firstRow="1" w:lastRow="0" w:firstColumn="0" w:lastColumn="0" w:oddVBand="0" w:evenVBand="0" w:oddHBand="0" w:evenHBand="0" w:firstRowFirstColumn="0" w:firstRowLastColumn="0" w:lastRowFirstColumn="0" w:lastRowLastColumn="0"/>
              <w:rPr>
                <w:sz w:val="25"/>
                <w:szCs w:val="25"/>
              </w:rPr>
            </w:pPr>
            <w:r w:rsidRPr="00F31CFD">
              <w:rPr>
                <w:sz w:val="25"/>
                <w:szCs w:val="25"/>
              </w:rPr>
              <w:fldChar w:fldCharType="begin"/>
            </w:r>
            <w:r w:rsidRPr="00F31CFD">
              <w:rPr>
                <w:sz w:val="25"/>
                <w:szCs w:val="25"/>
              </w:rPr>
              <w:instrText xml:space="preserve"> PAGEREF _Ref336351720 \h </w:instrText>
            </w:r>
            <w:r w:rsidRPr="00F31CFD">
              <w:rPr>
                <w:sz w:val="25"/>
                <w:szCs w:val="25"/>
              </w:rPr>
            </w:r>
            <w:r w:rsidRPr="00F31CFD">
              <w:rPr>
                <w:sz w:val="25"/>
                <w:szCs w:val="25"/>
              </w:rPr>
              <w:fldChar w:fldCharType="separate"/>
            </w:r>
            <w:r w:rsidR="00E36674">
              <w:rPr>
                <w:noProof/>
                <w:sz w:val="25"/>
                <w:szCs w:val="25"/>
              </w:rPr>
              <w:t>14</w:t>
            </w:r>
            <w:r w:rsidRPr="00F31CFD">
              <w:rPr>
                <w:sz w:val="25"/>
                <w:szCs w:val="25"/>
              </w:rPr>
              <w:fldChar w:fldCharType="end"/>
            </w:r>
          </w:p>
        </w:tc>
      </w:tr>
      <w:tr w:rsidR="009B64C4" w:rsidRPr="00F31CFD" w14:paraId="71B88C7C" w14:textId="77777777" w:rsidTr="0081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6CA281CC" w14:textId="04B75734" w:rsidR="009B64C4" w:rsidRPr="005107B4" w:rsidRDefault="005B795D" w:rsidP="0081525B">
            <w:pPr>
              <w:spacing w:before="120" w:after="120" w:line="276" w:lineRule="auto"/>
              <w:rPr>
                <w:sz w:val="25"/>
                <w:szCs w:val="25"/>
              </w:rPr>
            </w:pPr>
            <w:hyperlink w:anchor="_Outcomes_and_impacts" w:history="1">
              <w:r w:rsidR="009B64C4" w:rsidRPr="00591A85">
                <w:rPr>
                  <w:rStyle w:val="Hyperlink"/>
                </w:rPr>
                <w:t>Outcomes and impacts sought by the Ombudsman</w:t>
              </w:r>
            </w:hyperlink>
          </w:p>
        </w:tc>
        <w:tc>
          <w:tcPr>
            <w:tcW w:w="1070" w:type="dxa"/>
            <w:tcBorders>
              <w:top w:val="nil"/>
              <w:left w:val="single" w:sz="8" w:space="0" w:color="FFFFFF"/>
            </w:tcBorders>
            <w:shd w:val="clear" w:color="000000" w:fill="auto"/>
            <w:vAlign w:val="center"/>
          </w:tcPr>
          <w:p w14:paraId="315A5696" w14:textId="72DF6ECB" w:rsidR="009B64C4" w:rsidRPr="00F31CFD" w:rsidRDefault="00F31CFD" w:rsidP="0081525B">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sidRPr="00F31CFD">
              <w:rPr>
                <w:sz w:val="25"/>
                <w:szCs w:val="25"/>
              </w:rPr>
              <w:fldChar w:fldCharType="begin"/>
            </w:r>
            <w:r w:rsidRPr="00F31CFD">
              <w:rPr>
                <w:sz w:val="25"/>
                <w:szCs w:val="25"/>
              </w:rPr>
              <w:instrText xml:space="preserve"> PAGEREF _Ref54687073 \h </w:instrText>
            </w:r>
            <w:r w:rsidRPr="00F31CFD">
              <w:rPr>
                <w:sz w:val="25"/>
                <w:szCs w:val="25"/>
              </w:rPr>
            </w:r>
            <w:r w:rsidRPr="00F31CFD">
              <w:rPr>
                <w:sz w:val="25"/>
                <w:szCs w:val="25"/>
              </w:rPr>
              <w:fldChar w:fldCharType="separate"/>
            </w:r>
            <w:r w:rsidR="00E36674">
              <w:rPr>
                <w:noProof/>
                <w:sz w:val="25"/>
                <w:szCs w:val="25"/>
              </w:rPr>
              <w:t>16</w:t>
            </w:r>
            <w:r w:rsidRPr="00F31CFD">
              <w:rPr>
                <w:sz w:val="25"/>
                <w:szCs w:val="25"/>
              </w:rPr>
              <w:fldChar w:fldCharType="end"/>
            </w:r>
          </w:p>
        </w:tc>
      </w:tr>
      <w:tr w:rsidR="009B64C4" w:rsidRPr="00F31CFD" w14:paraId="57E90F72" w14:textId="77777777" w:rsidTr="008152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4FF262A3" w14:textId="00AA5EE1" w:rsidR="009B64C4" w:rsidRDefault="005B795D" w:rsidP="0081525B">
            <w:pPr>
              <w:spacing w:before="120" w:after="120" w:line="276" w:lineRule="auto"/>
            </w:pPr>
            <w:hyperlink w:anchor="_Ombudsman_outcomes_framework_1" w:history="1">
              <w:r w:rsidR="009B64C4" w:rsidRPr="00591A85">
                <w:rPr>
                  <w:rStyle w:val="Hyperlink"/>
                </w:rPr>
                <w:t xml:space="preserve">Ombudsman </w:t>
              </w:r>
              <w:r w:rsidR="009B64C4">
                <w:rPr>
                  <w:rStyle w:val="Hyperlink"/>
                </w:rPr>
                <w:t>O</w:t>
              </w:r>
              <w:r w:rsidR="009B64C4" w:rsidRPr="00591A85">
                <w:rPr>
                  <w:rStyle w:val="Hyperlink"/>
                </w:rPr>
                <w:t xml:space="preserve">utcomes </w:t>
              </w:r>
              <w:r w:rsidR="009B64C4">
                <w:rPr>
                  <w:rStyle w:val="Hyperlink"/>
                </w:rPr>
                <w:t>F</w:t>
              </w:r>
              <w:r w:rsidR="009B64C4" w:rsidRPr="00591A85">
                <w:rPr>
                  <w:rStyle w:val="Hyperlink"/>
                </w:rPr>
                <w:t>ramework</w:t>
              </w:r>
            </w:hyperlink>
          </w:p>
        </w:tc>
        <w:tc>
          <w:tcPr>
            <w:tcW w:w="1070" w:type="dxa"/>
            <w:tcBorders>
              <w:left w:val="single" w:sz="8" w:space="0" w:color="FFFFFF"/>
            </w:tcBorders>
            <w:shd w:val="clear" w:color="000000" w:fill="auto"/>
            <w:vAlign w:val="center"/>
          </w:tcPr>
          <w:p w14:paraId="20BEEF25" w14:textId="4FF7A5E4" w:rsidR="009B64C4" w:rsidRPr="00F31CFD" w:rsidRDefault="00F31CFD" w:rsidP="0081525B">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sidRPr="00F31CFD">
              <w:rPr>
                <w:sz w:val="25"/>
                <w:szCs w:val="25"/>
              </w:rPr>
              <w:fldChar w:fldCharType="begin"/>
            </w:r>
            <w:r w:rsidRPr="00F31CFD">
              <w:rPr>
                <w:sz w:val="25"/>
                <w:szCs w:val="25"/>
              </w:rPr>
              <w:instrText xml:space="preserve"> PAGEREF _Ref54687079 \h </w:instrText>
            </w:r>
            <w:r w:rsidRPr="00F31CFD">
              <w:rPr>
                <w:sz w:val="25"/>
                <w:szCs w:val="25"/>
              </w:rPr>
            </w:r>
            <w:r w:rsidRPr="00F31CFD">
              <w:rPr>
                <w:sz w:val="25"/>
                <w:szCs w:val="25"/>
              </w:rPr>
              <w:fldChar w:fldCharType="separate"/>
            </w:r>
            <w:r w:rsidR="00E36674">
              <w:rPr>
                <w:noProof/>
                <w:sz w:val="25"/>
                <w:szCs w:val="25"/>
              </w:rPr>
              <w:t>17</w:t>
            </w:r>
            <w:r w:rsidRPr="00F31CFD">
              <w:rPr>
                <w:sz w:val="25"/>
                <w:szCs w:val="25"/>
              </w:rPr>
              <w:fldChar w:fldCharType="end"/>
            </w:r>
          </w:p>
        </w:tc>
      </w:tr>
    </w:tbl>
    <w:p w14:paraId="23025A50" w14:textId="77777777" w:rsidR="00CE5E04" w:rsidRDefault="00CE5E04">
      <w:pPr>
        <w:spacing w:line="276" w:lineRule="auto"/>
      </w:pPr>
      <w:r>
        <w:br w:type="page"/>
      </w:r>
    </w:p>
    <w:p w14:paraId="2C4F76FF" w14:textId="77777777" w:rsidR="00CE5E04" w:rsidRPr="007A4A14" w:rsidRDefault="00CE5E04" w:rsidP="00CE5E04">
      <w:pPr>
        <w:pStyle w:val="Heading2"/>
      </w:pPr>
      <w:bookmarkStart w:id="40" w:name="_Nature_and_scope"/>
      <w:bookmarkStart w:id="41" w:name="_Ref336351720"/>
      <w:bookmarkEnd w:id="40"/>
      <w:r w:rsidRPr="007A4A14">
        <w:t>Nature and scope of the Ombudsman</w:t>
      </w:r>
      <w:r>
        <w:t>’</w:t>
      </w:r>
      <w:r w:rsidRPr="007A4A14">
        <w:t>s functions</w:t>
      </w:r>
      <w:bookmarkEnd w:id="41"/>
    </w:p>
    <w:p w14:paraId="7F94D67F" w14:textId="77777777" w:rsidR="00CE5E04" w:rsidRPr="007A4A14" w:rsidRDefault="00331424" w:rsidP="00CE5E04">
      <w:pPr>
        <w:pStyle w:val="BodyText"/>
      </w:pPr>
      <w:r>
        <w:t>The</w:t>
      </w:r>
      <w:r w:rsidR="004A5C74">
        <w:t xml:space="preserve"> Ombudsma</w:t>
      </w:r>
      <w:r w:rsidR="00CE5E04" w:rsidRPr="007A4A14">
        <w:t xml:space="preserve">n </w:t>
      </w:r>
      <w:r w:rsidR="004A5C74">
        <w:t xml:space="preserve">is an </w:t>
      </w:r>
      <w:r w:rsidR="00CE5E04" w:rsidRPr="007A4A14">
        <w:t xml:space="preserve">Officer of </w:t>
      </w:r>
      <w:r w:rsidR="004A5C74">
        <w:t>Parliament and is</w:t>
      </w:r>
      <w:r w:rsidR="00CE5E04" w:rsidRPr="007A4A14">
        <w:t xml:space="preserve"> appointed by the Governor-General on the recommendation of Parliament. </w:t>
      </w:r>
      <w:r w:rsidR="00950AB2">
        <w:t xml:space="preserve">In my role as Ombudsman, </w:t>
      </w:r>
      <w:r w:rsidR="004A5C74">
        <w:t>I am</w:t>
      </w:r>
      <w:r w:rsidR="00CE5E04" w:rsidRPr="007A4A14">
        <w:t xml:space="preserve"> responsible to Parliament and</w:t>
      </w:r>
      <w:r w:rsidR="00DA2CCE">
        <w:t xml:space="preserve"> independent of the Government.</w:t>
      </w:r>
    </w:p>
    <w:p w14:paraId="0BF5B961" w14:textId="77777777" w:rsidR="00CE5E04" w:rsidRPr="007A4A14" w:rsidRDefault="004A5C74" w:rsidP="00CE5E04">
      <w:pPr>
        <w:pStyle w:val="Heading3"/>
      </w:pPr>
      <w:r>
        <w:t>My</w:t>
      </w:r>
      <w:r w:rsidR="00CE5E04" w:rsidRPr="007A4A14">
        <w:t xml:space="preserve"> purpose</w:t>
      </w:r>
    </w:p>
    <w:p w14:paraId="6CD57FCC" w14:textId="11BBD3F1" w:rsidR="00CE5E04" w:rsidRPr="007A4A14" w:rsidRDefault="004A5C74" w:rsidP="00CE5E04">
      <w:pPr>
        <w:pStyle w:val="BodyText"/>
      </w:pPr>
      <w:r>
        <w:t>My</w:t>
      </w:r>
      <w:r w:rsidR="00CE5E04" w:rsidRPr="007A4A14">
        <w:t xml:space="preserve"> overall purpose is to investigate, review</w:t>
      </w:r>
      <w:r w:rsidR="00012BA8">
        <w:t>,</w:t>
      </w:r>
      <w:r w:rsidR="00CE5E04" w:rsidRPr="007A4A14">
        <w:t xml:space="preserve"> and inspect conduct </w:t>
      </w:r>
      <w:r w:rsidR="00341780">
        <w:t xml:space="preserve">and decision making </w:t>
      </w:r>
      <w:r w:rsidR="00CE5E04" w:rsidRPr="007A4A14">
        <w:t>and provide advice and guidance in order to ensure people are treated fairly</w:t>
      </w:r>
      <w:r w:rsidR="00DA2CCE">
        <w:t>.</w:t>
      </w:r>
      <w:r w:rsidR="0000138E">
        <w:t xml:space="preserve"> </w:t>
      </w:r>
    </w:p>
    <w:p w14:paraId="5594B2D7" w14:textId="77777777" w:rsidR="00CE5E04" w:rsidRPr="007A4A14" w:rsidRDefault="004A5C74" w:rsidP="00CE5E04">
      <w:pPr>
        <w:pStyle w:val="Heading3"/>
      </w:pPr>
      <w:r>
        <w:t>My</w:t>
      </w:r>
      <w:r w:rsidR="00CE5E04" w:rsidRPr="007A4A14">
        <w:t xml:space="preserve"> functions</w:t>
      </w:r>
    </w:p>
    <w:p w14:paraId="449DB427" w14:textId="77777777" w:rsidR="009A1BFB" w:rsidRDefault="004A5C74" w:rsidP="009A1BFB">
      <w:pPr>
        <w:pStyle w:val="BodyText"/>
      </w:pPr>
      <w:r>
        <w:t>My</w:t>
      </w:r>
      <w:r w:rsidR="008559BD" w:rsidRPr="00B878A6">
        <w:t xml:space="preserve"> functions are to: </w:t>
      </w:r>
    </w:p>
    <w:p w14:paraId="71151208" w14:textId="313EF515" w:rsidR="00783E22" w:rsidRDefault="00783E22" w:rsidP="00783E22">
      <w:pPr>
        <w:pStyle w:val="ListBullet"/>
      </w:pPr>
      <w:r>
        <w:t xml:space="preserve">inform the public to enable them to take constructive action to realise their rights; </w:t>
      </w:r>
    </w:p>
    <w:p w14:paraId="5061C341" w14:textId="77777777" w:rsidR="009A1BFB" w:rsidRDefault="009A1BFB" w:rsidP="009A1BFB">
      <w:pPr>
        <w:pStyle w:val="ListBullet"/>
      </w:pPr>
      <w:r>
        <w:t xml:space="preserve">improve public sector capability to do its work and make decisions; </w:t>
      </w:r>
    </w:p>
    <w:p w14:paraId="518C6250" w14:textId="77777777" w:rsidR="009A1BFB" w:rsidRDefault="009A1BFB" w:rsidP="009A1BFB">
      <w:pPr>
        <w:pStyle w:val="ListBullet"/>
      </w:pPr>
      <w:r>
        <w:t xml:space="preserve">undertake formal consultations to assist public sector agencies to make specific decisions; </w:t>
      </w:r>
    </w:p>
    <w:p w14:paraId="11A47EC4" w14:textId="77777777" w:rsidR="009A1BFB" w:rsidRDefault="009A1BFB" w:rsidP="009A1BFB">
      <w:pPr>
        <w:pStyle w:val="ListBullet"/>
      </w:pPr>
      <w:r>
        <w:t>deal with requests for advice and guidance about alleged serious wrongdoing;</w:t>
      </w:r>
      <w:r>
        <w:rPr>
          <w:rStyle w:val="FootnoteReference"/>
        </w:rPr>
        <w:footnoteReference w:id="8"/>
      </w:r>
    </w:p>
    <w:p w14:paraId="6E9FE7A9" w14:textId="77777777" w:rsidR="009A1BFB" w:rsidRDefault="009A1BFB" w:rsidP="009A1BFB">
      <w:pPr>
        <w:pStyle w:val="ListBullet"/>
      </w:pPr>
      <w:r>
        <w:t>protect and monitor disability rights in New Zealand;</w:t>
      </w:r>
      <w:r>
        <w:rPr>
          <w:rStyle w:val="FootnoteReference"/>
        </w:rPr>
        <w:footnoteReference w:id="9"/>
      </w:r>
      <w:r>
        <w:t xml:space="preserve"> </w:t>
      </w:r>
    </w:p>
    <w:p w14:paraId="07874305" w14:textId="77777777" w:rsidR="009A1BFB" w:rsidRDefault="009A1BFB" w:rsidP="009A1BFB">
      <w:pPr>
        <w:pStyle w:val="ListBullet"/>
      </w:pPr>
      <w:r>
        <w:t>monitor and inspect places of detention for cruel and inhumane treatment;</w:t>
      </w:r>
      <w:r>
        <w:rPr>
          <w:rStyle w:val="FootnoteReference"/>
        </w:rPr>
        <w:footnoteReference w:id="10"/>
      </w:r>
      <w:r>
        <w:t xml:space="preserve"> </w:t>
      </w:r>
    </w:p>
    <w:p w14:paraId="6B22DDC5" w14:textId="77777777" w:rsidR="009A1BFB" w:rsidRDefault="009A1BFB" w:rsidP="009A1BFB">
      <w:pPr>
        <w:pStyle w:val="ListBullet"/>
      </w:pPr>
      <w:r>
        <w:t>resolve, investigate</w:t>
      </w:r>
      <w:r w:rsidR="004B5105">
        <w:t>,</w:t>
      </w:r>
      <w:r>
        <w:t xml:space="preserve"> and review complaints about decisions on requests for access to official information;</w:t>
      </w:r>
      <w:r>
        <w:rPr>
          <w:rStyle w:val="FootnoteReference"/>
        </w:rPr>
        <w:footnoteReference w:id="11"/>
      </w:r>
    </w:p>
    <w:p w14:paraId="33A2CF4B" w14:textId="77777777" w:rsidR="009A1BFB" w:rsidRDefault="009A1BFB" w:rsidP="009A1BFB">
      <w:pPr>
        <w:pStyle w:val="ListBullet"/>
      </w:pPr>
      <w:r>
        <w:t>monitor general compliance and good practice by public sector agencies in managing and responding to official information requests;</w:t>
      </w:r>
      <w:r w:rsidR="00730409">
        <w:rPr>
          <w:rStyle w:val="FootnoteReference"/>
        </w:rPr>
        <w:footnoteReference w:id="12"/>
      </w:r>
      <w:r>
        <w:t xml:space="preserve"> </w:t>
      </w:r>
    </w:p>
    <w:p w14:paraId="07F74C7D" w14:textId="5D8EA93C" w:rsidR="009A1BFB" w:rsidRDefault="009A1BFB" w:rsidP="009A1BFB">
      <w:pPr>
        <w:pStyle w:val="ListBullet"/>
      </w:pPr>
      <w:r>
        <w:t xml:space="preserve">resolve and investigate complaints about </w:t>
      </w:r>
      <w:r w:rsidR="00341780">
        <w:t xml:space="preserve">decision making and conduct in the </w:t>
      </w:r>
      <w:r>
        <w:t>public sector;</w:t>
      </w:r>
      <w:r>
        <w:rPr>
          <w:rStyle w:val="FootnoteReference"/>
        </w:rPr>
        <w:footnoteReference w:id="13"/>
      </w:r>
      <w:r>
        <w:t xml:space="preserve"> </w:t>
      </w:r>
    </w:p>
    <w:p w14:paraId="353DFB87" w14:textId="77777777" w:rsidR="009A1BFB" w:rsidRDefault="009A1BFB" w:rsidP="009A1BFB">
      <w:pPr>
        <w:pStyle w:val="ListBullet"/>
      </w:pPr>
      <w:r>
        <w:t>contribute to systemic improvement by identifying, resolving</w:t>
      </w:r>
      <w:r w:rsidR="00506E02">
        <w:t>,</w:t>
      </w:r>
      <w:r>
        <w:t xml:space="preserve"> and investigating concerns with public sector administration and decision making;</w:t>
      </w:r>
      <w:r w:rsidR="00730409">
        <w:rPr>
          <w:rStyle w:val="FootnoteReference"/>
        </w:rPr>
        <w:footnoteReference w:id="14"/>
      </w:r>
      <w:r>
        <w:t xml:space="preserve"> and </w:t>
      </w:r>
    </w:p>
    <w:p w14:paraId="25E732A7" w14:textId="77777777" w:rsidR="009A1BFB" w:rsidRDefault="009A1BFB" w:rsidP="009A1BFB">
      <w:pPr>
        <w:pStyle w:val="ListBullet"/>
      </w:pPr>
      <w:r>
        <w:t xml:space="preserve">learn from, and assist to develop, international best practice. </w:t>
      </w:r>
    </w:p>
    <w:p w14:paraId="318EE485" w14:textId="77777777" w:rsidR="00AE3702" w:rsidRPr="007A4A14" w:rsidRDefault="00300A21" w:rsidP="00AE3702">
      <w:pPr>
        <w:pStyle w:val="Heading3"/>
      </w:pPr>
      <w:r>
        <w:t>My</w:t>
      </w:r>
      <w:r w:rsidR="00AE3702" w:rsidRPr="007A4A14">
        <w:t xml:space="preserve"> </w:t>
      </w:r>
      <w:r w:rsidR="00AE3702">
        <w:t>contribution</w:t>
      </w:r>
    </w:p>
    <w:p w14:paraId="51E19077" w14:textId="77777777" w:rsidR="00CB4E9A" w:rsidRDefault="00CE5E04" w:rsidP="00CE5E04">
      <w:pPr>
        <w:pStyle w:val="BodyText"/>
      </w:pPr>
      <w:r w:rsidRPr="007A4A14">
        <w:t xml:space="preserve">In carrying out </w:t>
      </w:r>
      <w:r w:rsidR="00BA376B">
        <w:t>my</w:t>
      </w:r>
      <w:r w:rsidRPr="007A4A14">
        <w:t xml:space="preserve"> functions, </w:t>
      </w:r>
      <w:r w:rsidR="00300A21">
        <w:t>I</w:t>
      </w:r>
      <w:r w:rsidRPr="007A4A14">
        <w:t xml:space="preserve"> provide Parliament and the </w:t>
      </w:r>
      <w:r>
        <w:t>New Zealand</w:t>
      </w:r>
      <w:r w:rsidRPr="007A4A14">
        <w:t xml:space="preserve"> public with an independent and impartial check on</w:t>
      </w:r>
      <w:r w:rsidR="00CB4E9A">
        <w:t>:</w:t>
      </w:r>
    </w:p>
    <w:p w14:paraId="55701060" w14:textId="58324CC7" w:rsidR="00CB4E9A" w:rsidRDefault="00CE5E04" w:rsidP="002733A7">
      <w:pPr>
        <w:pStyle w:val="Bullet1"/>
      </w:pPr>
      <w:r w:rsidRPr="007A4A14">
        <w:t>the quality, fairness</w:t>
      </w:r>
      <w:r w:rsidR="00012BA8">
        <w:t>,</w:t>
      </w:r>
      <w:r w:rsidRPr="007A4A14">
        <w:t xml:space="preserve"> and integrity of </w:t>
      </w:r>
      <w:r>
        <w:t>public</w:t>
      </w:r>
      <w:r w:rsidRPr="007A4A14">
        <w:t xml:space="preserve"> sector conduct</w:t>
      </w:r>
      <w:r w:rsidR="00341780">
        <w:t xml:space="preserve"> and decision making</w:t>
      </w:r>
      <w:r w:rsidR="00CB4E9A">
        <w:t>;</w:t>
      </w:r>
    </w:p>
    <w:p w14:paraId="47312956" w14:textId="77777777" w:rsidR="00CB4E9A" w:rsidRDefault="00CB4E9A" w:rsidP="002733A7">
      <w:pPr>
        <w:pStyle w:val="Bullet1"/>
      </w:pPr>
      <w:r w:rsidRPr="00CB4E9A">
        <w:t xml:space="preserve">the conditions and treatment of people in detention, and </w:t>
      </w:r>
      <w:r w:rsidR="007643E5">
        <w:t xml:space="preserve">the </w:t>
      </w:r>
      <w:r w:rsidRPr="00CB4E9A">
        <w:t>prevent</w:t>
      </w:r>
      <w:r w:rsidR="007643E5">
        <w:t>ion of</w:t>
      </w:r>
      <w:r w:rsidRPr="00CB4E9A">
        <w:t xml:space="preserve"> cruel, inhuman or deg</w:t>
      </w:r>
      <w:r>
        <w:t>rading treatment or punishment;</w:t>
      </w:r>
      <w:r w:rsidR="00CF31F2">
        <w:t xml:space="preserve"> and</w:t>
      </w:r>
    </w:p>
    <w:p w14:paraId="440BA8C0" w14:textId="77777777" w:rsidR="00CE5E04" w:rsidRDefault="00CB4E9A" w:rsidP="002733A7">
      <w:pPr>
        <w:pStyle w:val="Bullet1"/>
      </w:pPr>
      <w:r>
        <w:t xml:space="preserve">the </w:t>
      </w:r>
      <w:r w:rsidRPr="00CB4E9A">
        <w:t>implementation of the rights in the Disability Convention.</w:t>
      </w:r>
    </w:p>
    <w:p w14:paraId="0E55A5CB" w14:textId="30B83636" w:rsidR="00750E47" w:rsidRDefault="00AD2026" w:rsidP="00CE5E04">
      <w:pPr>
        <w:pStyle w:val="BodyText"/>
      </w:pPr>
      <w:r>
        <w:t xml:space="preserve">In my interventions, </w:t>
      </w:r>
      <w:r w:rsidR="00300A21">
        <w:t>I</w:t>
      </w:r>
      <w:r w:rsidR="00CE5E04" w:rsidRPr="007A4A14">
        <w:t xml:space="preserve"> can help to re</w:t>
      </w:r>
      <w:r w:rsidR="00CE5E04">
        <w:t>duce overall downstream costs</w:t>
      </w:r>
      <w:r w:rsidR="00CE5E04" w:rsidRPr="007A4A14">
        <w:t xml:space="preserve"> caused by poor decision making</w:t>
      </w:r>
      <w:r w:rsidR="00AF3529">
        <w:t xml:space="preserve"> and </w:t>
      </w:r>
      <w:r w:rsidR="00CE5E04" w:rsidRPr="007A4A14">
        <w:t>ineffective processes</w:t>
      </w:r>
      <w:r w:rsidR="00CB4E9A">
        <w:t xml:space="preserve">, and </w:t>
      </w:r>
      <w:r w:rsidR="00CB4E9A" w:rsidRPr="00772131">
        <w:t xml:space="preserve">protect </w:t>
      </w:r>
      <w:r w:rsidR="00D469F2" w:rsidRPr="00D469F2">
        <w:t xml:space="preserve">people’s </w:t>
      </w:r>
      <w:r w:rsidR="00CB4E9A" w:rsidRPr="00772131">
        <w:t>rights</w:t>
      </w:r>
      <w:r w:rsidR="00CE5E04" w:rsidRPr="00D469F2">
        <w:t>.</w:t>
      </w:r>
    </w:p>
    <w:tbl>
      <w:tblPr>
        <w:tblStyle w:val="TableBox"/>
        <w:tblW w:w="9297" w:type="dxa"/>
        <w:tblLayout w:type="fixed"/>
        <w:tblLook w:val="0420" w:firstRow="1" w:lastRow="0" w:firstColumn="0" w:lastColumn="0" w:noHBand="0" w:noVBand="1"/>
        <w:tblCaption w:val="Table to emphasise text - What is the public sector? "/>
      </w:tblPr>
      <w:tblGrid>
        <w:gridCol w:w="9297"/>
      </w:tblGrid>
      <w:tr w:rsidR="000B4B50" w14:paraId="059BC3B4" w14:textId="77777777" w:rsidTr="00CE5E04">
        <w:tc>
          <w:tcPr>
            <w:tcW w:w="9297" w:type="dxa"/>
          </w:tcPr>
          <w:p w14:paraId="06C620A3" w14:textId="77777777" w:rsidR="00CE5E04" w:rsidRPr="00BE4BB3" w:rsidRDefault="00CE5E04" w:rsidP="00CE5E04">
            <w:pPr>
              <w:pStyle w:val="Headingboxtexttop"/>
            </w:pPr>
            <w:r w:rsidRPr="00BE4BB3">
              <w:t xml:space="preserve">What is the </w:t>
            </w:r>
            <w:r>
              <w:t>public</w:t>
            </w:r>
            <w:r w:rsidRPr="00BE4BB3">
              <w:t xml:space="preserve"> sector? </w:t>
            </w:r>
          </w:p>
          <w:p w14:paraId="79DEB00E" w14:textId="77777777" w:rsidR="00CE5E04" w:rsidRPr="0083123D" w:rsidRDefault="00300A21" w:rsidP="00FE21CE">
            <w:pPr>
              <w:pStyle w:val="Boxsmalltext"/>
            </w:pPr>
            <w:r w:rsidRPr="0083123D">
              <w:t>I have</w:t>
            </w:r>
            <w:r w:rsidR="00CE5E04" w:rsidRPr="0083123D">
              <w:t xml:space="preserve"> authority to investigate approximately 4</w:t>
            </w:r>
            <w:r w:rsidR="006A6F6F" w:rsidRPr="0083123D">
              <w:t>,</w:t>
            </w:r>
            <w:r w:rsidR="00CE5E04" w:rsidRPr="0083123D">
              <w:t xml:space="preserve">000 </w:t>
            </w:r>
            <w:r w:rsidR="00B710F4" w:rsidRPr="0083123D">
              <w:t>agencies</w:t>
            </w:r>
            <w:r w:rsidR="00CE5E04" w:rsidRPr="0083123D">
              <w:t xml:space="preserve"> in the public sector, including:</w:t>
            </w:r>
          </w:p>
          <w:p w14:paraId="6F14F4AE" w14:textId="77777777" w:rsidR="00CE5E04" w:rsidRPr="0083123D" w:rsidRDefault="00CE5E04" w:rsidP="00FE21CE">
            <w:pPr>
              <w:pStyle w:val="Boxsmallbullet1"/>
              <w:rPr>
                <w:sz w:val="22"/>
              </w:rPr>
            </w:pPr>
            <w:r w:rsidRPr="0083123D">
              <w:rPr>
                <w:sz w:val="22"/>
              </w:rPr>
              <w:t>government departments and ministries</w:t>
            </w:r>
            <w:r w:rsidR="006A6F6F" w:rsidRPr="0083123D">
              <w:rPr>
                <w:sz w:val="22"/>
              </w:rPr>
              <w:t>;</w:t>
            </w:r>
          </w:p>
          <w:p w14:paraId="11FBB11F" w14:textId="77777777" w:rsidR="00CE5E04" w:rsidRPr="0083123D" w:rsidRDefault="00CE5E04" w:rsidP="00FE21CE">
            <w:pPr>
              <w:pStyle w:val="Boxsmallbullet1"/>
              <w:rPr>
                <w:sz w:val="22"/>
              </w:rPr>
            </w:pPr>
            <w:r w:rsidRPr="0083123D">
              <w:rPr>
                <w:sz w:val="22"/>
              </w:rPr>
              <w:t>local authorities</w:t>
            </w:r>
            <w:r w:rsidR="006A6F6F" w:rsidRPr="0083123D">
              <w:rPr>
                <w:sz w:val="22"/>
              </w:rPr>
              <w:t>;</w:t>
            </w:r>
          </w:p>
          <w:p w14:paraId="7FC6BA1D" w14:textId="77777777" w:rsidR="00CE5E04" w:rsidRPr="0083123D" w:rsidRDefault="00CE5E04" w:rsidP="00FE21CE">
            <w:pPr>
              <w:pStyle w:val="Boxsmallbullet1"/>
              <w:rPr>
                <w:sz w:val="22"/>
              </w:rPr>
            </w:pPr>
            <w:r w:rsidRPr="0083123D">
              <w:rPr>
                <w:sz w:val="22"/>
              </w:rPr>
              <w:t>crown entities</w:t>
            </w:r>
            <w:r w:rsidR="006A6F6F" w:rsidRPr="0083123D">
              <w:rPr>
                <w:sz w:val="22"/>
              </w:rPr>
              <w:t>;</w:t>
            </w:r>
          </w:p>
          <w:p w14:paraId="05DEF229" w14:textId="77777777" w:rsidR="00CE5E04" w:rsidRPr="0083123D" w:rsidRDefault="00CE5E04" w:rsidP="00FE21CE">
            <w:pPr>
              <w:pStyle w:val="Boxsmallbullet1"/>
              <w:rPr>
                <w:sz w:val="22"/>
              </w:rPr>
            </w:pPr>
            <w:r w:rsidRPr="0083123D">
              <w:rPr>
                <w:sz w:val="22"/>
              </w:rPr>
              <w:t>state-owned enterprises</w:t>
            </w:r>
            <w:r w:rsidR="006A6F6F" w:rsidRPr="0083123D">
              <w:rPr>
                <w:sz w:val="22"/>
              </w:rPr>
              <w:t>;</w:t>
            </w:r>
          </w:p>
          <w:p w14:paraId="54FCB9AD" w14:textId="77777777" w:rsidR="00CE5E04" w:rsidRPr="0083123D" w:rsidRDefault="00CE5E04" w:rsidP="00FE21CE">
            <w:pPr>
              <w:pStyle w:val="Boxsmallbullet1"/>
              <w:rPr>
                <w:sz w:val="22"/>
              </w:rPr>
            </w:pPr>
            <w:r w:rsidRPr="0083123D">
              <w:rPr>
                <w:sz w:val="22"/>
              </w:rPr>
              <w:t>district health boards</w:t>
            </w:r>
            <w:r w:rsidR="006A6F6F" w:rsidRPr="0083123D">
              <w:rPr>
                <w:sz w:val="22"/>
              </w:rPr>
              <w:t>;</w:t>
            </w:r>
          </w:p>
          <w:p w14:paraId="7E6C172F" w14:textId="77777777" w:rsidR="00CE5E04" w:rsidRPr="0083123D" w:rsidRDefault="00CE5E04" w:rsidP="00FE21CE">
            <w:pPr>
              <w:pStyle w:val="Boxsmallbullet1"/>
              <w:rPr>
                <w:sz w:val="22"/>
              </w:rPr>
            </w:pPr>
            <w:r w:rsidRPr="0083123D">
              <w:rPr>
                <w:sz w:val="22"/>
              </w:rPr>
              <w:t>tertiary education institutions</w:t>
            </w:r>
            <w:r w:rsidR="006A6F6F" w:rsidRPr="0083123D">
              <w:rPr>
                <w:sz w:val="22"/>
              </w:rPr>
              <w:t>;</w:t>
            </w:r>
          </w:p>
          <w:p w14:paraId="13C25126" w14:textId="77777777" w:rsidR="00CE5E04" w:rsidRPr="0083123D" w:rsidRDefault="00CE5E04" w:rsidP="00FE21CE">
            <w:pPr>
              <w:pStyle w:val="Boxsmallbullet1"/>
              <w:rPr>
                <w:sz w:val="22"/>
              </w:rPr>
            </w:pPr>
            <w:r w:rsidRPr="0083123D">
              <w:rPr>
                <w:sz w:val="22"/>
              </w:rPr>
              <w:t>school boards of trustees</w:t>
            </w:r>
            <w:r w:rsidR="006A6F6F" w:rsidRPr="0083123D">
              <w:rPr>
                <w:sz w:val="22"/>
              </w:rPr>
              <w:t>; and</w:t>
            </w:r>
          </w:p>
          <w:p w14:paraId="20AFE803" w14:textId="77777777" w:rsidR="00CE5E04" w:rsidRPr="0083123D" w:rsidRDefault="00CE5E04" w:rsidP="00FE21CE">
            <w:pPr>
              <w:pStyle w:val="Boxsmallbullet1"/>
              <w:rPr>
                <w:sz w:val="22"/>
              </w:rPr>
            </w:pPr>
            <w:r w:rsidRPr="0083123D">
              <w:rPr>
                <w:sz w:val="22"/>
              </w:rPr>
              <w:t xml:space="preserve">Ministers of the Crown (in relation to decisions on requests for official information). </w:t>
            </w:r>
          </w:p>
          <w:p w14:paraId="17648054" w14:textId="77777777" w:rsidR="00776C3B" w:rsidRPr="0083123D" w:rsidRDefault="00300A21" w:rsidP="00FE21CE">
            <w:pPr>
              <w:pStyle w:val="Boxsmalltext"/>
            </w:pPr>
            <w:r w:rsidRPr="0083123D">
              <w:t>I</w:t>
            </w:r>
            <w:r w:rsidR="00776C3B" w:rsidRPr="0083123D">
              <w:t xml:space="preserve"> also have the designation to inspect private sector facilities funded by and/or accountable to the public sector in the detention of aged care recipients</w:t>
            </w:r>
            <w:r w:rsidR="00AF3529" w:rsidRPr="0083123D">
              <w:t xml:space="preserve"> and those in managed isolation and quarantine</w:t>
            </w:r>
            <w:r w:rsidR="00776C3B" w:rsidRPr="0083123D">
              <w:t>.</w:t>
            </w:r>
          </w:p>
        </w:tc>
      </w:tr>
    </w:tbl>
    <w:p w14:paraId="43AF71CF" w14:textId="77777777" w:rsidR="00A60E96" w:rsidRDefault="00A60E96" w:rsidP="00A60E96">
      <w:pPr>
        <w:pStyle w:val="Whitespace"/>
      </w:pPr>
    </w:p>
    <w:p w14:paraId="3CADEC7D" w14:textId="6AA40450" w:rsidR="00CE5E04" w:rsidRPr="00711AE4" w:rsidRDefault="005B795D" w:rsidP="00CE5E04">
      <w:pPr>
        <w:pStyle w:val="BodyText"/>
      </w:pPr>
      <w:hyperlink w:anchor="Contents" w:history="1">
        <w:r w:rsidR="00CE5E04" w:rsidRPr="00F5248A">
          <w:rPr>
            <w:rStyle w:val="Hyperlink"/>
          </w:rPr>
          <w:t>Back to contents</w:t>
        </w:r>
      </w:hyperlink>
    </w:p>
    <w:p w14:paraId="77564C87" w14:textId="77777777" w:rsidR="00CE5E04" w:rsidRPr="00A92458" w:rsidRDefault="00CE5E04" w:rsidP="00137BC6">
      <w:pPr>
        <w:pStyle w:val="Heading2"/>
      </w:pPr>
      <w:bookmarkStart w:id="42" w:name="_Outcomes_and_impacts"/>
      <w:bookmarkStart w:id="43" w:name="_Ref54687073"/>
      <w:bookmarkEnd w:id="42"/>
      <w:r w:rsidRPr="00A92458">
        <w:t>Outcomes and impacts sought by the Ombudsman</w:t>
      </w:r>
      <w:bookmarkEnd w:id="43"/>
    </w:p>
    <w:p w14:paraId="44C2BE12" w14:textId="77777777" w:rsidR="00D273BD" w:rsidRDefault="00300A21" w:rsidP="00137BC6">
      <w:pPr>
        <w:pStyle w:val="BodyText"/>
        <w:keepNext/>
      </w:pPr>
      <w:r>
        <w:t>My</w:t>
      </w:r>
      <w:r w:rsidR="00D273BD" w:rsidRPr="006354CF">
        <w:t xml:space="preserve"> strategic direction is</w:t>
      </w:r>
      <w:r w:rsidR="00D273BD">
        <w:t xml:space="preserve"> </w:t>
      </w:r>
      <w:r w:rsidR="00D273BD" w:rsidRPr="006354CF">
        <w:t xml:space="preserve">guided by the functions assigned to </w:t>
      </w:r>
      <w:r>
        <w:t>me</w:t>
      </w:r>
      <w:r w:rsidR="00D273BD" w:rsidRPr="006354CF">
        <w:t xml:space="preserve"> by Parliament</w:t>
      </w:r>
      <w:r w:rsidR="00D273BD">
        <w:t xml:space="preserve">. </w:t>
      </w:r>
      <w:r>
        <w:t>I</w:t>
      </w:r>
      <w:r w:rsidR="00D273BD">
        <w:t xml:space="preserve"> oversee</w:t>
      </w:r>
      <w:r w:rsidR="00D273BD" w:rsidRPr="006354CF">
        <w:t xml:space="preserve"> a range of key democratic </w:t>
      </w:r>
      <w:r w:rsidR="00D273BD">
        <w:t xml:space="preserve">and human rights </w:t>
      </w:r>
      <w:r w:rsidR="00D273BD" w:rsidRPr="006354CF">
        <w:t xml:space="preserve">measures aimed at safeguarding the rights of individuals and increasing transparency and accountability. </w:t>
      </w:r>
    </w:p>
    <w:p w14:paraId="7E028915" w14:textId="77777777" w:rsidR="00D273BD" w:rsidRDefault="00CB4E9A" w:rsidP="00137BC6">
      <w:pPr>
        <w:pStyle w:val="BodyText"/>
        <w:keepNext/>
      </w:pPr>
      <w:r>
        <w:t>My</w:t>
      </w:r>
      <w:r w:rsidRPr="006354CF">
        <w:t xml:space="preserve"> </w:t>
      </w:r>
      <w:r w:rsidR="00D273BD" w:rsidRPr="006354CF">
        <w:t xml:space="preserve">overall </w:t>
      </w:r>
      <w:r w:rsidR="00E30703">
        <w:t>goal</w:t>
      </w:r>
      <w:r w:rsidR="00E30703" w:rsidRPr="006354CF">
        <w:t xml:space="preserve"> </w:t>
      </w:r>
      <w:r w:rsidR="00D273BD" w:rsidRPr="006354CF">
        <w:t xml:space="preserve">is </w:t>
      </w:r>
      <w:r w:rsidR="00D273BD">
        <w:t>that people are treated fairly.</w:t>
      </w:r>
      <w:r w:rsidR="00E30703">
        <w:t xml:space="preserve"> The high-level outcomes aimed at achieving this goal are that:</w:t>
      </w:r>
    </w:p>
    <w:p w14:paraId="4251F4F2" w14:textId="77777777" w:rsidR="00E30703" w:rsidRDefault="00E30703" w:rsidP="0083123D">
      <w:pPr>
        <w:pStyle w:val="ListBullet"/>
        <w:jc w:val="both"/>
      </w:pPr>
      <w:r>
        <w:t>there is high public trust in government;</w:t>
      </w:r>
    </w:p>
    <w:p w14:paraId="5D2ECDBD" w14:textId="77777777" w:rsidR="00D273BD" w:rsidRDefault="00D273BD" w:rsidP="0083123D">
      <w:pPr>
        <w:pStyle w:val="ListBullet"/>
        <w:jc w:val="both"/>
      </w:pPr>
      <w:r>
        <w:t>people’s rights are protected and</w:t>
      </w:r>
      <w:r w:rsidR="00CB4E9A">
        <w:t>/or</w:t>
      </w:r>
      <w:r>
        <w:t xml:space="preserve"> restored;</w:t>
      </w:r>
    </w:p>
    <w:p w14:paraId="6797C617" w14:textId="77777777" w:rsidR="00D273BD" w:rsidRDefault="00D273BD" w:rsidP="00D273BD">
      <w:pPr>
        <w:pStyle w:val="ListBullet"/>
        <w:jc w:val="both"/>
      </w:pPr>
      <w:r>
        <w:t xml:space="preserve">Parliament is assured </w:t>
      </w:r>
      <w:r w:rsidR="00CB4E9A">
        <w:t xml:space="preserve">of </w:t>
      </w:r>
      <w:r>
        <w:t>robust</w:t>
      </w:r>
      <w:r w:rsidR="00012BA8">
        <w:t xml:space="preserve"> and</w:t>
      </w:r>
      <w:r>
        <w:t xml:space="preserve"> independent oversight; and</w:t>
      </w:r>
    </w:p>
    <w:p w14:paraId="449758EA" w14:textId="77777777" w:rsidR="00D273BD" w:rsidRDefault="00D273BD" w:rsidP="007376E9">
      <w:pPr>
        <w:pStyle w:val="ListBullet"/>
        <w:widowControl w:val="0"/>
        <w:jc w:val="both"/>
      </w:pPr>
      <w:r>
        <w:t>New Zealand contributes to regional stability and supports integrity institutions.</w:t>
      </w:r>
    </w:p>
    <w:p w14:paraId="7D3AECCF" w14:textId="3146698C" w:rsidR="00840380" w:rsidRDefault="005B795D" w:rsidP="00840380">
      <w:pPr>
        <w:pStyle w:val="BodyText"/>
      </w:pPr>
      <w:hyperlink w:anchor="Contents" w:history="1">
        <w:r w:rsidR="00840380" w:rsidRPr="00F5248A">
          <w:rPr>
            <w:rStyle w:val="Hyperlink"/>
          </w:rPr>
          <w:t>Back to contents</w:t>
        </w:r>
      </w:hyperlink>
    </w:p>
    <w:p w14:paraId="589BBF4D" w14:textId="77777777" w:rsidR="00B710F4" w:rsidRDefault="00156C58" w:rsidP="008D72FC">
      <w:pPr>
        <w:pStyle w:val="Heading2"/>
        <w:keepLines w:val="0"/>
        <w:widowControl w:val="0"/>
      </w:pPr>
      <w:bookmarkStart w:id="44" w:name="_Ombudsman_outcomes_framework_1"/>
      <w:bookmarkStart w:id="45" w:name="_Ref54687079"/>
      <w:bookmarkEnd w:id="44"/>
      <w:r>
        <w:t>Ombudsman O</w:t>
      </w:r>
      <w:r w:rsidR="00B710F4">
        <w:t xml:space="preserve">utcomes </w:t>
      </w:r>
      <w:r>
        <w:t>F</w:t>
      </w:r>
      <w:r w:rsidR="00B710F4">
        <w:t>ramework</w:t>
      </w:r>
      <w:bookmarkEnd w:id="45"/>
    </w:p>
    <w:p w14:paraId="6A06E1C9" w14:textId="7BAD2BCE" w:rsidR="007D19E3" w:rsidRDefault="002B7EAC" w:rsidP="008D72FC">
      <w:pPr>
        <w:pStyle w:val="BodyCopy"/>
        <w:keepNext/>
        <w:rPr>
          <w:rFonts w:asciiTheme="minorHAnsi" w:hAnsiTheme="minorHAnsi"/>
          <w:sz w:val="24"/>
          <w:szCs w:val="24"/>
        </w:rPr>
      </w:pPr>
      <w:r w:rsidRPr="002B7EAC">
        <w:rPr>
          <w:noProof/>
          <w:sz w:val="2"/>
          <w:szCs w:val="2"/>
          <w:lang w:val="en-NZ" w:eastAsia="en-NZ" w:bidi="ar-SA"/>
        </w:rPr>
        <w:drawing>
          <wp:anchor distT="0" distB="0" distL="114300" distR="114300" simplePos="0" relativeHeight="251680768" behindDoc="0" locked="0" layoutInCell="1" allowOverlap="1" wp14:anchorId="24DCE1A9" wp14:editId="48C9DB53">
            <wp:simplePos x="0" y="0"/>
            <wp:positionH relativeFrom="margin">
              <wp:posOffset>480060</wp:posOffset>
            </wp:positionH>
            <wp:positionV relativeFrom="paragraph">
              <wp:posOffset>398145</wp:posOffset>
            </wp:positionV>
            <wp:extent cx="4686300" cy="3602355"/>
            <wp:effectExtent l="0" t="0" r="0" b="0"/>
            <wp:wrapTopAndBottom/>
            <wp:docPr id="13" name="Picture 13" descr="There is a link to a alternative text version of this diagram below the image. " title="Outcomes Framewor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m\AppData\Local\Microsoft\Windows\INetCache\Content.Outlook\YLRIVILO\Outcome-framework-2018-designs-TRIANGLE-v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0" cy="360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A21">
        <w:rPr>
          <w:rFonts w:asciiTheme="minorHAnsi" w:hAnsiTheme="minorHAnsi"/>
          <w:sz w:val="24"/>
          <w:szCs w:val="24"/>
        </w:rPr>
        <w:t>My</w:t>
      </w:r>
      <w:r w:rsidR="00B710F4" w:rsidRPr="00FA1EC1">
        <w:rPr>
          <w:rFonts w:asciiTheme="minorHAnsi" w:hAnsiTheme="minorHAnsi"/>
          <w:sz w:val="24"/>
          <w:szCs w:val="24"/>
        </w:rPr>
        <w:t xml:space="preserve"> </w:t>
      </w:r>
      <w:r w:rsidR="00B710F4" w:rsidRPr="00D5791F">
        <w:rPr>
          <w:rFonts w:asciiTheme="minorHAnsi" w:hAnsiTheme="minorHAnsi"/>
          <w:i/>
          <w:sz w:val="24"/>
          <w:szCs w:val="24"/>
        </w:rPr>
        <w:t>Outcomes Framework</w:t>
      </w:r>
      <w:r w:rsidR="00B710F4" w:rsidRPr="00FA1EC1">
        <w:rPr>
          <w:rFonts w:asciiTheme="minorHAnsi" w:hAnsiTheme="minorHAnsi"/>
          <w:sz w:val="24"/>
          <w:szCs w:val="24"/>
        </w:rPr>
        <w:t xml:space="preserve"> demonstrates the </w:t>
      </w:r>
      <w:r w:rsidR="00CB4E9A">
        <w:rPr>
          <w:rFonts w:asciiTheme="minorHAnsi" w:hAnsiTheme="minorHAnsi"/>
          <w:sz w:val="24"/>
          <w:szCs w:val="24"/>
        </w:rPr>
        <w:t>connections</w:t>
      </w:r>
      <w:r w:rsidR="00CB4E9A" w:rsidRPr="00FA1EC1">
        <w:rPr>
          <w:rFonts w:asciiTheme="minorHAnsi" w:hAnsiTheme="minorHAnsi"/>
          <w:sz w:val="24"/>
          <w:szCs w:val="24"/>
        </w:rPr>
        <w:t xml:space="preserve"> </w:t>
      </w:r>
      <w:r w:rsidR="00B710F4" w:rsidRPr="00FA1EC1">
        <w:rPr>
          <w:rFonts w:asciiTheme="minorHAnsi" w:hAnsiTheme="minorHAnsi"/>
          <w:sz w:val="24"/>
          <w:szCs w:val="24"/>
        </w:rPr>
        <w:t xml:space="preserve">between the services </w:t>
      </w:r>
      <w:r w:rsidR="00300A21">
        <w:rPr>
          <w:rFonts w:asciiTheme="minorHAnsi" w:hAnsiTheme="minorHAnsi"/>
          <w:sz w:val="24"/>
          <w:szCs w:val="24"/>
        </w:rPr>
        <w:t>I</w:t>
      </w:r>
      <w:r w:rsidR="00B710F4" w:rsidRPr="00FA1EC1">
        <w:rPr>
          <w:rFonts w:asciiTheme="minorHAnsi" w:hAnsiTheme="minorHAnsi"/>
          <w:sz w:val="24"/>
          <w:szCs w:val="24"/>
        </w:rPr>
        <w:t xml:space="preserve"> deliver through </w:t>
      </w:r>
      <w:r w:rsidR="00CB4E9A">
        <w:rPr>
          <w:rFonts w:asciiTheme="minorHAnsi" w:hAnsiTheme="minorHAnsi"/>
          <w:sz w:val="24"/>
          <w:szCs w:val="24"/>
        </w:rPr>
        <w:t>to my ultimate goal</w:t>
      </w:r>
      <w:r w:rsidR="00B710F4" w:rsidRPr="00FA1EC1">
        <w:rPr>
          <w:rFonts w:asciiTheme="minorHAnsi" w:hAnsiTheme="minorHAnsi"/>
          <w:sz w:val="24"/>
          <w:szCs w:val="24"/>
        </w:rPr>
        <w:t>.</w:t>
      </w:r>
    </w:p>
    <w:p w14:paraId="2510BCAE" w14:textId="754BFCB1" w:rsidR="007D19E3" w:rsidRDefault="005B795D" w:rsidP="007376E9">
      <w:pPr>
        <w:widowControl w:val="0"/>
        <w:spacing w:line="276" w:lineRule="auto"/>
        <w:rPr>
          <w:rStyle w:val="Hyperlink"/>
        </w:rPr>
      </w:pPr>
      <w:hyperlink w:anchor="Appendix1" w:history="1">
        <w:r w:rsidR="007D19E3" w:rsidRPr="00BF4B58">
          <w:rPr>
            <w:rStyle w:val="Hyperlink"/>
          </w:rPr>
          <w:t>See Appendix 1 for text alternative version of this diagram.</w:t>
        </w:r>
      </w:hyperlink>
    </w:p>
    <w:p w14:paraId="0E231ED4" w14:textId="77777777" w:rsidR="007D19E3" w:rsidRDefault="007D19E3" w:rsidP="007376E9">
      <w:pPr>
        <w:pStyle w:val="Heading3"/>
        <w:keepNext w:val="0"/>
        <w:keepLines w:val="0"/>
        <w:widowControl w:val="0"/>
      </w:pPr>
      <w:r>
        <w:t xml:space="preserve">Impacts </w:t>
      </w:r>
    </w:p>
    <w:p w14:paraId="746266A8" w14:textId="77777777" w:rsidR="00AA2C6C" w:rsidRDefault="003A4DF8" w:rsidP="002733A7">
      <w:pPr>
        <w:pStyle w:val="BodyText"/>
        <w:widowControl w:val="0"/>
      </w:pPr>
      <w:r>
        <w:t>T</w:t>
      </w:r>
      <w:r w:rsidR="00AA2C6C">
        <w:t>o achieve the</w:t>
      </w:r>
      <w:r>
        <w:t xml:space="preserve"> high-level </w:t>
      </w:r>
      <w:r w:rsidR="00AA2C6C">
        <w:t>outcomes</w:t>
      </w:r>
      <w:r>
        <w:t xml:space="preserve"> set out above</w:t>
      </w:r>
      <w:r w:rsidR="00AA2C6C">
        <w:t xml:space="preserve">, I </w:t>
      </w:r>
      <w:r w:rsidR="00CE5E04" w:rsidRPr="00921970">
        <w:t xml:space="preserve">seek to </w:t>
      </w:r>
      <w:r>
        <w:t>make an impact in a number of areas.</w:t>
      </w:r>
    </w:p>
    <w:p w14:paraId="7E092B58" w14:textId="77777777" w:rsidR="00AA2C6C" w:rsidRDefault="00AA2C6C" w:rsidP="002733A7">
      <w:pPr>
        <w:pStyle w:val="Heading4"/>
      </w:pPr>
      <w:r>
        <w:t>P</w:t>
      </w:r>
      <w:r w:rsidRPr="007D19E3">
        <w:t xml:space="preserve">eople </w:t>
      </w:r>
      <w:r w:rsidR="007D19E3" w:rsidRPr="007D19E3">
        <w:t>are able to participate in government decision making</w:t>
      </w:r>
    </w:p>
    <w:p w14:paraId="40D0D9F6" w14:textId="77777777" w:rsidR="003A4DF8" w:rsidRDefault="00941617" w:rsidP="00941617">
      <w:pPr>
        <w:pStyle w:val="BodyText"/>
      </w:pPr>
      <w:r>
        <w:t xml:space="preserve">In a modern democracy, the public must be able to participate in government decision making. This is achieved in various ways, including through ensuring greater openness, fairness, and transparency of government information and decision making. </w:t>
      </w:r>
    </w:p>
    <w:p w14:paraId="27468A1C" w14:textId="77777777" w:rsidR="00941617" w:rsidRDefault="00941617" w:rsidP="00941617">
      <w:pPr>
        <w:pStyle w:val="BodyText"/>
      </w:pPr>
      <w:r>
        <w:t xml:space="preserve">Parliament has tasked me with investigating the administrative conduct of public sector agencies and their decisions. My reactive and proactive interventions in this area </w:t>
      </w:r>
      <w:r w:rsidRPr="001D7A7C">
        <w:t>can help ensure</w:t>
      </w:r>
      <w:r>
        <w:t xml:space="preserve"> information is made available and that decision making is fair.</w:t>
      </w:r>
    </w:p>
    <w:p w14:paraId="582D228C" w14:textId="77777777" w:rsidR="007D19E3" w:rsidRDefault="00CB4E9A" w:rsidP="002733A7">
      <w:pPr>
        <w:pStyle w:val="BodyText"/>
      </w:pPr>
      <w:r>
        <w:t>Public participation</w:t>
      </w:r>
      <w:r w:rsidR="00AA2C6C">
        <w:t xml:space="preserve"> in government decision making contributes to higher trust in government and protection of </w:t>
      </w:r>
      <w:r w:rsidR="003A4DF8">
        <w:t>people</w:t>
      </w:r>
      <w:r w:rsidR="007643E5">
        <w:t xml:space="preserve">’s </w:t>
      </w:r>
      <w:r w:rsidR="00AA2C6C">
        <w:t>rights.</w:t>
      </w:r>
    </w:p>
    <w:p w14:paraId="56932E8C" w14:textId="77777777" w:rsidR="00AA2C6C" w:rsidRDefault="00AA2C6C" w:rsidP="002733A7">
      <w:pPr>
        <w:pStyle w:val="Heading4"/>
      </w:pPr>
      <w:r>
        <w:t xml:space="preserve">Government </w:t>
      </w:r>
      <w:r w:rsidR="00750E47">
        <w:t>is responsive, efficient, effective, and accountable</w:t>
      </w:r>
    </w:p>
    <w:p w14:paraId="676D9AF5" w14:textId="30DB6A00" w:rsidR="00941617" w:rsidRDefault="00941617" w:rsidP="002733A7">
      <w:pPr>
        <w:pStyle w:val="BodyText"/>
      </w:pPr>
      <w:r>
        <w:t xml:space="preserve">I provide independent oversight of government through my </w:t>
      </w:r>
      <w:r w:rsidR="00CB4E9A">
        <w:t>powers</w:t>
      </w:r>
      <w:r>
        <w:t xml:space="preserve"> to investigate, review</w:t>
      </w:r>
      <w:r w:rsidR="00CB4E9A">
        <w:t>,</w:t>
      </w:r>
      <w:r>
        <w:t xml:space="preserve"> and inspect administrative conduct. My i</w:t>
      </w:r>
      <w:r w:rsidRPr="00D13B97">
        <w:t>ndependent oversight assist</w:t>
      </w:r>
      <w:r w:rsidR="00CB4E9A">
        <w:t>s</w:t>
      </w:r>
      <w:r w:rsidRPr="00D13B97">
        <w:t xml:space="preserve"> </w:t>
      </w:r>
      <w:r>
        <w:t>public sector</w:t>
      </w:r>
      <w:r w:rsidRPr="00D13B97">
        <w:t xml:space="preserve"> agencies to identify and correct deficiencies</w:t>
      </w:r>
      <w:r>
        <w:t xml:space="preserve"> and promote greater accountability for the decisions that are made</w:t>
      </w:r>
      <w:r w:rsidRPr="00D13B97">
        <w:t>. Improv</w:t>
      </w:r>
      <w:r w:rsidR="00CB4E9A">
        <w:t>ing</w:t>
      </w:r>
      <w:r w:rsidRPr="00D13B97">
        <w:t xml:space="preserve"> administration and decision making will result in better </w:t>
      </w:r>
      <w:r>
        <w:t>outcomes for</w:t>
      </w:r>
      <w:r w:rsidRPr="00D13B97">
        <w:t xml:space="preserve"> the public.</w:t>
      </w:r>
    </w:p>
    <w:p w14:paraId="72DE8AA2" w14:textId="77777777" w:rsidR="00750E47" w:rsidRDefault="004E73F5" w:rsidP="002733A7">
      <w:pPr>
        <w:pStyle w:val="BodyText"/>
      </w:pPr>
      <w:r>
        <w:t>When the government is responsive, efficient, effective</w:t>
      </w:r>
      <w:r w:rsidR="00CB4E9A">
        <w:t>,</w:t>
      </w:r>
      <w:r>
        <w:t xml:space="preserve"> and accountable it gives effect to a robust and independent oversight, ensuring people’s rights are protected, and overall high public trust.</w:t>
      </w:r>
    </w:p>
    <w:p w14:paraId="5E795CB0" w14:textId="77777777" w:rsidR="00AA2C6C" w:rsidRDefault="00AA2C6C" w:rsidP="002733A7">
      <w:pPr>
        <w:pStyle w:val="Heading4"/>
      </w:pPr>
      <w:r>
        <w:t xml:space="preserve">Government </w:t>
      </w:r>
      <w:r w:rsidR="00750E47">
        <w:t>actions, systems, processes, and legislation are open, fair</w:t>
      </w:r>
      <w:r w:rsidR="00012BA8">
        <w:t>,</w:t>
      </w:r>
      <w:r w:rsidR="00750E47">
        <w:t xml:space="preserve"> and reasonable</w:t>
      </w:r>
    </w:p>
    <w:p w14:paraId="70E5C53E" w14:textId="77777777" w:rsidR="00941617" w:rsidRDefault="00941617" w:rsidP="00941617">
      <w:pPr>
        <w:pStyle w:val="BodyText"/>
      </w:pPr>
      <w:r>
        <w:t>A</w:t>
      </w:r>
      <w:r w:rsidR="00CB4E9A">
        <w:t xml:space="preserve"> f</w:t>
      </w:r>
      <w:r>
        <w:t>air</w:t>
      </w:r>
      <w:r w:rsidR="00CB4E9A">
        <w:t>, reasonable, and open government</w:t>
      </w:r>
      <w:r>
        <w:t xml:space="preserve"> is fundamental </w:t>
      </w:r>
      <w:r w:rsidR="00CB4E9A">
        <w:t>to</w:t>
      </w:r>
      <w:r>
        <w:t xml:space="preserve"> our society. </w:t>
      </w:r>
      <w:r w:rsidR="00772131" w:rsidRPr="00772131">
        <w:t>Well-</w:t>
      </w:r>
      <w:r w:rsidR="00772131" w:rsidRPr="00D469F2">
        <w:t>designe</w:t>
      </w:r>
      <w:r w:rsidR="00772131">
        <w:t>d</w:t>
      </w:r>
      <w:r>
        <w:t xml:space="preserve"> systems, processes, and legislation provide </w:t>
      </w:r>
      <w:r w:rsidR="00CB4E9A">
        <w:t>a solid</w:t>
      </w:r>
      <w:r>
        <w:t xml:space="preserve"> foundation. Parliament has charged me with providing </w:t>
      </w:r>
      <w:r w:rsidR="00CB4E9A">
        <w:t xml:space="preserve">proactive </w:t>
      </w:r>
      <w:r>
        <w:t xml:space="preserve">advice, guidance, and training to help lift public sector performance. The targeted interventions I undertake can assist to improve government </w:t>
      </w:r>
      <w:r w:rsidR="00772131">
        <w:t>actions</w:t>
      </w:r>
      <w:r>
        <w:t xml:space="preserve"> from the outset.</w:t>
      </w:r>
    </w:p>
    <w:p w14:paraId="39CCDEA6" w14:textId="77777777" w:rsidR="004E73F5" w:rsidRDefault="004E73F5" w:rsidP="00AA2C6C">
      <w:pPr>
        <w:pStyle w:val="BodyText"/>
      </w:pPr>
      <w:r>
        <w:t xml:space="preserve">Public trust in government, the protection of individuals’ rights, </w:t>
      </w:r>
      <w:r w:rsidR="00144D9A">
        <w:t xml:space="preserve">independent oversight, and </w:t>
      </w:r>
      <w:r>
        <w:t>contribution to regional stability are all impacted by whether government actions are open, fair, and reasonable.</w:t>
      </w:r>
    </w:p>
    <w:p w14:paraId="03865B5A" w14:textId="77777777" w:rsidR="00AA2C6C" w:rsidRDefault="00AA2C6C" w:rsidP="002733A7">
      <w:pPr>
        <w:pStyle w:val="Heading4"/>
      </w:pPr>
      <w:r>
        <w:t xml:space="preserve">People </w:t>
      </w:r>
      <w:r w:rsidR="00750E47">
        <w:t>in positions of power act with integrity</w:t>
      </w:r>
    </w:p>
    <w:p w14:paraId="546B4564" w14:textId="77777777" w:rsidR="00941617" w:rsidRDefault="00941617" w:rsidP="00941617">
      <w:pPr>
        <w:pStyle w:val="BodyText"/>
      </w:pPr>
      <w:r>
        <w:t>People in positions of power have a responsibility to act with integrity. Dishonesty and corruption has no place in New Zealand. It undermines public trust in government and is contrary to the ethos of treating people fairly. I have the legislated function to promote and protect whistleblowing. Having mechanisms like these to expose and investigate serious wrongdoing is essential</w:t>
      </w:r>
      <w:r w:rsidR="003C3875">
        <w:t xml:space="preserve">. </w:t>
      </w:r>
    </w:p>
    <w:p w14:paraId="3251E1EC" w14:textId="77777777" w:rsidR="004E73F5" w:rsidRDefault="004E73F5" w:rsidP="00AA2C6C">
      <w:pPr>
        <w:pStyle w:val="BodyText"/>
      </w:pPr>
      <w:r>
        <w:t>Similar to the previous impact, all of my identified outcomes are affected by people in positions of power acting with integrity.</w:t>
      </w:r>
    </w:p>
    <w:p w14:paraId="0A54F759" w14:textId="77777777" w:rsidR="00AA2C6C" w:rsidRDefault="00AA2C6C" w:rsidP="002733A7">
      <w:pPr>
        <w:pStyle w:val="Heading4"/>
      </w:pPr>
      <w:r>
        <w:t xml:space="preserve">People </w:t>
      </w:r>
      <w:r w:rsidR="007D19E3">
        <w:t>are treated humanely</w:t>
      </w:r>
      <w:r w:rsidR="00012BA8">
        <w:t xml:space="preserve"> and</w:t>
      </w:r>
      <w:r w:rsidR="007D19E3">
        <w:t xml:space="preserve"> with dignity and respect by those in authority</w:t>
      </w:r>
    </w:p>
    <w:p w14:paraId="78A1D849" w14:textId="77777777" w:rsidR="00941617" w:rsidRDefault="00941617" w:rsidP="00941617">
      <w:pPr>
        <w:pStyle w:val="BodyText"/>
      </w:pPr>
      <w:r>
        <w:t>Everyone has a right to be treated humanely, and with dignity and respect. New Zealand has recognised this by signing various international human rights conventions. As such we</w:t>
      </w:r>
      <w:r w:rsidR="00237F29">
        <w:t>, as a country,</w:t>
      </w:r>
      <w:r>
        <w:t xml:space="preserve"> have a responsibility to ensure our words match our </w:t>
      </w:r>
      <w:r w:rsidR="007643E5">
        <w:t xml:space="preserve">actions </w:t>
      </w:r>
      <w:r>
        <w:t xml:space="preserve">by monitoring how people are treated. I have been designated a key role under United Nations conventions to monitor the rights of disabled people and </w:t>
      </w:r>
      <w:r w:rsidR="00124B0C">
        <w:t xml:space="preserve">the treatment of those in </w:t>
      </w:r>
      <w:r>
        <w:t>certain places of detention.</w:t>
      </w:r>
    </w:p>
    <w:p w14:paraId="73F3693E" w14:textId="77777777" w:rsidR="0009720E" w:rsidRDefault="007643E5" w:rsidP="00AA2C6C">
      <w:pPr>
        <w:pStyle w:val="BodyText"/>
      </w:pPr>
      <w:r>
        <w:t xml:space="preserve">Those in authority must treat people with dignity and respect in </w:t>
      </w:r>
      <w:r w:rsidR="0009720E">
        <w:t>order</w:t>
      </w:r>
      <w:r>
        <w:t xml:space="preserve"> to ensure that people’s rights are protected and</w:t>
      </w:r>
      <w:r w:rsidR="0009720E">
        <w:t xml:space="preserve"> for there to be high public trust in government</w:t>
      </w:r>
      <w:r w:rsidR="00F44CC3">
        <w:t>.</w:t>
      </w:r>
    </w:p>
    <w:p w14:paraId="5C19721F" w14:textId="77777777" w:rsidR="00AA2C6C" w:rsidRDefault="00750E47" w:rsidP="002733A7">
      <w:pPr>
        <w:pStyle w:val="Heading4"/>
      </w:pPr>
      <w:r>
        <w:t>New Zealand is a leader in promoting anti-corruption and integrity</w:t>
      </w:r>
    </w:p>
    <w:p w14:paraId="573C002D" w14:textId="77777777" w:rsidR="00237F29" w:rsidRDefault="00237F29" w:rsidP="00237F29">
      <w:pPr>
        <w:pStyle w:val="BodyText"/>
      </w:pPr>
      <w:r>
        <w:t>New Zealand has an opportunity to promote good government on the world stage. New Zealand’s influence and responsibility is particularly acute in the Asia-Pacific region</w:t>
      </w:r>
      <w:r w:rsidR="00144D9A">
        <w:t>. W</w:t>
      </w:r>
      <w:r>
        <w:t>e are also sought out worldwide as a leader in anti-corruption and integrity. Ombudsmen around the world have a key role in acting as integrity institutions</w:t>
      </w:r>
      <w:r w:rsidR="00144D9A">
        <w:t>.</w:t>
      </w:r>
      <w:r>
        <w:t xml:space="preserve"> I work with my partner Ombudsmen around the world to share and develop best practice in this area.</w:t>
      </w:r>
    </w:p>
    <w:p w14:paraId="33DFB449" w14:textId="7792F494" w:rsidR="004E73F5" w:rsidRDefault="004E73F5" w:rsidP="00AA2C6C">
      <w:pPr>
        <w:pStyle w:val="BodyText"/>
      </w:pPr>
      <w:r>
        <w:t>New Zealand being a leader in promoting integrity and anti-corruption has a direct impact on New Zealand’s contribution to regional stability and integrity institutions</w:t>
      </w:r>
      <w:r w:rsidR="007643E5">
        <w:t>,</w:t>
      </w:r>
      <w:r>
        <w:t xml:space="preserve"> and high trust in the government.</w:t>
      </w:r>
    </w:p>
    <w:p w14:paraId="28142A9D" w14:textId="77777777" w:rsidR="00AA2C6C" w:rsidRDefault="00AA2C6C" w:rsidP="002733A7">
      <w:pPr>
        <w:pStyle w:val="Heading4"/>
      </w:pPr>
      <w:r>
        <w:t xml:space="preserve">Impact </w:t>
      </w:r>
      <w:r w:rsidR="0009720E">
        <w:t>m</w:t>
      </w:r>
      <w:r>
        <w:t>easures</w:t>
      </w:r>
    </w:p>
    <w:p w14:paraId="28B39790" w14:textId="77777777" w:rsidR="00CE5E04" w:rsidRPr="00921970" w:rsidRDefault="00D53F1C" w:rsidP="00CE5E04">
      <w:pPr>
        <w:pStyle w:val="BodyText"/>
      </w:pPr>
      <w:r>
        <w:t>There are</w:t>
      </w:r>
      <w:r w:rsidR="00CE5E04" w:rsidRPr="00921970">
        <w:t xml:space="preserve"> </w:t>
      </w:r>
      <w:r w:rsidR="00CE5E04">
        <w:t>two</w:t>
      </w:r>
      <w:r w:rsidR="00CE5E04" w:rsidRPr="00921970">
        <w:t xml:space="preserve"> high</w:t>
      </w:r>
      <w:r w:rsidR="00CE5E04">
        <w:t>-</w:t>
      </w:r>
      <w:r w:rsidR="00CE5E04" w:rsidRPr="00921970">
        <w:t xml:space="preserve">level measures of </w:t>
      </w:r>
      <w:r w:rsidR="00787E79">
        <w:t>these</w:t>
      </w:r>
      <w:r w:rsidR="00CE5E04" w:rsidRPr="00921970">
        <w:t xml:space="preserve"> impacts. </w:t>
      </w:r>
      <w:r w:rsidR="00144D9A">
        <w:t>They</w:t>
      </w:r>
      <w:r w:rsidR="00144D9A" w:rsidRPr="00921970">
        <w:t xml:space="preserve"> </w:t>
      </w:r>
      <w:r w:rsidR="00CE5E04" w:rsidRPr="00921970">
        <w:t xml:space="preserve">relate to the overall status of </w:t>
      </w:r>
      <w:r w:rsidR="00CE5E04">
        <w:t>New Zealand</w:t>
      </w:r>
      <w:r w:rsidR="00CE5E04" w:rsidRPr="00921970">
        <w:t xml:space="preserve"> society and the </w:t>
      </w:r>
      <w:r w:rsidR="00CE5E04">
        <w:t>public</w:t>
      </w:r>
      <w:r w:rsidR="00CE5E04" w:rsidRPr="00921970">
        <w:t xml:space="preserve"> sector, to which </w:t>
      </w:r>
      <w:r>
        <w:t>the Ombudsman is</w:t>
      </w:r>
      <w:r w:rsidR="00CE5E04" w:rsidRPr="00921970">
        <w:t xml:space="preserve"> but one contributing factor. </w:t>
      </w:r>
    </w:p>
    <w:p w14:paraId="0CCA3094" w14:textId="77777777" w:rsidR="00C91AB6" w:rsidRDefault="00D53F1C" w:rsidP="00CE5E04">
      <w:pPr>
        <w:pStyle w:val="BodyText"/>
      </w:pPr>
      <w:r>
        <w:t>My</w:t>
      </w:r>
      <w:r w:rsidR="00CE5E04" w:rsidRPr="00921970">
        <w:t xml:space="preserve"> first impact measure is that the overall quality of public services improves over time. </w:t>
      </w:r>
      <w:r>
        <w:t>I</w:t>
      </w:r>
      <w:r w:rsidR="00CE5E04" w:rsidRPr="00921970">
        <w:t xml:space="preserve"> measure this through the Kiwis Count </w:t>
      </w:r>
      <w:r w:rsidR="00AC2B6E" w:rsidRPr="00921970">
        <w:t xml:space="preserve">Survey </w:t>
      </w:r>
      <w:r w:rsidR="00AC2B6E">
        <w:t>that</w:t>
      </w:r>
      <w:r w:rsidR="009469C7" w:rsidRPr="00921970">
        <w:t xml:space="preserve"> </w:t>
      </w:r>
      <w:r w:rsidR="00CE5E04" w:rsidRPr="00921970">
        <w:t xml:space="preserve">is administered by the </w:t>
      </w:r>
      <w:r w:rsidR="004B5105">
        <w:t>Public</w:t>
      </w:r>
      <w:r w:rsidR="004B5105" w:rsidRPr="00921970">
        <w:t xml:space="preserve"> </w:t>
      </w:r>
      <w:r w:rsidR="00CE5E04" w:rsidRPr="00921970">
        <w:t>Service Commission.</w:t>
      </w:r>
      <w:r w:rsidR="00C91AB6">
        <w:t xml:space="preserve"> This is </w:t>
      </w:r>
      <w:r w:rsidR="00C91AB6" w:rsidRPr="002733A7">
        <w:rPr>
          <w:rStyle w:val="Quotationwithinthesentence"/>
        </w:rPr>
        <w:t>‘a nationwide survey asking New Zealanders about their experiences using public services, how they have been treated when using those services</w:t>
      </w:r>
      <w:r w:rsidR="00144D9A">
        <w:rPr>
          <w:rStyle w:val="Quotationwithinthesentence"/>
        </w:rPr>
        <w:t>,</w:t>
      </w:r>
      <w:r w:rsidR="00C91AB6" w:rsidRPr="002733A7">
        <w:rPr>
          <w:rStyle w:val="Quotationwithinthesentence"/>
        </w:rPr>
        <w:t xml:space="preserve"> and how they rate the quality of the services they have used.’</w:t>
      </w:r>
      <w:r w:rsidR="00750E47">
        <w:rPr>
          <w:rStyle w:val="FootnoteReference"/>
        </w:rPr>
        <w:footnoteReference w:id="15"/>
      </w:r>
      <w:r w:rsidR="00750E47" w:rsidRPr="00D13B97">
        <w:t xml:space="preserve"> </w:t>
      </w:r>
    </w:p>
    <w:p w14:paraId="43B65942" w14:textId="5BBDDB68" w:rsidR="00CE5E04" w:rsidRPr="00921970" w:rsidRDefault="00D53F1C" w:rsidP="00CE5E04">
      <w:pPr>
        <w:pStyle w:val="BodyText"/>
      </w:pPr>
      <w:r>
        <w:t>My</w:t>
      </w:r>
      <w:r w:rsidR="00CE5E04" w:rsidRPr="00921970">
        <w:t xml:space="preserve"> target is for public service to </w:t>
      </w:r>
      <w:r w:rsidR="00C91AB6">
        <w:t>maintain</w:t>
      </w:r>
      <w:r w:rsidR="00C91AB6" w:rsidRPr="00921970">
        <w:t xml:space="preserve"> </w:t>
      </w:r>
      <w:r w:rsidR="00CE5E04" w:rsidRPr="00921970">
        <w:t>a</w:t>
      </w:r>
      <w:r w:rsidR="00ED52A0">
        <w:t xml:space="preserve"> ‘service quality </w:t>
      </w:r>
      <w:r w:rsidR="00CE5E04" w:rsidRPr="00921970">
        <w:t>score</w:t>
      </w:r>
      <w:r w:rsidR="00ED52A0">
        <w:t>’</w:t>
      </w:r>
      <w:r w:rsidR="00CE5E04" w:rsidRPr="00921970">
        <w:t xml:space="preserve"> higher than </w:t>
      </w:r>
      <w:r w:rsidR="00CE5E04" w:rsidRPr="00776C3B">
        <w:t>7</w:t>
      </w:r>
      <w:r w:rsidR="00776C3B" w:rsidRPr="00776C3B">
        <w:t>5</w:t>
      </w:r>
      <w:r w:rsidR="00CE5E04" w:rsidRPr="00776C3B">
        <w:t xml:space="preserve"> points.</w:t>
      </w:r>
      <w:r w:rsidR="00CE5E04" w:rsidRPr="00921970">
        <w:t xml:space="preserve"> </w:t>
      </w:r>
      <w:r w:rsidR="00CE5E04" w:rsidRPr="00987634">
        <w:t xml:space="preserve">The quality score in December </w:t>
      </w:r>
      <w:r w:rsidR="00987634" w:rsidRPr="00987634">
        <w:t xml:space="preserve">2019 </w:t>
      </w:r>
      <w:r w:rsidR="00CE5E04" w:rsidRPr="00987634">
        <w:t xml:space="preserve">was </w:t>
      </w:r>
      <w:r w:rsidR="006A6F6F" w:rsidRPr="00987634">
        <w:t>7</w:t>
      </w:r>
      <w:r w:rsidR="00776C3B" w:rsidRPr="00987634">
        <w:t>7</w:t>
      </w:r>
      <w:r w:rsidR="00CE5E04" w:rsidRPr="00987634">
        <w:t xml:space="preserve"> points</w:t>
      </w:r>
      <w:r w:rsidR="00170C80" w:rsidRPr="00987634">
        <w:t xml:space="preserve">. </w:t>
      </w:r>
      <w:r w:rsidR="00987634" w:rsidRPr="00987634">
        <w:t xml:space="preserve">This score has steadily increased over the past </w:t>
      </w:r>
      <w:r w:rsidR="001D0575" w:rsidRPr="00987634">
        <w:t>1</w:t>
      </w:r>
      <w:r w:rsidR="001D0575">
        <w:t>3</w:t>
      </w:r>
      <w:r w:rsidR="001D0575" w:rsidRPr="00987634">
        <w:t xml:space="preserve"> </w:t>
      </w:r>
      <w:r w:rsidR="00987634" w:rsidRPr="00987634">
        <w:t>years from 68 in 2007.</w:t>
      </w:r>
      <w:r w:rsidR="00CE5E04" w:rsidRPr="00921970">
        <w:t xml:space="preserve"> </w:t>
      </w:r>
    </w:p>
    <w:p w14:paraId="458B1B5B" w14:textId="77777777" w:rsidR="00ED52A0" w:rsidRDefault="00D53F1C" w:rsidP="00CE5E04">
      <w:pPr>
        <w:pStyle w:val="BodyText"/>
      </w:pPr>
      <w:r>
        <w:t>My</w:t>
      </w:r>
      <w:r w:rsidR="00CE5E04" w:rsidRPr="00921970">
        <w:t xml:space="preserve"> second impact measure is </w:t>
      </w:r>
      <w:r w:rsidR="00ED52A0">
        <w:t>how</w:t>
      </w:r>
      <w:r w:rsidR="00ED52A0" w:rsidRPr="00921970">
        <w:t xml:space="preserve"> </w:t>
      </w:r>
      <w:r w:rsidR="00CE5E04">
        <w:t>New Zealand</w:t>
      </w:r>
      <w:r w:rsidR="00CE5E04" w:rsidRPr="00921970">
        <w:t xml:space="preserve"> rate</w:t>
      </w:r>
      <w:r w:rsidR="00ED52A0">
        <w:t>s</w:t>
      </w:r>
      <w:r w:rsidR="00CE5E04" w:rsidRPr="00921970">
        <w:t xml:space="preserve"> in public service probity</w:t>
      </w:r>
      <w:r w:rsidR="00144D9A">
        <w:rPr>
          <w:rStyle w:val="FootnoteReference"/>
        </w:rPr>
        <w:footnoteReference w:id="16"/>
      </w:r>
      <w:r w:rsidR="00CE5E04" w:rsidRPr="00921970">
        <w:t xml:space="preserve"> as measured by the Transparency International Corruption Perceptions Index.</w:t>
      </w:r>
      <w:r w:rsidR="00750E47">
        <w:rPr>
          <w:rStyle w:val="FootnoteReference"/>
        </w:rPr>
        <w:footnoteReference w:id="17"/>
      </w:r>
      <w:r w:rsidR="00750E47">
        <w:t xml:space="preserve"> </w:t>
      </w:r>
      <w:r w:rsidR="00ED52A0" w:rsidRPr="00ED52A0">
        <w:t xml:space="preserve">The </w:t>
      </w:r>
      <w:r w:rsidR="00ED52A0">
        <w:t xml:space="preserve">Index </w:t>
      </w:r>
      <w:r w:rsidR="00ED52A0" w:rsidRPr="00ED52A0">
        <w:t xml:space="preserve">ranks 180 countries </w:t>
      </w:r>
      <w:r w:rsidR="00ED52A0">
        <w:t xml:space="preserve">and territories </w:t>
      </w:r>
      <w:r w:rsidR="00ED52A0" w:rsidRPr="00ED52A0">
        <w:t>by their perceived levels of corruption in the public and political sectors.</w:t>
      </w:r>
    </w:p>
    <w:p w14:paraId="04A55EDC" w14:textId="77777777" w:rsidR="00CE5E04" w:rsidRDefault="00D53F1C" w:rsidP="00CE5E04">
      <w:pPr>
        <w:pStyle w:val="BodyText"/>
      </w:pPr>
      <w:r>
        <w:t>My</w:t>
      </w:r>
      <w:r w:rsidR="00CE5E04" w:rsidRPr="00921970">
        <w:t xml:space="preserve"> target is for </w:t>
      </w:r>
      <w:r w:rsidR="00CE5E04">
        <w:t>New Zealand</w:t>
      </w:r>
      <w:r w:rsidR="00CE5E04" w:rsidRPr="00921970">
        <w:t xml:space="preserve"> to be </w:t>
      </w:r>
      <w:r w:rsidR="00ED52A0">
        <w:t xml:space="preserve">one of </w:t>
      </w:r>
      <w:r w:rsidR="00D414F8">
        <w:t>top three leading countries</w:t>
      </w:r>
      <w:r w:rsidR="00CE5E04" w:rsidRPr="00921970">
        <w:t xml:space="preserve">. </w:t>
      </w:r>
      <w:r w:rsidR="00CE5E04" w:rsidRPr="00987634">
        <w:t xml:space="preserve">In </w:t>
      </w:r>
      <w:r w:rsidR="00987634" w:rsidRPr="00987634">
        <w:t>2019</w:t>
      </w:r>
      <w:r w:rsidR="00CE5E04" w:rsidRPr="00987634">
        <w:t xml:space="preserve">, New Zealand </w:t>
      </w:r>
      <w:r w:rsidR="00987634" w:rsidRPr="00987634">
        <w:t xml:space="preserve">again </w:t>
      </w:r>
      <w:r w:rsidR="00CE5E04" w:rsidRPr="00987634">
        <w:t xml:space="preserve">ranked </w:t>
      </w:r>
      <w:r w:rsidR="00987634" w:rsidRPr="00987634">
        <w:t>first in the world</w:t>
      </w:r>
      <w:r w:rsidR="00AA2C6C">
        <w:t>, tied with Denmark</w:t>
      </w:r>
      <w:r w:rsidR="00987634" w:rsidRPr="00987634">
        <w:t>.</w:t>
      </w:r>
    </w:p>
    <w:p w14:paraId="5734C782" w14:textId="77777777" w:rsidR="00CE5E04" w:rsidRPr="00921970" w:rsidRDefault="00CE5E04" w:rsidP="00CE5E04">
      <w:pPr>
        <w:pStyle w:val="Heading3"/>
      </w:pPr>
      <w:bookmarkStart w:id="46" w:name="_Outputs"/>
      <w:bookmarkEnd w:id="46"/>
      <w:r w:rsidRPr="00921970">
        <w:t>Outputs</w:t>
      </w:r>
    </w:p>
    <w:p w14:paraId="1ED698CD" w14:textId="32383C06" w:rsidR="00CE5E04" w:rsidRPr="00921970" w:rsidRDefault="00CE5E04" w:rsidP="00E36674">
      <w:pPr>
        <w:pStyle w:val="BodyText"/>
        <w:spacing w:after="120"/>
      </w:pPr>
      <w:r w:rsidRPr="00921970">
        <w:t xml:space="preserve">In order to achieve these impacts, </w:t>
      </w:r>
      <w:r w:rsidR="00CC7B1A">
        <w:t>I</w:t>
      </w:r>
      <w:r w:rsidRPr="00921970">
        <w:t xml:space="preserve"> carry out work under </w:t>
      </w:r>
      <w:r w:rsidR="00750E47">
        <w:t>nine</w:t>
      </w:r>
      <w:r w:rsidR="00F44CC3">
        <w:t xml:space="preserve"> </w:t>
      </w:r>
      <w:r w:rsidRPr="00921970">
        <w:t xml:space="preserve">output areas. </w:t>
      </w:r>
      <w:r w:rsidR="00C55543">
        <w:t>My</w:t>
      </w:r>
      <w:r w:rsidR="00C55543" w:rsidRPr="00921970">
        <w:t xml:space="preserve"> </w:t>
      </w:r>
      <w:r w:rsidR="00124B0C">
        <w:t>work</w:t>
      </w:r>
      <w:r w:rsidR="00124B0C" w:rsidRPr="00921970">
        <w:t xml:space="preserve"> </w:t>
      </w:r>
      <w:r w:rsidRPr="00921970">
        <w:t xml:space="preserve">in these areas </w:t>
      </w:r>
      <w:r w:rsidR="00776C3B">
        <w:t>are</w:t>
      </w:r>
      <w:r w:rsidRPr="00921970">
        <w:t xml:space="preserve"> </w:t>
      </w:r>
      <w:r w:rsidR="00F44CC3">
        <w:t xml:space="preserve">discussed </w:t>
      </w:r>
      <w:r w:rsidRPr="00921970">
        <w:t xml:space="preserve">in </w:t>
      </w:r>
      <w:hyperlink w:anchor="_Report_on_operations" w:history="1">
        <w:r w:rsidRPr="00170C80">
          <w:rPr>
            <w:rStyle w:val="Hyperlink"/>
          </w:rPr>
          <w:t>Part 4</w:t>
        </w:r>
      </w:hyperlink>
      <w:r w:rsidRPr="00A60E96">
        <w:t xml:space="preserve"> (with detailed</w:t>
      </w:r>
      <w:r w:rsidRPr="00921970">
        <w:t xml:space="preserve"> statistics in </w:t>
      </w:r>
      <w:hyperlink w:anchor="_Financial_and_performance" w:history="1">
        <w:r w:rsidRPr="00170C80">
          <w:rPr>
            <w:rStyle w:val="Hyperlink"/>
          </w:rPr>
          <w:t>Parts 6</w:t>
        </w:r>
      </w:hyperlink>
      <w:r w:rsidRPr="00921970">
        <w:t xml:space="preserve"> and </w:t>
      </w:r>
      <w:hyperlink w:anchor="_Analysis,_statistics_and" w:history="1">
        <w:r w:rsidRPr="00170C80">
          <w:rPr>
            <w:rStyle w:val="Hyperlink"/>
          </w:rPr>
          <w:t>7</w:t>
        </w:r>
      </w:hyperlink>
      <w:r w:rsidRPr="00921970">
        <w:t>)</w:t>
      </w:r>
      <w:r>
        <w:t>.</w:t>
      </w:r>
    </w:p>
    <w:p w14:paraId="29B0AA65" w14:textId="3263893F" w:rsidR="00975094" w:rsidRPr="006B6D9B" w:rsidRDefault="005B795D" w:rsidP="00E36674">
      <w:pPr>
        <w:pStyle w:val="Bullet2"/>
        <w:numPr>
          <w:ilvl w:val="0"/>
          <w:numId w:val="0"/>
        </w:numPr>
        <w:spacing w:after="0"/>
        <w:rPr>
          <w:rStyle w:val="Hyperlink"/>
          <w:color w:val="1E1E1E"/>
          <w:sz w:val="28"/>
          <w:u w:val="none"/>
        </w:rPr>
      </w:pPr>
      <w:hyperlink w:anchor="Contents" w:history="1">
        <w:r w:rsidR="00CE5E04" w:rsidRPr="00F5248A">
          <w:rPr>
            <w:rStyle w:val="Hyperlink"/>
          </w:rPr>
          <w:t>Back to contents</w:t>
        </w:r>
      </w:hyperlink>
      <w:bookmarkStart w:id="47" w:name="_Ombudsman_outcomes_framework"/>
      <w:bookmarkEnd w:id="47"/>
    </w:p>
    <w:p w14:paraId="7985A7D3" w14:textId="77777777" w:rsidR="00CE5E04" w:rsidRDefault="00CE5E04">
      <w:pPr>
        <w:spacing w:line="276" w:lineRule="auto"/>
      </w:pPr>
      <w:r>
        <w:rPr>
          <w:rStyle w:val="Hyperlink"/>
        </w:rPr>
        <w:br w:type="column"/>
      </w:r>
      <w:r w:rsidR="00513294">
        <w:rPr>
          <w:noProof/>
          <w:lang w:eastAsia="en-NZ"/>
        </w:rPr>
        <mc:AlternateContent>
          <mc:Choice Requires="wps">
            <w:drawing>
              <wp:anchor distT="0" distB="0" distL="114300" distR="114300" simplePos="0" relativeHeight="251663360" behindDoc="0" locked="0" layoutInCell="1" allowOverlap="1" wp14:anchorId="02EFCB35" wp14:editId="445371BE">
                <wp:simplePos x="0" y="0"/>
                <wp:positionH relativeFrom="page">
                  <wp:posOffset>5700395</wp:posOffset>
                </wp:positionH>
                <wp:positionV relativeFrom="page">
                  <wp:posOffset>1730844</wp:posOffset>
                </wp:positionV>
                <wp:extent cx="1123950" cy="2524125"/>
                <wp:effectExtent l="4445" t="3175" r="0" b="0"/>
                <wp:wrapNone/>
                <wp:docPr id="14" name="Text Box 7" title="Illustrative element - numb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B2F66" w14:textId="77777777" w:rsidR="0099164B" w:rsidRPr="00C95275" w:rsidRDefault="0099164B" w:rsidP="00CE5E04">
                            <w:pPr>
                              <w:spacing w:after="0"/>
                              <w:jc w:val="right"/>
                              <w:rPr>
                                <w:rFonts w:ascii="Lucida Sans" w:hAnsi="Lucida Sans" w:cs="Lucida Sans"/>
                                <w:color w:val="2BB673"/>
                                <w:sz w:val="280"/>
                                <w:szCs w:val="280"/>
                              </w:rPr>
                            </w:pPr>
                            <w:r>
                              <w:rPr>
                                <w:rFonts w:ascii="Lucida Sans" w:hAnsi="Lucida Sans" w:cs="Lucida Sans"/>
                                <w:color w:val="2BB673"/>
                                <w:sz w:val="280"/>
                                <w:szCs w:val="280"/>
                              </w:rPr>
                              <w:t>4</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02EFCB35" id="Text Box 7" o:spid="_x0000_s1029" type="#_x0000_t202" alt="Title: Illustrative element - number '4'" style="position:absolute;margin-left:448.85pt;margin-top:136.3pt;width:88.5pt;height:19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" filled="f" stroked="f">
                <v:textbox>
                  <w:txbxContent>
                    <w:p w14:paraId="030B2F66" w14:textId="77777777" w:rsidR="0099164B" w:rsidRPr="00C95275" w:rsidRDefault="0099164B" w:rsidP="00CE5E04">
                      <w:pPr>
                        <w:spacing w:after="0"/>
                        <w:jc w:val="right"/>
                        <w:rPr>
                          <w:rFonts w:ascii="Lucida Sans" w:hAnsi="Lucida Sans" w:cs="Lucida Sans"/>
                          <w:color w:val="2BB673"/>
                          <w:sz w:val="280"/>
                          <w:szCs w:val="280"/>
                        </w:rPr>
                      </w:pPr>
                      <w:r>
                        <w:rPr>
                          <w:rFonts w:ascii="Lucida Sans" w:hAnsi="Lucida Sans" w:cs="Lucida Sans"/>
                          <w:color w:val="2BB673"/>
                          <w:sz w:val="280"/>
                          <w:szCs w:val="280"/>
                        </w:rPr>
                        <w:t>4</w:t>
                      </w:r>
                    </w:p>
                  </w:txbxContent>
                </v:textbox>
                <w10:wrap anchorx="page" anchory="page"/>
              </v:shape>
            </w:pict>
          </mc:Fallback>
        </mc:AlternateContent>
      </w:r>
    </w:p>
    <w:p w14:paraId="17844044" w14:textId="77777777" w:rsidR="00CE5E04" w:rsidRPr="00B36520" w:rsidRDefault="00CE5E04" w:rsidP="00CE5E04">
      <w:pPr>
        <w:pStyle w:val="HeadingPart"/>
      </w:pPr>
    </w:p>
    <w:p w14:paraId="47A238DC" w14:textId="77777777" w:rsidR="00CE5E04" w:rsidRDefault="002D3B5E" w:rsidP="00CE5E04">
      <w:pPr>
        <w:pStyle w:val="Heading1"/>
        <w:pageBreakBefore w:val="0"/>
        <w:tabs>
          <w:tab w:val="right" w:pos="9014"/>
        </w:tabs>
        <w:spacing w:after="1680"/>
      </w:pPr>
      <w:bookmarkStart w:id="48" w:name="_Report_on_operations"/>
      <w:bookmarkStart w:id="49" w:name="_Ref336353967"/>
      <w:bookmarkEnd w:id="48"/>
      <w:r>
        <w:t xml:space="preserve">Outputs and </w:t>
      </w:r>
      <w:r w:rsidR="00CE5E04">
        <w:t>operations</w:t>
      </w:r>
      <w:bookmarkEnd w:id="49"/>
      <w:r w:rsidR="00CE5E04">
        <w:tab/>
      </w:r>
    </w:p>
    <w:p w14:paraId="356C26B1" w14:textId="77777777" w:rsidR="002D3B5E" w:rsidRPr="002D3B5E" w:rsidRDefault="002D3B5E" w:rsidP="002D3B5E">
      <w:pPr>
        <w:pStyle w:val="BodyText"/>
      </w:pPr>
    </w:p>
    <w:tbl>
      <w:tblPr>
        <w:tblStyle w:val="TableGridAnnualReport"/>
        <w:tblW w:w="9278" w:type="dxa"/>
        <w:tblInd w:w="10" w:type="dxa"/>
        <w:tblBorders>
          <w:left w:val="single" w:sz="8" w:space="0" w:color="FFFFFF" w:themeColor="background1"/>
          <w:bottom w:val="single" w:sz="8" w:space="0" w:color="auto"/>
          <w:right w:val="single" w:sz="8" w:space="0" w:color="FFFFFF" w:themeColor="background1"/>
          <w:insideH w:val="single" w:sz="8" w:space="0" w:color="auto"/>
          <w:insideV w:val="single" w:sz="8" w:space="0" w:color="FFFFFF" w:themeColor="background1"/>
        </w:tblBorders>
        <w:shd w:val="clear" w:color="000000" w:fill="auto"/>
        <w:tblLook w:val="04A0" w:firstRow="1" w:lastRow="0" w:firstColumn="1" w:lastColumn="0" w:noHBand="0" w:noVBand="1"/>
        <w:tblCaption w:val="Contents Section 4"/>
      </w:tblPr>
      <w:tblGrid>
        <w:gridCol w:w="8769"/>
        <w:gridCol w:w="509"/>
      </w:tblGrid>
      <w:tr w:rsidR="009B64C4" w:rsidRPr="005107B4" w14:paraId="6A6A8C18" w14:textId="77777777" w:rsidTr="002B6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9" w:type="dxa"/>
            <w:tcBorders>
              <w:top w:val="single" w:sz="4" w:space="0" w:color="auto"/>
              <w:left w:val="single" w:sz="8" w:space="0" w:color="FFFFFF"/>
              <w:bottom w:val="single" w:sz="4" w:space="0" w:color="auto"/>
              <w:right w:val="single" w:sz="8" w:space="0" w:color="FFFFFF"/>
            </w:tcBorders>
            <w:shd w:val="clear" w:color="000000" w:fill="auto"/>
          </w:tcPr>
          <w:p w14:paraId="111514D1" w14:textId="2F951246" w:rsidR="009B64C4" w:rsidRDefault="005B795D" w:rsidP="005107B4">
            <w:pPr>
              <w:spacing w:before="120" w:after="120" w:line="276" w:lineRule="auto"/>
            </w:pPr>
            <w:hyperlink w:anchor="_COVID-19_global_pandemic" w:history="1">
              <w:r w:rsidR="009B64C4" w:rsidRPr="002D3B5E">
                <w:rPr>
                  <w:rStyle w:val="Hyperlink"/>
                </w:rPr>
                <w:t>COVID-19 global pandemic</w:t>
              </w:r>
            </w:hyperlink>
          </w:p>
        </w:tc>
        <w:tc>
          <w:tcPr>
            <w:tcW w:w="509" w:type="dxa"/>
            <w:tcBorders>
              <w:left w:val="single" w:sz="8" w:space="0" w:color="FFFFFF"/>
            </w:tcBorders>
            <w:shd w:val="clear" w:color="000000" w:fill="auto"/>
            <w:vAlign w:val="center"/>
          </w:tcPr>
          <w:p w14:paraId="70CC5876" w14:textId="419A4832" w:rsidR="009B64C4" w:rsidRPr="00F31CFD" w:rsidRDefault="00F31CFD" w:rsidP="00F31CFD">
            <w:pPr>
              <w:spacing w:before="120" w:after="120" w:line="276" w:lineRule="auto"/>
              <w:jc w:val="right"/>
              <w:cnfStyle w:val="100000000000" w:firstRow="1" w:lastRow="0" w:firstColumn="0" w:lastColumn="0" w:oddVBand="0" w:evenVBand="0" w:oddHBand="0" w:evenHBand="0" w:firstRowFirstColumn="0" w:firstRowLastColumn="0" w:lastRowFirstColumn="0" w:lastRowLastColumn="0"/>
              <w:rPr>
                <w:sz w:val="25"/>
                <w:szCs w:val="25"/>
              </w:rPr>
            </w:pPr>
            <w:r>
              <w:rPr>
                <w:sz w:val="25"/>
                <w:szCs w:val="25"/>
              </w:rPr>
              <w:fldChar w:fldCharType="begin"/>
            </w:r>
            <w:r>
              <w:rPr>
                <w:sz w:val="25"/>
                <w:szCs w:val="25"/>
              </w:rPr>
              <w:instrText xml:space="preserve"> PAGEREF _Ref54686773 \h </w:instrText>
            </w:r>
            <w:r>
              <w:rPr>
                <w:sz w:val="25"/>
                <w:szCs w:val="25"/>
              </w:rPr>
            </w:r>
            <w:r>
              <w:rPr>
                <w:sz w:val="25"/>
                <w:szCs w:val="25"/>
              </w:rPr>
              <w:fldChar w:fldCharType="separate"/>
            </w:r>
            <w:r w:rsidR="00E36674">
              <w:rPr>
                <w:noProof/>
                <w:sz w:val="25"/>
                <w:szCs w:val="25"/>
              </w:rPr>
              <w:t>21</w:t>
            </w:r>
            <w:r>
              <w:rPr>
                <w:sz w:val="25"/>
                <w:szCs w:val="25"/>
              </w:rPr>
              <w:fldChar w:fldCharType="end"/>
            </w:r>
          </w:p>
        </w:tc>
      </w:tr>
      <w:tr w:rsidR="009B64C4" w:rsidRPr="005107B4" w14:paraId="13942FD9" w14:textId="77777777" w:rsidTr="002B6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9" w:type="dxa"/>
            <w:tcBorders>
              <w:top w:val="single" w:sz="4" w:space="0" w:color="auto"/>
              <w:left w:val="single" w:sz="8" w:space="0" w:color="FFFFFF"/>
              <w:bottom w:val="single" w:sz="4" w:space="0" w:color="auto"/>
              <w:right w:val="single" w:sz="8" w:space="0" w:color="FFFFFF"/>
            </w:tcBorders>
            <w:shd w:val="clear" w:color="000000" w:fill="auto"/>
          </w:tcPr>
          <w:p w14:paraId="148D5DD9" w14:textId="56D08120" w:rsidR="009B64C4" w:rsidRPr="005107B4" w:rsidRDefault="005B795D" w:rsidP="0081525B">
            <w:pPr>
              <w:spacing w:before="120" w:after="120" w:line="276" w:lineRule="auto"/>
              <w:rPr>
                <w:sz w:val="25"/>
                <w:szCs w:val="25"/>
              </w:rPr>
            </w:pPr>
            <w:hyperlink w:anchor="_Inform_the_public_1" w:history="1">
              <w:r w:rsidR="009B64C4" w:rsidRPr="005107B4">
                <w:rPr>
                  <w:rStyle w:val="Hyperlink"/>
                  <w:sz w:val="25"/>
                  <w:szCs w:val="25"/>
                </w:rPr>
                <w:t>Inform the public to enable them to take constructive action to realise their rights</w:t>
              </w:r>
            </w:hyperlink>
          </w:p>
        </w:tc>
        <w:tc>
          <w:tcPr>
            <w:tcW w:w="509" w:type="dxa"/>
            <w:tcBorders>
              <w:top w:val="nil"/>
              <w:left w:val="single" w:sz="8" w:space="0" w:color="FFFFFF"/>
            </w:tcBorders>
            <w:shd w:val="clear" w:color="000000" w:fill="auto"/>
            <w:vAlign w:val="center"/>
          </w:tcPr>
          <w:p w14:paraId="0E55FB3E" w14:textId="69E8FF04" w:rsidR="009B64C4" w:rsidRPr="00F31CFD" w:rsidRDefault="0027050F" w:rsidP="0081525B">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Pr>
                <w:sz w:val="25"/>
                <w:szCs w:val="25"/>
              </w:rPr>
              <w:fldChar w:fldCharType="begin"/>
            </w:r>
            <w:r>
              <w:rPr>
                <w:sz w:val="25"/>
                <w:szCs w:val="25"/>
              </w:rPr>
              <w:instrText xml:space="preserve"> PAGEREF _Ref56496806 \h </w:instrText>
            </w:r>
            <w:r>
              <w:rPr>
                <w:sz w:val="25"/>
                <w:szCs w:val="25"/>
              </w:rPr>
            </w:r>
            <w:r>
              <w:rPr>
                <w:sz w:val="25"/>
                <w:szCs w:val="25"/>
              </w:rPr>
              <w:fldChar w:fldCharType="separate"/>
            </w:r>
            <w:r w:rsidR="00E36674">
              <w:rPr>
                <w:noProof/>
                <w:sz w:val="25"/>
                <w:szCs w:val="25"/>
              </w:rPr>
              <w:t>22</w:t>
            </w:r>
            <w:r>
              <w:rPr>
                <w:sz w:val="25"/>
                <w:szCs w:val="25"/>
              </w:rPr>
              <w:fldChar w:fldCharType="end"/>
            </w:r>
          </w:p>
        </w:tc>
      </w:tr>
      <w:tr w:rsidR="00200D87" w:rsidRPr="005107B4" w14:paraId="0F8E044F" w14:textId="77777777" w:rsidTr="002B6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9" w:type="dxa"/>
            <w:tcBorders>
              <w:top w:val="single" w:sz="4" w:space="0" w:color="auto"/>
              <w:left w:val="single" w:sz="8" w:space="0" w:color="FFFFFF"/>
              <w:bottom w:val="single" w:sz="4" w:space="0" w:color="auto"/>
              <w:right w:val="single" w:sz="8" w:space="0" w:color="FFFFFF"/>
            </w:tcBorders>
            <w:shd w:val="clear" w:color="000000" w:fill="auto"/>
          </w:tcPr>
          <w:p w14:paraId="36FC65C2" w14:textId="2A8C36AA" w:rsidR="00200D87" w:rsidRDefault="005B795D" w:rsidP="005107B4">
            <w:pPr>
              <w:spacing w:before="120" w:after="120" w:line="276" w:lineRule="auto"/>
            </w:pPr>
            <w:hyperlink w:anchor="_Improve_public_sector" w:history="1">
              <w:r w:rsidR="00200D87" w:rsidRPr="005107B4">
                <w:rPr>
                  <w:rStyle w:val="Hyperlink"/>
                  <w:sz w:val="25"/>
                  <w:szCs w:val="25"/>
                </w:rPr>
                <w:t>Improve public sector capability to do its work and make decisions</w:t>
              </w:r>
            </w:hyperlink>
          </w:p>
        </w:tc>
        <w:tc>
          <w:tcPr>
            <w:tcW w:w="509" w:type="dxa"/>
            <w:tcBorders>
              <w:left w:val="single" w:sz="8" w:space="0" w:color="FFFFFF"/>
            </w:tcBorders>
            <w:shd w:val="clear" w:color="000000" w:fill="auto"/>
            <w:vAlign w:val="center"/>
          </w:tcPr>
          <w:p w14:paraId="0BD899B9" w14:textId="5A0F1D87" w:rsidR="00200D87" w:rsidRPr="00F31CFD" w:rsidRDefault="00F31CFD" w:rsidP="0023585F">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Pr>
                <w:sz w:val="25"/>
                <w:szCs w:val="25"/>
              </w:rPr>
              <w:fldChar w:fldCharType="begin"/>
            </w:r>
            <w:r>
              <w:rPr>
                <w:sz w:val="25"/>
                <w:szCs w:val="25"/>
              </w:rPr>
              <w:instrText xml:space="preserve"> PAGEREF _Ref54687140 \h </w:instrText>
            </w:r>
            <w:r>
              <w:rPr>
                <w:sz w:val="25"/>
                <w:szCs w:val="25"/>
              </w:rPr>
            </w:r>
            <w:r>
              <w:rPr>
                <w:sz w:val="25"/>
                <w:szCs w:val="25"/>
              </w:rPr>
              <w:fldChar w:fldCharType="separate"/>
            </w:r>
            <w:r w:rsidR="00E36674">
              <w:rPr>
                <w:noProof/>
                <w:sz w:val="25"/>
                <w:szCs w:val="25"/>
              </w:rPr>
              <w:t>25</w:t>
            </w:r>
            <w:r>
              <w:rPr>
                <w:sz w:val="25"/>
                <w:szCs w:val="25"/>
              </w:rPr>
              <w:fldChar w:fldCharType="end"/>
            </w:r>
          </w:p>
        </w:tc>
      </w:tr>
      <w:tr w:rsidR="005107B4" w:rsidRPr="005107B4" w14:paraId="1FEFF31E" w14:textId="77777777" w:rsidTr="002B6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9" w:type="dxa"/>
            <w:tcBorders>
              <w:top w:val="single" w:sz="4" w:space="0" w:color="auto"/>
              <w:left w:val="single" w:sz="8" w:space="0" w:color="FFFFFF"/>
              <w:bottom w:val="single" w:sz="4" w:space="0" w:color="auto"/>
              <w:right w:val="single" w:sz="8" w:space="0" w:color="FFFFFF"/>
            </w:tcBorders>
            <w:shd w:val="clear" w:color="000000" w:fill="auto"/>
          </w:tcPr>
          <w:p w14:paraId="564803B8" w14:textId="10EC9AAA" w:rsidR="005107B4" w:rsidRPr="005107B4" w:rsidRDefault="005B795D" w:rsidP="005107B4">
            <w:pPr>
              <w:spacing w:before="120" w:after="120" w:line="276" w:lineRule="auto"/>
              <w:rPr>
                <w:sz w:val="25"/>
                <w:szCs w:val="25"/>
              </w:rPr>
            </w:pPr>
            <w:hyperlink w:anchor="_Formal_consultation_to" w:history="1">
              <w:r w:rsidR="005107B4" w:rsidRPr="005107B4">
                <w:rPr>
                  <w:rStyle w:val="Hyperlink"/>
                  <w:sz w:val="25"/>
                  <w:szCs w:val="25"/>
                </w:rPr>
                <w:t>Formal consultation to assist public sector agencies to make specific decisions</w:t>
              </w:r>
            </w:hyperlink>
          </w:p>
        </w:tc>
        <w:tc>
          <w:tcPr>
            <w:tcW w:w="509" w:type="dxa"/>
            <w:tcBorders>
              <w:left w:val="single" w:sz="8" w:space="0" w:color="FFFFFF"/>
            </w:tcBorders>
            <w:shd w:val="clear" w:color="000000" w:fill="auto"/>
            <w:vAlign w:val="center"/>
          </w:tcPr>
          <w:p w14:paraId="23C38C74" w14:textId="7FF69404" w:rsidR="005107B4" w:rsidRPr="00F31CFD" w:rsidRDefault="00F31CFD" w:rsidP="0023585F">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Pr>
                <w:sz w:val="25"/>
                <w:szCs w:val="25"/>
              </w:rPr>
              <w:fldChar w:fldCharType="begin"/>
            </w:r>
            <w:r>
              <w:rPr>
                <w:sz w:val="25"/>
                <w:szCs w:val="25"/>
              </w:rPr>
              <w:instrText xml:space="preserve"> PAGEREF _Ref54687146 \h </w:instrText>
            </w:r>
            <w:r>
              <w:rPr>
                <w:sz w:val="25"/>
                <w:szCs w:val="25"/>
              </w:rPr>
            </w:r>
            <w:r>
              <w:rPr>
                <w:sz w:val="25"/>
                <w:szCs w:val="25"/>
              </w:rPr>
              <w:fldChar w:fldCharType="separate"/>
            </w:r>
            <w:r w:rsidR="00E36674">
              <w:rPr>
                <w:noProof/>
                <w:sz w:val="25"/>
                <w:szCs w:val="25"/>
              </w:rPr>
              <w:t>29</w:t>
            </w:r>
            <w:r>
              <w:rPr>
                <w:sz w:val="25"/>
                <w:szCs w:val="25"/>
              </w:rPr>
              <w:fldChar w:fldCharType="end"/>
            </w:r>
          </w:p>
        </w:tc>
      </w:tr>
      <w:tr w:rsidR="005107B4" w:rsidRPr="005107B4" w14:paraId="39D0A7BE" w14:textId="77777777" w:rsidTr="002B6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9" w:type="dxa"/>
            <w:tcBorders>
              <w:top w:val="single" w:sz="4" w:space="0" w:color="auto"/>
              <w:left w:val="single" w:sz="8" w:space="0" w:color="FFFFFF"/>
              <w:bottom w:val="single" w:sz="4" w:space="0" w:color="auto"/>
              <w:right w:val="single" w:sz="8" w:space="0" w:color="FFFFFF"/>
            </w:tcBorders>
            <w:shd w:val="clear" w:color="000000" w:fill="auto"/>
          </w:tcPr>
          <w:p w14:paraId="534E897C" w14:textId="3199684C" w:rsidR="005107B4" w:rsidRPr="005107B4" w:rsidRDefault="005B795D" w:rsidP="0027050F">
            <w:pPr>
              <w:spacing w:before="120" w:after="120" w:line="276" w:lineRule="auto"/>
              <w:rPr>
                <w:sz w:val="25"/>
                <w:szCs w:val="25"/>
              </w:rPr>
            </w:pPr>
            <w:hyperlink w:anchor="_Enable_serious_wrongdoing" w:history="1">
              <w:r w:rsidR="005107B4" w:rsidRPr="005107B4">
                <w:rPr>
                  <w:rStyle w:val="Hyperlink"/>
                  <w:sz w:val="25"/>
                  <w:szCs w:val="25"/>
                </w:rPr>
                <w:t>Enable serious wrongdoing to be disclosed and investigated and whistleblowers protected</w:t>
              </w:r>
            </w:hyperlink>
          </w:p>
        </w:tc>
        <w:tc>
          <w:tcPr>
            <w:tcW w:w="509" w:type="dxa"/>
            <w:tcBorders>
              <w:left w:val="single" w:sz="8" w:space="0" w:color="FFFFFF"/>
            </w:tcBorders>
            <w:shd w:val="clear" w:color="000000" w:fill="auto"/>
            <w:vAlign w:val="center"/>
          </w:tcPr>
          <w:p w14:paraId="06FD2DBF" w14:textId="54CDBA20" w:rsidR="005107B4" w:rsidRPr="00F31CFD" w:rsidRDefault="00F31CFD" w:rsidP="005107B4">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Pr>
                <w:sz w:val="25"/>
                <w:szCs w:val="25"/>
              </w:rPr>
              <w:fldChar w:fldCharType="begin"/>
            </w:r>
            <w:r>
              <w:rPr>
                <w:sz w:val="25"/>
                <w:szCs w:val="25"/>
              </w:rPr>
              <w:instrText xml:space="preserve"> PAGEREF _Ref54687153 \h </w:instrText>
            </w:r>
            <w:r>
              <w:rPr>
                <w:sz w:val="25"/>
                <w:szCs w:val="25"/>
              </w:rPr>
            </w:r>
            <w:r>
              <w:rPr>
                <w:sz w:val="25"/>
                <w:szCs w:val="25"/>
              </w:rPr>
              <w:fldChar w:fldCharType="separate"/>
            </w:r>
            <w:r w:rsidR="00E36674">
              <w:rPr>
                <w:noProof/>
                <w:sz w:val="25"/>
                <w:szCs w:val="25"/>
              </w:rPr>
              <w:t>29</w:t>
            </w:r>
            <w:r>
              <w:rPr>
                <w:sz w:val="25"/>
                <w:szCs w:val="25"/>
              </w:rPr>
              <w:fldChar w:fldCharType="end"/>
            </w:r>
          </w:p>
        </w:tc>
      </w:tr>
      <w:tr w:rsidR="005107B4" w:rsidRPr="005107B4" w14:paraId="4B4703C4" w14:textId="77777777" w:rsidTr="002B6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9" w:type="dxa"/>
            <w:tcBorders>
              <w:top w:val="single" w:sz="4" w:space="0" w:color="auto"/>
              <w:left w:val="single" w:sz="8" w:space="0" w:color="FFFFFF"/>
              <w:bottom w:val="single" w:sz="4" w:space="0" w:color="auto"/>
              <w:right w:val="single" w:sz="8" w:space="0" w:color="FFFFFF"/>
            </w:tcBorders>
            <w:shd w:val="clear" w:color="000000" w:fill="auto"/>
          </w:tcPr>
          <w:p w14:paraId="14BFF613" w14:textId="736A3690" w:rsidR="005107B4" w:rsidRPr="005107B4" w:rsidRDefault="005B795D" w:rsidP="005107B4">
            <w:pPr>
              <w:spacing w:before="120" w:after="120" w:line="276" w:lineRule="auto"/>
              <w:rPr>
                <w:sz w:val="25"/>
                <w:szCs w:val="25"/>
              </w:rPr>
            </w:pPr>
            <w:hyperlink w:anchor="_Break_down_the" w:history="1">
              <w:r w:rsidR="005107B4" w:rsidRPr="005107B4">
                <w:rPr>
                  <w:rStyle w:val="Hyperlink"/>
                  <w:sz w:val="25"/>
                  <w:szCs w:val="25"/>
                </w:rPr>
                <w:t>Break down the barriers that prevent disabled people from participating equally in society</w:t>
              </w:r>
            </w:hyperlink>
          </w:p>
        </w:tc>
        <w:tc>
          <w:tcPr>
            <w:tcW w:w="509" w:type="dxa"/>
            <w:tcBorders>
              <w:left w:val="single" w:sz="8" w:space="0" w:color="FFFFFF"/>
            </w:tcBorders>
            <w:shd w:val="clear" w:color="000000" w:fill="auto"/>
            <w:vAlign w:val="center"/>
          </w:tcPr>
          <w:p w14:paraId="234FE669" w14:textId="68A8FDC4" w:rsidR="005107B4" w:rsidRPr="00F31CFD" w:rsidRDefault="00F31CFD" w:rsidP="005107B4">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Pr>
                <w:sz w:val="25"/>
                <w:szCs w:val="25"/>
              </w:rPr>
              <w:fldChar w:fldCharType="begin"/>
            </w:r>
            <w:r>
              <w:rPr>
                <w:sz w:val="25"/>
                <w:szCs w:val="25"/>
              </w:rPr>
              <w:instrText xml:space="preserve"> PAGEREF _Ref54687159 \h </w:instrText>
            </w:r>
            <w:r>
              <w:rPr>
                <w:sz w:val="25"/>
                <w:szCs w:val="25"/>
              </w:rPr>
            </w:r>
            <w:r>
              <w:rPr>
                <w:sz w:val="25"/>
                <w:szCs w:val="25"/>
              </w:rPr>
              <w:fldChar w:fldCharType="separate"/>
            </w:r>
            <w:r w:rsidR="00E36674">
              <w:rPr>
                <w:noProof/>
                <w:sz w:val="25"/>
                <w:szCs w:val="25"/>
              </w:rPr>
              <w:t>31</w:t>
            </w:r>
            <w:r>
              <w:rPr>
                <w:sz w:val="25"/>
                <w:szCs w:val="25"/>
              </w:rPr>
              <w:fldChar w:fldCharType="end"/>
            </w:r>
          </w:p>
        </w:tc>
      </w:tr>
      <w:tr w:rsidR="005107B4" w:rsidRPr="005107B4" w14:paraId="51331868" w14:textId="77777777" w:rsidTr="002B6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9" w:type="dxa"/>
            <w:tcBorders>
              <w:top w:val="single" w:sz="4" w:space="0" w:color="auto"/>
              <w:left w:val="single" w:sz="8" w:space="0" w:color="FFFFFF"/>
              <w:bottom w:val="single" w:sz="4" w:space="0" w:color="auto"/>
              <w:right w:val="single" w:sz="8" w:space="0" w:color="FFFFFF"/>
            </w:tcBorders>
            <w:shd w:val="clear" w:color="000000" w:fill="auto"/>
          </w:tcPr>
          <w:p w14:paraId="7E6843D3" w14:textId="361C463C" w:rsidR="005107B4" w:rsidRPr="005107B4" w:rsidRDefault="005B795D" w:rsidP="005107B4">
            <w:pPr>
              <w:spacing w:before="120" w:after="120" w:line="276" w:lineRule="auto"/>
              <w:rPr>
                <w:sz w:val="25"/>
                <w:szCs w:val="25"/>
              </w:rPr>
            </w:pPr>
            <w:hyperlink w:anchor="_Improve_the_conditions" w:history="1">
              <w:r w:rsidR="005107B4" w:rsidRPr="005107B4">
                <w:rPr>
                  <w:rStyle w:val="Hyperlink"/>
                  <w:sz w:val="25"/>
                  <w:szCs w:val="25"/>
                </w:rPr>
                <w:t>Improve the conditions and treatment of people in detention</w:t>
              </w:r>
            </w:hyperlink>
          </w:p>
        </w:tc>
        <w:tc>
          <w:tcPr>
            <w:tcW w:w="509" w:type="dxa"/>
            <w:tcBorders>
              <w:left w:val="single" w:sz="8" w:space="0" w:color="FFFFFF"/>
            </w:tcBorders>
            <w:shd w:val="clear" w:color="000000" w:fill="auto"/>
            <w:vAlign w:val="center"/>
          </w:tcPr>
          <w:p w14:paraId="00FEFCC1" w14:textId="431C2FB3" w:rsidR="005107B4" w:rsidRPr="00F31CFD" w:rsidRDefault="00F31CFD" w:rsidP="005107B4">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Pr>
                <w:sz w:val="25"/>
                <w:szCs w:val="25"/>
              </w:rPr>
              <w:fldChar w:fldCharType="begin"/>
            </w:r>
            <w:r>
              <w:rPr>
                <w:sz w:val="25"/>
                <w:szCs w:val="25"/>
              </w:rPr>
              <w:instrText xml:space="preserve"> PAGEREF _Ref54687167 \h </w:instrText>
            </w:r>
            <w:r>
              <w:rPr>
                <w:sz w:val="25"/>
                <w:szCs w:val="25"/>
              </w:rPr>
            </w:r>
            <w:r>
              <w:rPr>
                <w:sz w:val="25"/>
                <w:szCs w:val="25"/>
              </w:rPr>
              <w:fldChar w:fldCharType="separate"/>
            </w:r>
            <w:r w:rsidR="00E36674">
              <w:rPr>
                <w:noProof/>
                <w:sz w:val="25"/>
                <w:szCs w:val="25"/>
              </w:rPr>
              <w:t>33</w:t>
            </w:r>
            <w:r>
              <w:rPr>
                <w:sz w:val="25"/>
                <w:szCs w:val="25"/>
              </w:rPr>
              <w:fldChar w:fldCharType="end"/>
            </w:r>
          </w:p>
        </w:tc>
      </w:tr>
      <w:tr w:rsidR="005107B4" w:rsidRPr="005107B4" w14:paraId="1D17A5DB" w14:textId="77777777" w:rsidTr="002B6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9" w:type="dxa"/>
            <w:tcBorders>
              <w:top w:val="single" w:sz="4" w:space="0" w:color="auto"/>
              <w:left w:val="single" w:sz="8" w:space="0" w:color="FFFFFF"/>
              <w:bottom w:val="single" w:sz="4" w:space="0" w:color="auto"/>
              <w:right w:val="single" w:sz="8" w:space="0" w:color="FFFFFF"/>
            </w:tcBorders>
            <w:shd w:val="clear" w:color="000000" w:fill="auto"/>
          </w:tcPr>
          <w:p w14:paraId="303C32A3" w14:textId="2B5ECFC1" w:rsidR="005107B4" w:rsidRPr="005107B4" w:rsidRDefault="005B795D" w:rsidP="0027050F">
            <w:pPr>
              <w:spacing w:before="120" w:after="120" w:line="276" w:lineRule="auto"/>
              <w:rPr>
                <w:sz w:val="25"/>
                <w:szCs w:val="25"/>
              </w:rPr>
            </w:pPr>
            <w:hyperlink w:anchor="_Ensure_official_information" w:history="1">
              <w:r w:rsidR="005107B4" w:rsidRPr="005107B4">
                <w:rPr>
                  <w:rStyle w:val="Hyperlink"/>
                  <w:sz w:val="25"/>
                  <w:szCs w:val="25"/>
                </w:rPr>
                <w:t>Ensure official information is increasingly available and not unlawfully refused</w:t>
              </w:r>
            </w:hyperlink>
          </w:p>
        </w:tc>
        <w:tc>
          <w:tcPr>
            <w:tcW w:w="509" w:type="dxa"/>
            <w:tcBorders>
              <w:left w:val="single" w:sz="8" w:space="0" w:color="FFFFFF"/>
            </w:tcBorders>
            <w:shd w:val="clear" w:color="000000" w:fill="auto"/>
            <w:vAlign w:val="center"/>
          </w:tcPr>
          <w:p w14:paraId="106F68E4" w14:textId="25D1C900" w:rsidR="005107B4" w:rsidRPr="00F31CFD" w:rsidRDefault="00F31CFD" w:rsidP="005107B4">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Pr>
                <w:sz w:val="25"/>
                <w:szCs w:val="25"/>
              </w:rPr>
              <w:fldChar w:fldCharType="begin"/>
            </w:r>
            <w:r>
              <w:rPr>
                <w:sz w:val="25"/>
                <w:szCs w:val="25"/>
              </w:rPr>
              <w:instrText xml:space="preserve"> PAGEREF _Ref54687177 \h </w:instrText>
            </w:r>
            <w:r>
              <w:rPr>
                <w:sz w:val="25"/>
                <w:szCs w:val="25"/>
              </w:rPr>
            </w:r>
            <w:r>
              <w:rPr>
                <w:sz w:val="25"/>
                <w:szCs w:val="25"/>
              </w:rPr>
              <w:fldChar w:fldCharType="separate"/>
            </w:r>
            <w:r w:rsidR="00E36674">
              <w:rPr>
                <w:noProof/>
                <w:sz w:val="25"/>
                <w:szCs w:val="25"/>
              </w:rPr>
              <w:t>40</w:t>
            </w:r>
            <w:r>
              <w:rPr>
                <w:sz w:val="25"/>
                <w:szCs w:val="25"/>
              </w:rPr>
              <w:fldChar w:fldCharType="end"/>
            </w:r>
          </w:p>
        </w:tc>
      </w:tr>
      <w:tr w:rsidR="005107B4" w:rsidRPr="005107B4" w14:paraId="081089E9" w14:textId="77777777" w:rsidTr="002B6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9" w:type="dxa"/>
            <w:tcBorders>
              <w:top w:val="single" w:sz="4" w:space="0" w:color="auto"/>
              <w:left w:val="single" w:sz="8" w:space="0" w:color="FFFFFF"/>
              <w:bottom w:val="single" w:sz="4" w:space="0" w:color="auto"/>
              <w:right w:val="single" w:sz="8" w:space="0" w:color="FFFFFF"/>
            </w:tcBorders>
            <w:shd w:val="clear" w:color="000000" w:fill="auto"/>
          </w:tcPr>
          <w:p w14:paraId="2F4290C9" w14:textId="7C18D5FF" w:rsidR="005107B4" w:rsidRPr="005107B4" w:rsidRDefault="005B795D" w:rsidP="00B42CB2">
            <w:pPr>
              <w:spacing w:before="120" w:after="120" w:line="276" w:lineRule="auto"/>
              <w:rPr>
                <w:sz w:val="25"/>
                <w:szCs w:val="25"/>
              </w:rPr>
            </w:pPr>
            <w:hyperlink w:anchor="_Identify_flawed_public" w:history="1">
              <w:r w:rsidR="005107B4" w:rsidRPr="005107B4">
                <w:rPr>
                  <w:rStyle w:val="Hyperlink"/>
                  <w:sz w:val="25"/>
                  <w:szCs w:val="25"/>
                </w:rPr>
                <w:t>Identify flawed public sector decision</w:t>
              </w:r>
              <w:r w:rsidR="00B42CB2">
                <w:rPr>
                  <w:rStyle w:val="Hyperlink"/>
                  <w:sz w:val="25"/>
                  <w:szCs w:val="25"/>
                </w:rPr>
                <w:t xml:space="preserve"> </w:t>
              </w:r>
              <w:r w:rsidR="005107B4" w:rsidRPr="005107B4">
                <w:rPr>
                  <w:rStyle w:val="Hyperlink"/>
                  <w:sz w:val="25"/>
                  <w:szCs w:val="25"/>
                </w:rPr>
                <w:t>making and processes and how to resolve them</w:t>
              </w:r>
            </w:hyperlink>
          </w:p>
        </w:tc>
        <w:tc>
          <w:tcPr>
            <w:tcW w:w="509" w:type="dxa"/>
            <w:tcBorders>
              <w:left w:val="single" w:sz="8" w:space="0" w:color="FFFFFF"/>
              <w:bottom w:val="nil"/>
            </w:tcBorders>
            <w:shd w:val="clear" w:color="000000" w:fill="auto"/>
            <w:vAlign w:val="center"/>
          </w:tcPr>
          <w:p w14:paraId="27B93AC6" w14:textId="42D46F96" w:rsidR="005107B4" w:rsidRPr="00F31CFD" w:rsidRDefault="00F31CFD" w:rsidP="00396FE7">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Pr>
                <w:sz w:val="25"/>
                <w:szCs w:val="25"/>
              </w:rPr>
              <w:fldChar w:fldCharType="begin"/>
            </w:r>
            <w:r>
              <w:rPr>
                <w:sz w:val="25"/>
                <w:szCs w:val="25"/>
              </w:rPr>
              <w:instrText xml:space="preserve"> PAGEREF _Ref54687184 \h </w:instrText>
            </w:r>
            <w:r>
              <w:rPr>
                <w:sz w:val="25"/>
                <w:szCs w:val="25"/>
              </w:rPr>
            </w:r>
            <w:r>
              <w:rPr>
                <w:sz w:val="25"/>
                <w:szCs w:val="25"/>
              </w:rPr>
              <w:fldChar w:fldCharType="separate"/>
            </w:r>
            <w:r w:rsidR="00E36674">
              <w:rPr>
                <w:noProof/>
                <w:sz w:val="25"/>
                <w:szCs w:val="25"/>
              </w:rPr>
              <w:t>46</w:t>
            </w:r>
            <w:r>
              <w:rPr>
                <w:sz w:val="25"/>
                <w:szCs w:val="25"/>
              </w:rPr>
              <w:fldChar w:fldCharType="end"/>
            </w:r>
          </w:p>
        </w:tc>
      </w:tr>
      <w:tr w:rsidR="009B64C4" w:rsidRPr="005107B4" w14:paraId="664B24EF" w14:textId="77777777" w:rsidTr="002B6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9" w:type="dxa"/>
            <w:tcBorders>
              <w:top w:val="single" w:sz="4" w:space="0" w:color="auto"/>
              <w:left w:val="single" w:sz="8" w:space="0" w:color="FFFFFF"/>
              <w:bottom w:val="single" w:sz="4" w:space="0" w:color="auto"/>
              <w:right w:val="single" w:sz="8" w:space="0" w:color="FFFFFF"/>
            </w:tcBorders>
            <w:shd w:val="clear" w:color="000000" w:fill="auto"/>
          </w:tcPr>
          <w:p w14:paraId="7D876A29" w14:textId="6AC995DF" w:rsidR="009B64C4" w:rsidRDefault="005B795D" w:rsidP="009B64C4">
            <w:pPr>
              <w:spacing w:before="120" w:after="120" w:line="276" w:lineRule="auto"/>
            </w:pPr>
            <w:hyperlink w:anchor="_Learn_from,_and_2" w:history="1">
              <w:r w:rsidR="009B64C4" w:rsidRPr="005107B4">
                <w:rPr>
                  <w:rStyle w:val="Hyperlink"/>
                  <w:sz w:val="25"/>
                  <w:szCs w:val="25"/>
                </w:rPr>
                <w:t>Learn from, and assist to develop, international best practice</w:t>
              </w:r>
            </w:hyperlink>
          </w:p>
        </w:tc>
        <w:tc>
          <w:tcPr>
            <w:tcW w:w="509" w:type="dxa"/>
            <w:tcBorders>
              <w:left w:val="single" w:sz="8" w:space="0" w:color="FFFFFF"/>
              <w:bottom w:val="nil"/>
            </w:tcBorders>
            <w:shd w:val="clear" w:color="000000" w:fill="auto"/>
            <w:vAlign w:val="center"/>
          </w:tcPr>
          <w:p w14:paraId="4F00A1C7" w14:textId="32074F2A" w:rsidR="009B64C4" w:rsidRPr="00F31CFD" w:rsidRDefault="00F31CFD" w:rsidP="009B64C4">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Pr>
                <w:sz w:val="25"/>
                <w:szCs w:val="25"/>
              </w:rPr>
              <w:fldChar w:fldCharType="begin"/>
            </w:r>
            <w:r>
              <w:rPr>
                <w:sz w:val="25"/>
                <w:szCs w:val="25"/>
              </w:rPr>
              <w:instrText xml:space="preserve"> PAGEREF _Ref54687193 \h </w:instrText>
            </w:r>
            <w:r>
              <w:rPr>
                <w:sz w:val="25"/>
                <w:szCs w:val="25"/>
              </w:rPr>
            </w:r>
            <w:r>
              <w:rPr>
                <w:sz w:val="25"/>
                <w:szCs w:val="25"/>
              </w:rPr>
              <w:fldChar w:fldCharType="separate"/>
            </w:r>
            <w:r w:rsidR="00E36674">
              <w:rPr>
                <w:noProof/>
                <w:sz w:val="25"/>
                <w:szCs w:val="25"/>
              </w:rPr>
              <w:t>57</w:t>
            </w:r>
            <w:r>
              <w:rPr>
                <w:sz w:val="25"/>
                <w:szCs w:val="25"/>
              </w:rPr>
              <w:fldChar w:fldCharType="end"/>
            </w:r>
          </w:p>
        </w:tc>
      </w:tr>
    </w:tbl>
    <w:p w14:paraId="6BD4D643" w14:textId="77777777" w:rsidR="00CE5E04" w:rsidRDefault="00CE5E04" w:rsidP="00037952">
      <w:pPr>
        <w:spacing w:line="276" w:lineRule="auto"/>
      </w:pPr>
      <w:r>
        <w:br w:type="page"/>
      </w:r>
    </w:p>
    <w:p w14:paraId="5F2CC8B1" w14:textId="77777777" w:rsidR="009707BC" w:rsidRDefault="009707BC" w:rsidP="009707BC">
      <w:pPr>
        <w:pStyle w:val="Heading2"/>
      </w:pPr>
      <w:bookmarkStart w:id="50" w:name="_Public_sector_administration"/>
      <w:bookmarkStart w:id="51" w:name="_Inform_the_public"/>
      <w:bookmarkStart w:id="52" w:name="_COVID-19_global_pandemic"/>
      <w:bookmarkStart w:id="53" w:name="_Ref54686773"/>
      <w:bookmarkEnd w:id="50"/>
      <w:bookmarkEnd w:id="51"/>
      <w:bookmarkEnd w:id="52"/>
      <w:r>
        <w:t>COVID-19 global pandemic</w:t>
      </w:r>
      <w:bookmarkEnd w:id="53"/>
    </w:p>
    <w:p w14:paraId="541C0DFC" w14:textId="15A5405D" w:rsidR="003F173E" w:rsidRDefault="003F173E" w:rsidP="003F173E">
      <w:pPr>
        <w:pStyle w:val="BodyText"/>
      </w:pPr>
      <w:r>
        <w:t>Th</w:t>
      </w:r>
      <w:r w:rsidR="001043D4">
        <w:t xml:space="preserve">e events of this </w:t>
      </w:r>
      <w:r>
        <w:t>year</w:t>
      </w:r>
      <w:r w:rsidR="001043D4">
        <w:t xml:space="preserve"> </w:t>
      </w:r>
      <w:r w:rsidR="004D057B">
        <w:t xml:space="preserve">required </w:t>
      </w:r>
      <w:r w:rsidR="001043D4">
        <w:t>the Government to make policy, legislation</w:t>
      </w:r>
      <w:r w:rsidR="009C6615">
        <w:t>,</w:t>
      </w:r>
      <w:r w:rsidR="001043D4">
        <w:t xml:space="preserve"> and decisions rapidly in order to manage COVID-19</w:t>
      </w:r>
      <w:r w:rsidR="004D057B">
        <w:t xml:space="preserve"> </w:t>
      </w:r>
      <w:r w:rsidR="00AD2026">
        <w:t xml:space="preserve">effectively </w:t>
      </w:r>
      <w:r w:rsidR="004D057B">
        <w:t xml:space="preserve">in New Zealand. These actions and decisions had a sudden and significant impact on people. For some, they will be enduring. The experience of the past year </w:t>
      </w:r>
      <w:r w:rsidR="00B95A77">
        <w:t xml:space="preserve">demonstrated </w:t>
      </w:r>
      <w:r w:rsidR="00D876D6">
        <w:t xml:space="preserve">the </w:t>
      </w:r>
      <w:r w:rsidR="00B95A77">
        <w:t xml:space="preserve">vital and </w:t>
      </w:r>
      <w:r w:rsidR="001043D4">
        <w:t>constitutional</w:t>
      </w:r>
      <w:r w:rsidR="00B95A77">
        <w:t>ly</w:t>
      </w:r>
      <w:r w:rsidR="001043D4">
        <w:t xml:space="preserve"> importan</w:t>
      </w:r>
      <w:r w:rsidR="00B95A77">
        <w:t>t</w:t>
      </w:r>
      <w:r w:rsidR="001043D4">
        <w:t xml:space="preserve"> </w:t>
      </w:r>
      <w:r w:rsidR="00B95A77">
        <w:t xml:space="preserve">role </w:t>
      </w:r>
      <w:r w:rsidR="001043D4">
        <w:t xml:space="preserve">of </w:t>
      </w:r>
      <w:r w:rsidR="00D876D6">
        <w:t xml:space="preserve">an </w:t>
      </w:r>
      <w:r w:rsidR="001043D4">
        <w:t xml:space="preserve">independent </w:t>
      </w:r>
      <w:r w:rsidR="00D876D6">
        <w:t xml:space="preserve">Ombudsman </w:t>
      </w:r>
      <w:r w:rsidR="004D057B">
        <w:t xml:space="preserve">being able to </w:t>
      </w:r>
      <w:r w:rsidR="00B95A77">
        <w:t xml:space="preserve">carry out </w:t>
      </w:r>
      <w:r w:rsidR="00AD2026">
        <w:t xml:space="preserve">their </w:t>
      </w:r>
      <w:r w:rsidR="00B95A77">
        <w:t xml:space="preserve">functions and </w:t>
      </w:r>
      <w:r w:rsidR="004D057B">
        <w:t xml:space="preserve">report to Parliament </w:t>
      </w:r>
      <w:r w:rsidR="00B95A77">
        <w:t xml:space="preserve">on the actions and decisions of the </w:t>
      </w:r>
      <w:r w:rsidR="00AD2026">
        <w:t xml:space="preserve">government </w:t>
      </w:r>
      <w:r w:rsidR="00B95A77">
        <w:t xml:space="preserve">and how they were impacting </w:t>
      </w:r>
      <w:r w:rsidR="00AD2026">
        <w:t xml:space="preserve">on </w:t>
      </w:r>
      <w:r w:rsidR="00B95A77">
        <w:t>people during such acute and unprecedented times</w:t>
      </w:r>
      <w:r w:rsidRPr="000C1FD3">
        <w:t xml:space="preserve">. </w:t>
      </w:r>
    </w:p>
    <w:p w14:paraId="535154A9" w14:textId="221F255A" w:rsidR="003D29FC" w:rsidRDefault="00D876D6" w:rsidP="003F173E">
      <w:pPr>
        <w:pStyle w:val="BodyText"/>
      </w:pPr>
      <w:r>
        <w:t>C</w:t>
      </w:r>
      <w:r w:rsidR="003F173E" w:rsidRPr="000C1FD3">
        <w:t>arry</w:t>
      </w:r>
      <w:r>
        <w:t>ing</w:t>
      </w:r>
      <w:r w:rsidR="003F173E" w:rsidRPr="000C1FD3">
        <w:t xml:space="preserve"> out </w:t>
      </w:r>
      <w:r w:rsidR="003F173E">
        <w:t>my</w:t>
      </w:r>
      <w:r w:rsidR="003F173E" w:rsidRPr="000C1FD3">
        <w:t xml:space="preserve"> complaint handling, investigation, inspection, advice</w:t>
      </w:r>
      <w:r w:rsidR="009C6615">
        <w:t>,</w:t>
      </w:r>
      <w:r w:rsidR="003F173E" w:rsidRPr="000C1FD3">
        <w:t xml:space="preserve"> and oversight roles has never been more important. Providing confidence to the </w:t>
      </w:r>
      <w:r w:rsidR="003F173E">
        <w:t>New Zealand</w:t>
      </w:r>
      <w:r w:rsidR="003F173E" w:rsidRPr="000C1FD3">
        <w:t xml:space="preserve"> public that people are being treated fairly, and holding government to account, helps to engender the public trust that is so crucial to us working together as a nation to combat COVID-19. </w:t>
      </w:r>
    </w:p>
    <w:p w14:paraId="7229C89C" w14:textId="7E81D064" w:rsidR="003F173E" w:rsidRDefault="003F173E" w:rsidP="003F173E">
      <w:pPr>
        <w:pStyle w:val="BodyText"/>
      </w:pPr>
      <w:r>
        <w:t xml:space="preserve">I </w:t>
      </w:r>
      <w:r w:rsidR="009A0B1F">
        <w:t xml:space="preserve">therefore </w:t>
      </w:r>
      <w:r>
        <w:t>did not resile</w:t>
      </w:r>
      <w:r w:rsidRPr="000C1FD3">
        <w:t xml:space="preserve"> from </w:t>
      </w:r>
      <w:r w:rsidR="00D876D6">
        <w:t>the need</w:t>
      </w:r>
      <w:r w:rsidRPr="000C1FD3">
        <w:t xml:space="preserve"> to </w:t>
      </w:r>
      <w:r w:rsidR="00D876D6">
        <w:t xml:space="preserve">work effectively during all alert levels to provide </w:t>
      </w:r>
      <w:r w:rsidRPr="000C1FD3">
        <w:t>independent oversight and report to Parliament on the impact of the extr</w:t>
      </w:r>
      <w:r w:rsidR="003D29FC">
        <w:t xml:space="preserve">aordinary measures </w:t>
      </w:r>
      <w:r w:rsidR="00C43F53">
        <w:t xml:space="preserve">and restrictions </w:t>
      </w:r>
      <w:r w:rsidR="003D29FC">
        <w:t>being put in place</w:t>
      </w:r>
      <w:r>
        <w:t xml:space="preserve">. </w:t>
      </w:r>
      <w:r w:rsidR="00D876D6">
        <w:t xml:space="preserve">My crucial role was recognised by the government, and I was given essential services designation to allow my staff to continue to travel for </w:t>
      </w:r>
      <w:r w:rsidR="002B533B">
        <w:t>Optional Protocol to the Convention against Torture (</w:t>
      </w:r>
      <w:r w:rsidR="00D876D6">
        <w:t>OPCAT</w:t>
      </w:r>
      <w:r w:rsidR="002B533B">
        <w:t>)</w:t>
      </w:r>
      <w:r w:rsidR="00D876D6">
        <w:t xml:space="preserve"> inspections during lockdown. </w:t>
      </w:r>
    </w:p>
    <w:p w14:paraId="4801F41E" w14:textId="0FF5CBE5" w:rsidR="009A0B1F" w:rsidRDefault="005B7A88" w:rsidP="003F173E">
      <w:pPr>
        <w:pStyle w:val="BodyText"/>
      </w:pPr>
      <w:r>
        <w:t>As New Zealand respond</w:t>
      </w:r>
      <w:r w:rsidR="003F173E">
        <w:t>ed</w:t>
      </w:r>
      <w:r>
        <w:t xml:space="preserve"> to the global pandemic, I took action to protect my staff while making sure I could continue to </w:t>
      </w:r>
      <w:r w:rsidR="0083123D">
        <w:t>carry out my role</w:t>
      </w:r>
      <w:r>
        <w:t>.</w:t>
      </w:r>
      <w:r w:rsidR="003D29FC">
        <w:t xml:space="preserve"> </w:t>
      </w:r>
      <w:r w:rsidR="003F173E">
        <w:t>S</w:t>
      </w:r>
      <w:r w:rsidR="003F173E" w:rsidRPr="005142DB">
        <w:t xml:space="preserve">taff were equipped and </w:t>
      </w:r>
      <w:r w:rsidR="003F173E">
        <w:t>supported to</w:t>
      </w:r>
      <w:r w:rsidR="0083123D">
        <w:t xml:space="preserve"> work from home,</w:t>
      </w:r>
      <w:r w:rsidR="003D29FC">
        <w:t xml:space="preserve"> and </w:t>
      </w:r>
      <w:r w:rsidR="00B95A77">
        <w:t xml:space="preserve">then return </w:t>
      </w:r>
      <w:r w:rsidR="003D29FC">
        <w:t xml:space="preserve">back </w:t>
      </w:r>
      <w:r w:rsidR="00B95A77">
        <w:t>to</w:t>
      </w:r>
      <w:r w:rsidR="003D29FC">
        <w:t xml:space="preserve"> the office as alert levels eased</w:t>
      </w:r>
      <w:r w:rsidR="003F173E" w:rsidRPr="005142DB">
        <w:t xml:space="preserve">. </w:t>
      </w:r>
      <w:r w:rsidR="003F173E">
        <w:t xml:space="preserve">As a result, I was </w:t>
      </w:r>
      <w:r w:rsidR="003F173E" w:rsidRPr="005142DB">
        <w:t xml:space="preserve">able to continue to deliver core services during this time, including complaint handling and progressing high priority proactive work such as OPCAT inspections. </w:t>
      </w:r>
      <w:r w:rsidR="003D29FC">
        <w:t>By 30 June 2020, I had dealt with 46</w:t>
      </w:r>
      <w:r w:rsidR="00FB7C07">
        <w:t>6</w:t>
      </w:r>
      <w:r w:rsidR="003D29FC">
        <w:t xml:space="preserve"> complaints and enquiries </w:t>
      </w:r>
      <w:r w:rsidR="00FB7C07">
        <w:t xml:space="preserve">(and one protected disclosure) </w:t>
      </w:r>
      <w:r w:rsidR="003D29FC">
        <w:t xml:space="preserve">arising from COVID-19 issues, and carried out 27 COVID-19 focused inspections of places of detention. I also published guidance on dealing with official information requests during lockdown, and liaised with various government agencies </w:t>
      </w:r>
      <w:r w:rsidR="009A0B1F">
        <w:t xml:space="preserve">in an effort to ensure effective administrative practices were put in place as new policies and processes were developed to respond to </w:t>
      </w:r>
      <w:r w:rsidR="0027050F">
        <w:t>the pandemic</w:t>
      </w:r>
      <w:r w:rsidR="009A0B1F">
        <w:t xml:space="preserve">. </w:t>
      </w:r>
      <w:r w:rsidR="003D29FC">
        <w:t xml:space="preserve">Some work </w:t>
      </w:r>
      <w:r w:rsidR="009A0B1F">
        <w:t xml:space="preserve">underway during the year </w:t>
      </w:r>
      <w:r w:rsidR="003D29FC">
        <w:t xml:space="preserve">had to be re-prioritised, but </w:t>
      </w:r>
      <w:r w:rsidR="003D29FC" w:rsidRPr="003D29FC">
        <w:t xml:space="preserve">with careful management and dedicated effort by staff, work on most outputs has now either been completed or has reverted to planned timeframes. </w:t>
      </w:r>
    </w:p>
    <w:p w14:paraId="0DFF0F06" w14:textId="77777777" w:rsidR="0083123D" w:rsidRDefault="0083123D" w:rsidP="003F173E">
      <w:pPr>
        <w:pStyle w:val="BodyText"/>
      </w:pPr>
      <w:r w:rsidRPr="0083123D">
        <w:t xml:space="preserve">There were inevitable workload challenges in dealing with </w:t>
      </w:r>
      <w:r>
        <w:t xml:space="preserve">the </w:t>
      </w:r>
      <w:r w:rsidRPr="0083123D">
        <w:t xml:space="preserve">new work arising from COVID-19, often at extremely short notice, while still progressing my existing planned work and business as usual activities. This was managed by ensuring my resources and processes were sufficiently agile and flexible to be able to respond effectively and efficiently. I am actively monitoring the </w:t>
      </w:r>
      <w:r>
        <w:t xml:space="preserve">ongoing </w:t>
      </w:r>
      <w:r w:rsidRPr="0083123D">
        <w:t xml:space="preserve">growth in COVID-19 related matters, and forecasting through business intelligence analysis, so that I can respond as required. </w:t>
      </w:r>
    </w:p>
    <w:p w14:paraId="0CF010C8" w14:textId="77777777" w:rsidR="00C22EBE" w:rsidRDefault="003D29FC" w:rsidP="005B7A88">
      <w:pPr>
        <w:pStyle w:val="BodyText"/>
      </w:pPr>
      <w:r>
        <w:t xml:space="preserve">I have included in discussions of each output area below, </w:t>
      </w:r>
      <w:r w:rsidR="009A0B1F">
        <w:t xml:space="preserve">further </w:t>
      </w:r>
      <w:r>
        <w:t xml:space="preserve">relevant details of matters arising from COVID-19 during the year. </w:t>
      </w:r>
    </w:p>
    <w:p w14:paraId="70C07396" w14:textId="77777777" w:rsidR="008A5CA1" w:rsidRDefault="008A5CA1" w:rsidP="007276E2">
      <w:pPr>
        <w:pStyle w:val="Heading2"/>
      </w:pPr>
      <w:bookmarkStart w:id="54" w:name="_Inform_the_public_1"/>
      <w:bookmarkStart w:id="55" w:name="_Ref56496806"/>
      <w:bookmarkEnd w:id="54"/>
      <w:r w:rsidRPr="008A5CA1">
        <w:t>Inform the public to enable them to take constructive action to realise their rights</w:t>
      </w:r>
      <w:bookmarkEnd w:id="55"/>
    </w:p>
    <w:p w14:paraId="221F44C5" w14:textId="77777777" w:rsidR="0007114F" w:rsidRDefault="0007114F" w:rsidP="0007114F">
      <w:pPr>
        <w:pStyle w:val="BodyText"/>
      </w:pPr>
      <w:r>
        <w:t xml:space="preserve">The public must be informed in order to participate in government decision making or take action when they believe they have not been treated fairly, or with dignity and respect. </w:t>
      </w:r>
    </w:p>
    <w:p w14:paraId="249DF609" w14:textId="77777777" w:rsidR="0007114F" w:rsidRDefault="0007114F" w:rsidP="0007114F">
      <w:pPr>
        <w:pStyle w:val="BodyText"/>
      </w:pPr>
      <w:r>
        <w:t>I work to ensure that the public understand their rights and options, have reasonable expectations about what the public sector should provide, and have a reasonable understanding and expectation of what the Ombudsman can do.</w:t>
      </w:r>
    </w:p>
    <w:p w14:paraId="5AF48126" w14:textId="77777777" w:rsidR="001563D3" w:rsidRDefault="00051A0D" w:rsidP="007276E2">
      <w:pPr>
        <w:pStyle w:val="Heading3"/>
      </w:pPr>
      <w:bookmarkStart w:id="56" w:name="_Website"/>
      <w:bookmarkEnd w:id="56"/>
      <w:r>
        <w:t>External resources and</w:t>
      </w:r>
      <w:r w:rsidR="001563D3">
        <w:t xml:space="preserve"> presentations </w:t>
      </w:r>
      <w:r w:rsidR="001563D3" w:rsidRPr="001563D3">
        <w:t>to the public</w:t>
      </w:r>
    </w:p>
    <w:p w14:paraId="710B6C63" w14:textId="77777777" w:rsidR="001A4AC7" w:rsidRDefault="001A4AC7" w:rsidP="001A4AC7">
      <w:pPr>
        <w:pStyle w:val="BodyText"/>
      </w:pPr>
      <w:r>
        <w:rPr>
          <w:rFonts w:asciiTheme="minorHAnsi" w:hAnsiTheme="minorHAnsi" w:cstheme="minorHAnsi"/>
          <w:color w:val="auto"/>
          <w:szCs w:val="24"/>
          <w:lang w:val="en-AU"/>
        </w:rPr>
        <w:t xml:space="preserve">I </w:t>
      </w:r>
      <w:r w:rsidRPr="00271DFD">
        <w:t>undertake a range of public awareness</w:t>
      </w:r>
      <w:r>
        <w:t>-</w:t>
      </w:r>
      <w:r w:rsidRPr="00271DFD">
        <w:t>related activities</w:t>
      </w:r>
      <w:r w:rsidRPr="00D414F8">
        <w:t xml:space="preserve"> </w:t>
      </w:r>
      <w:r w:rsidRPr="00271DFD">
        <w:t xml:space="preserve">so people can </w:t>
      </w:r>
      <w:r>
        <w:t xml:space="preserve">easily </w:t>
      </w:r>
      <w:r w:rsidRPr="00271DFD">
        <w:t>access information and resources.</w:t>
      </w:r>
      <w:r>
        <w:t xml:space="preserve"> I do this through</w:t>
      </w:r>
      <w:r w:rsidRPr="00271DFD">
        <w:t xml:space="preserve"> making speeches and presentations, publishing information and resources, and maintaining a website and social media presence</w:t>
      </w:r>
      <w:r>
        <w:t>.</w:t>
      </w:r>
      <w:r w:rsidRPr="00271DFD">
        <w:t xml:space="preserve"> </w:t>
      </w:r>
    </w:p>
    <w:p w14:paraId="5E4A0D25" w14:textId="09CF3D2F" w:rsidR="0000138E" w:rsidRPr="00222C74" w:rsidRDefault="0000138E" w:rsidP="002C154C">
      <w:pPr>
        <w:pStyle w:val="BodyText"/>
      </w:pPr>
      <w:r w:rsidRPr="0000138E">
        <w:t>Between January and March</w:t>
      </w:r>
      <w:r w:rsidR="005B1FDA">
        <w:t xml:space="preserve"> 2020</w:t>
      </w:r>
      <w:r w:rsidRPr="0000138E">
        <w:t xml:space="preserve">, I </w:t>
      </w:r>
      <w:r w:rsidR="005A0CD0">
        <w:t>was represented</w:t>
      </w:r>
      <w:r w:rsidR="005A0CD0" w:rsidRPr="0000138E">
        <w:t xml:space="preserve"> </w:t>
      </w:r>
      <w:r w:rsidR="0027050F">
        <w:t>at</w:t>
      </w:r>
      <w:r w:rsidR="0027050F" w:rsidRPr="0000138E">
        <w:t xml:space="preserve"> </w:t>
      </w:r>
      <w:r w:rsidRPr="0000138E">
        <w:t xml:space="preserve">nineteen regional hui about strengthening oversight of the </w:t>
      </w:r>
      <w:r w:rsidR="006D6F8D">
        <w:t>children in care</w:t>
      </w:r>
      <w:r w:rsidRPr="0000138E">
        <w:t xml:space="preserve"> system, alongside the Independent Children’s Monitor and the Children’s Commissioner. The purpose of these hui was to meet with individuals working within the </w:t>
      </w:r>
      <w:r w:rsidR="006D6F8D">
        <w:t>children in care</w:t>
      </w:r>
      <w:r w:rsidRPr="0000138E">
        <w:t xml:space="preserve"> system, in order to set out the intended oversight arrangements for the system, explain the roles of each organisation, and receive feedback and ideas. The hui were well-attended, and some attendees volunteered to engage further with me as I prepare for this new role.</w:t>
      </w:r>
      <w:r w:rsidRPr="00222C74">
        <w:t xml:space="preserve"> </w:t>
      </w:r>
    </w:p>
    <w:p w14:paraId="59E735F5" w14:textId="67C4BFA8" w:rsidR="0036780F" w:rsidRDefault="0036780F" w:rsidP="0036780F">
      <w:pPr>
        <w:pStyle w:val="BodyText"/>
      </w:pPr>
      <w:r>
        <w:t>Pūhara Mana Tangata</w:t>
      </w:r>
      <w:r w:rsidR="00DB007A">
        <w:t>,</w:t>
      </w:r>
      <w:r>
        <w:t xml:space="preserve"> </w:t>
      </w:r>
      <w:r w:rsidR="00DB007A">
        <w:t xml:space="preserve">an advisory panel of senior and rangatahi leaders, </w:t>
      </w:r>
      <w:r>
        <w:t xml:space="preserve">was established in late 2019 to advise </w:t>
      </w:r>
      <w:r w:rsidR="00DB007A">
        <w:t>me</w:t>
      </w:r>
      <w:r>
        <w:t xml:space="preserve"> in </w:t>
      </w:r>
      <w:r w:rsidR="00DB007A">
        <w:t xml:space="preserve">my </w:t>
      </w:r>
      <w:r>
        <w:t xml:space="preserve">work with </w:t>
      </w:r>
      <w:r w:rsidR="001D0909">
        <w:t>Māori</w:t>
      </w:r>
      <w:r>
        <w:t xml:space="preserve">. Pūhara Mana Tangata conveys the panel’s role as a watchtower ensuring fairness for all, particularly </w:t>
      </w:r>
      <w:r w:rsidR="001D0909">
        <w:t>Māori</w:t>
      </w:r>
      <w:r>
        <w:t xml:space="preserve">. </w:t>
      </w:r>
      <w:r w:rsidR="00DB007A">
        <w:t>I</w:t>
      </w:r>
      <w:r>
        <w:t xml:space="preserve"> have to ensure </w:t>
      </w:r>
      <w:r w:rsidR="00DB007A">
        <w:t>my</w:t>
      </w:r>
      <w:r>
        <w:t xml:space="preserve"> relevance to all New Zealanders in a way that interests </w:t>
      </w:r>
      <w:r w:rsidR="009C6615">
        <w:t xml:space="preserve">te ao </w:t>
      </w:r>
      <w:r>
        <w:t xml:space="preserve">Māori. </w:t>
      </w:r>
    </w:p>
    <w:p w14:paraId="160DD8F7" w14:textId="0838EBCB" w:rsidR="0036780F" w:rsidRDefault="0036780F" w:rsidP="0036780F">
      <w:pPr>
        <w:pStyle w:val="BodyText"/>
      </w:pPr>
      <w:r>
        <w:t xml:space="preserve">For me, it’s about ensuring whānau </w:t>
      </w:r>
      <w:r w:rsidR="00B95A77">
        <w:t xml:space="preserve">and iwi </w:t>
      </w:r>
      <w:r>
        <w:t>are aware of the advantages of knowing what we do</w:t>
      </w:r>
      <w:r w:rsidR="00B95A77">
        <w:t xml:space="preserve">. </w:t>
      </w:r>
      <w:r>
        <w:t xml:space="preserve">Pūhara </w:t>
      </w:r>
      <w:r w:rsidR="00B95A77">
        <w:t xml:space="preserve">Mana Tangata </w:t>
      </w:r>
      <w:r>
        <w:t xml:space="preserve">have a very important role in providing </w:t>
      </w:r>
      <w:r w:rsidR="00B95A77">
        <w:t xml:space="preserve">me with </w:t>
      </w:r>
      <w:r>
        <w:t xml:space="preserve">a uniquely Māori perspective and guidance on engaging in the interests of Māori. Since April, </w:t>
      </w:r>
      <w:r w:rsidR="00DB007A">
        <w:t>I</w:t>
      </w:r>
      <w:r>
        <w:t xml:space="preserve"> started a journey to engage and form trusting relationships with prominent Māori leaders, iwi, whanau and communities, including: </w:t>
      </w:r>
    </w:p>
    <w:p w14:paraId="2C4930DB" w14:textId="7C74D6B1" w:rsidR="0036780F" w:rsidRDefault="0036780F" w:rsidP="0036780F">
      <w:pPr>
        <w:pStyle w:val="Bullet1"/>
      </w:pPr>
      <w:r>
        <w:t xml:space="preserve">Kiingi </w:t>
      </w:r>
      <w:r w:rsidR="001D0909">
        <w:t xml:space="preserve">Tūheitia </w:t>
      </w:r>
      <w:r>
        <w:t xml:space="preserve">Potatau Te Wherowhero VII and Kiingitanga representatives, </w:t>
      </w:r>
    </w:p>
    <w:p w14:paraId="0EE41315" w14:textId="77777777" w:rsidR="0036780F" w:rsidRDefault="0036780F" w:rsidP="0036780F">
      <w:pPr>
        <w:pStyle w:val="Bullet1"/>
      </w:pPr>
      <w:r>
        <w:t xml:space="preserve">Te Rūnanga o Ngāi Tahu governance group; </w:t>
      </w:r>
    </w:p>
    <w:p w14:paraId="5EBCD815" w14:textId="79EEBC79" w:rsidR="0036780F" w:rsidRDefault="001D0909" w:rsidP="0036780F">
      <w:pPr>
        <w:pStyle w:val="Bullet1"/>
      </w:pPr>
      <w:r>
        <w:t xml:space="preserve">Whānau </w:t>
      </w:r>
      <w:r w:rsidR="0036780F">
        <w:t xml:space="preserve">Ora Commissioning agency Te </w:t>
      </w:r>
      <w:r>
        <w:t xml:space="preserve">Pūtahitanga </w:t>
      </w:r>
      <w:r w:rsidR="0036780F">
        <w:t xml:space="preserve">o Te Waipounamu; </w:t>
      </w:r>
    </w:p>
    <w:p w14:paraId="0DBA7419" w14:textId="535EA73A" w:rsidR="0036780F" w:rsidRDefault="0036780F" w:rsidP="0036780F">
      <w:pPr>
        <w:pStyle w:val="Bullet1"/>
      </w:pPr>
      <w:r>
        <w:t xml:space="preserve">Ngā Hau </w:t>
      </w:r>
      <w:r w:rsidR="001D0909">
        <w:t xml:space="preserve">e Whā </w:t>
      </w:r>
      <w:r>
        <w:t xml:space="preserve">National Marae; </w:t>
      </w:r>
    </w:p>
    <w:p w14:paraId="4504AE16" w14:textId="71424438" w:rsidR="0036780F" w:rsidRDefault="001D0909" w:rsidP="0036780F">
      <w:pPr>
        <w:pStyle w:val="Bullet1"/>
      </w:pPr>
      <w:r>
        <w:t>Waikato-</w:t>
      </w:r>
      <w:r w:rsidR="0036780F">
        <w:t xml:space="preserve">Tainui governance representatives; </w:t>
      </w:r>
    </w:p>
    <w:p w14:paraId="5F975503" w14:textId="77777777" w:rsidR="0036780F" w:rsidRDefault="0036780F" w:rsidP="0036780F">
      <w:pPr>
        <w:pStyle w:val="Bullet1"/>
      </w:pPr>
      <w:r>
        <w:t xml:space="preserve">Te Kōhao Health; and </w:t>
      </w:r>
    </w:p>
    <w:p w14:paraId="4BA537D2" w14:textId="77777777" w:rsidR="0036780F" w:rsidRDefault="0036780F" w:rsidP="0036780F">
      <w:pPr>
        <w:pStyle w:val="Bullet1"/>
      </w:pPr>
      <w:r>
        <w:t>Te Roopu Awhina ki Porirua.</w:t>
      </w:r>
    </w:p>
    <w:p w14:paraId="1C5B4410" w14:textId="77777777" w:rsidR="005B1FDA" w:rsidRDefault="00C01AF2" w:rsidP="00BD148D">
      <w:pPr>
        <w:pStyle w:val="BodyText"/>
      </w:pPr>
      <w:r w:rsidRPr="00C01AF2">
        <w:t xml:space="preserve">My engagement with the media increased eight percent </w:t>
      </w:r>
      <w:r w:rsidR="00BA0FBE">
        <w:t>in 2019/20</w:t>
      </w:r>
      <w:r w:rsidRPr="00C01AF2">
        <w:t xml:space="preserve">. Much of this increase can be attributed to a more proactive position being taken on the material </w:t>
      </w:r>
      <w:r>
        <w:t>I</w:t>
      </w:r>
      <w:r w:rsidRPr="00C01AF2">
        <w:t xml:space="preserve"> publish</w:t>
      </w:r>
      <w:r>
        <w:t>,</w:t>
      </w:r>
      <w:r w:rsidRPr="00C01AF2">
        <w:t xml:space="preserve"> and increasing visibility by being proactive on issues within my mandate. Additionally, the rapid changes in the media landscape has led </w:t>
      </w:r>
      <w:r w:rsidR="00BA0FBE">
        <w:t>me</w:t>
      </w:r>
      <w:r w:rsidR="00BA0FBE" w:rsidRPr="00C01AF2">
        <w:t xml:space="preserve"> </w:t>
      </w:r>
      <w:r w:rsidRPr="00C01AF2">
        <w:t xml:space="preserve">to be more proactive on social media platforms which has increased </w:t>
      </w:r>
      <w:r w:rsidR="00BA0FBE">
        <w:t>the</w:t>
      </w:r>
      <w:r w:rsidR="00BA0FBE" w:rsidRPr="00C01AF2">
        <w:t xml:space="preserve"> </w:t>
      </w:r>
      <w:r w:rsidRPr="00C01AF2">
        <w:t xml:space="preserve">reach </w:t>
      </w:r>
      <w:r w:rsidR="00BA0FBE">
        <w:t>of my</w:t>
      </w:r>
      <w:r w:rsidRPr="00C01AF2">
        <w:t xml:space="preserve"> messaging to a broader range of New Zealanders.</w:t>
      </w:r>
      <w:r w:rsidRPr="00222C74" w:rsidDel="00C01AF2">
        <w:t xml:space="preserve"> </w:t>
      </w:r>
    </w:p>
    <w:p w14:paraId="744EEC4E" w14:textId="77777777" w:rsidR="00BD148D" w:rsidRDefault="00BD148D" w:rsidP="00BD148D">
      <w:pPr>
        <w:pStyle w:val="BodyText"/>
      </w:pPr>
      <w:r>
        <w:t>In November 2019 my new, more user friendly, website went live.</w:t>
      </w:r>
      <w:r w:rsidRPr="009C5F23">
        <w:t xml:space="preserve"> </w:t>
      </w:r>
      <w:r>
        <w:t>Through consultation</w:t>
      </w:r>
      <w:r w:rsidR="00BA0FBE">
        <w:t xml:space="preserve"> with both the public and government agencies,</w:t>
      </w:r>
      <w:r>
        <w:t xml:space="preserve"> I identified what people need</w:t>
      </w:r>
      <w:r w:rsidR="005B1FDA">
        <w:t>ed</w:t>
      </w:r>
      <w:r>
        <w:t xml:space="preserve"> from my website and how I could make these options accessible. The key changes were:</w:t>
      </w:r>
    </w:p>
    <w:p w14:paraId="12CC6C04" w14:textId="77777777" w:rsidR="00BD148D" w:rsidRDefault="0049514B" w:rsidP="00BD148D">
      <w:pPr>
        <w:pStyle w:val="Bullet1"/>
      </w:pPr>
      <w:r>
        <w:t>m</w:t>
      </w:r>
      <w:r w:rsidR="00BD148D">
        <w:t>ore information about what I do, how I do it, and how I can help;</w:t>
      </w:r>
    </w:p>
    <w:p w14:paraId="47589CB6" w14:textId="77777777" w:rsidR="00BD148D" w:rsidRDefault="0049514B" w:rsidP="00BD148D">
      <w:pPr>
        <w:pStyle w:val="Bullet1"/>
      </w:pPr>
      <w:r>
        <w:t>t</w:t>
      </w:r>
      <w:r w:rsidR="00BD148D">
        <w:t xml:space="preserve">ips on making a complaint, including information on common complaints, and a revamped </w:t>
      </w:r>
      <w:r w:rsidR="005B1FDA">
        <w:t xml:space="preserve">online </w:t>
      </w:r>
      <w:r w:rsidR="00BD148D">
        <w:t xml:space="preserve">complaint form; and </w:t>
      </w:r>
    </w:p>
    <w:p w14:paraId="2D80C1FE" w14:textId="77777777" w:rsidR="00BD148D" w:rsidRDefault="0049514B" w:rsidP="00BD148D">
      <w:pPr>
        <w:pStyle w:val="Bullet1"/>
      </w:pPr>
      <w:r>
        <w:t>r</w:t>
      </w:r>
      <w:r w:rsidR="00BD148D">
        <w:t>eview of resources such as guides, opinions</w:t>
      </w:r>
      <w:r>
        <w:t>,</w:t>
      </w:r>
      <w:r w:rsidR="00BD148D">
        <w:t xml:space="preserve"> and case notes that resulted in publication of </w:t>
      </w:r>
      <w:r w:rsidR="001D0C6B">
        <w:t xml:space="preserve">a large number of </w:t>
      </w:r>
      <w:r w:rsidR="00BD148D">
        <w:t>historic cases a</w:t>
      </w:r>
      <w:r>
        <w:t>nd an improved search function</w:t>
      </w:r>
      <w:r w:rsidR="00BD148D">
        <w:t>.</w:t>
      </w:r>
    </w:p>
    <w:p w14:paraId="3F9EF8E0" w14:textId="24FA2A4B" w:rsidR="002C154C" w:rsidRDefault="0000138E" w:rsidP="002733A7">
      <w:pPr>
        <w:pStyle w:val="BodyText"/>
        <w:keepLines/>
      </w:pPr>
      <w:r>
        <w:t xml:space="preserve">My </w:t>
      </w:r>
      <w:r w:rsidRPr="0000138E">
        <w:t xml:space="preserve">website had a total of </w:t>
      </w:r>
      <w:r w:rsidR="007E33D0" w:rsidRPr="0000138E">
        <w:t>10</w:t>
      </w:r>
      <w:r w:rsidR="007E33D0">
        <w:t>8</w:t>
      </w:r>
      <w:r w:rsidRPr="0000138E">
        <w:t>,</w:t>
      </w:r>
      <w:r w:rsidR="007E33D0">
        <w:t>947</w:t>
      </w:r>
      <w:r w:rsidR="007E33D0" w:rsidRPr="0000138E">
        <w:t xml:space="preserve"> </w:t>
      </w:r>
      <w:r w:rsidRPr="0000138E">
        <w:t>visitors this year</w:t>
      </w:r>
      <w:r w:rsidR="0049514B">
        <w:t>;</w:t>
      </w:r>
      <w:r w:rsidRPr="0000138E">
        <w:t xml:space="preserve"> an increase of </w:t>
      </w:r>
      <w:r w:rsidR="007E33D0">
        <w:t xml:space="preserve">22 </w:t>
      </w:r>
      <w:r w:rsidR="0049514B">
        <w:t>percent</w:t>
      </w:r>
      <w:r w:rsidRPr="0000138E">
        <w:t xml:space="preserve">. The vast majority of these visitors were new to the site – just </w:t>
      </w:r>
      <w:r w:rsidR="0049514B">
        <w:t>five</w:t>
      </w:r>
      <w:r>
        <w:t xml:space="preserve"> percent</w:t>
      </w:r>
      <w:r w:rsidRPr="0000138E">
        <w:t xml:space="preserve"> were repeat visitors. After the homepage, the resources and publications section of the website was the most popular, followed by the help section for </w:t>
      </w:r>
      <w:r w:rsidR="0049514B">
        <w:t xml:space="preserve">the </w:t>
      </w:r>
      <w:r w:rsidRPr="0000138E">
        <w:t xml:space="preserve">public. Complaints received via the website increased by </w:t>
      </w:r>
      <w:r w:rsidR="0049514B">
        <w:t>three</w:t>
      </w:r>
      <w:r>
        <w:t xml:space="preserve"> percent </w:t>
      </w:r>
      <w:r w:rsidRPr="0000138E">
        <w:t>compared to the previous year, impacted slightly by a decrease in visits to the website during the COVID-19 nationwide lockdown.</w:t>
      </w:r>
    </w:p>
    <w:p w14:paraId="50BE8DC7" w14:textId="77777777" w:rsidR="004572C7" w:rsidRDefault="004572C7" w:rsidP="004572C7">
      <w:pPr>
        <w:pStyle w:val="Heading3"/>
      </w:pPr>
      <w:r>
        <w:t>Public awareness survey</w:t>
      </w:r>
      <w:r w:rsidRPr="00FE16F7">
        <w:t xml:space="preserve"> </w:t>
      </w:r>
    </w:p>
    <w:p w14:paraId="3951F46B" w14:textId="77777777" w:rsidR="001A4AC7" w:rsidRDefault="001A4AC7" w:rsidP="001A4AC7">
      <w:pPr>
        <w:pStyle w:val="BodyText"/>
      </w:pPr>
      <w:r>
        <w:t xml:space="preserve">I track </w:t>
      </w:r>
      <w:r w:rsidR="001D0C6B">
        <w:t xml:space="preserve">the level of </w:t>
      </w:r>
      <w:r>
        <w:t xml:space="preserve">public awareness </w:t>
      </w:r>
      <w:r w:rsidR="001D0C6B">
        <w:t xml:space="preserve">of my role. </w:t>
      </w:r>
      <w:r>
        <w:t xml:space="preserve">I target my information and outreach efforts toward hard to reach audiences </w:t>
      </w:r>
      <w:r w:rsidR="001D0C6B">
        <w:t xml:space="preserve">and </w:t>
      </w:r>
      <w:r>
        <w:t>to address any gaps in knowledge.</w:t>
      </w:r>
    </w:p>
    <w:p w14:paraId="181A80A5" w14:textId="77777777" w:rsidR="004572C7" w:rsidRPr="00FE16F7" w:rsidRDefault="004572C7" w:rsidP="004572C7">
      <w:pPr>
        <w:pStyle w:val="BodyText"/>
        <w:keepLines/>
      </w:pPr>
      <w:r>
        <w:t>For the ninth year, I</w:t>
      </w:r>
      <w:r w:rsidRPr="00FE16F7">
        <w:t xml:space="preserve"> </w:t>
      </w:r>
      <w:r>
        <w:t>engaged a market research company to conduct a survey</w:t>
      </w:r>
      <w:r w:rsidRPr="00FE16F7">
        <w:t xml:space="preserve"> to gauge the level of</w:t>
      </w:r>
      <w:r>
        <w:t xml:space="preserve"> </w:t>
      </w:r>
      <w:r w:rsidR="001D0C6B">
        <w:t>public</w:t>
      </w:r>
      <w:r w:rsidR="001D0C6B" w:rsidRPr="00FE16F7">
        <w:t xml:space="preserve"> </w:t>
      </w:r>
      <w:r w:rsidRPr="00FE16F7">
        <w:t xml:space="preserve">awareness of the Ombudsman. </w:t>
      </w:r>
      <w:r w:rsidRPr="0059660F">
        <w:t>Overall, 7</w:t>
      </w:r>
      <w:r>
        <w:t>7 percent of those surveyed had heard of the Ombudsman; this is a</w:t>
      </w:r>
      <w:r w:rsidR="00BA0FBE">
        <w:t xml:space="preserve"> slight</w:t>
      </w:r>
      <w:r>
        <w:t xml:space="preserve"> increase from 201</w:t>
      </w:r>
      <w:r w:rsidR="00BA0FBE">
        <w:t>8</w:t>
      </w:r>
      <w:r>
        <w:t>/1</w:t>
      </w:r>
      <w:r w:rsidR="00BA0FBE">
        <w:t>9</w:t>
      </w:r>
      <w:r>
        <w:t xml:space="preserve">. </w:t>
      </w:r>
      <w:r w:rsidRPr="00A94451">
        <w:t>Similar to previous surveys, respondents over 60 years old were more likely t</w:t>
      </w:r>
      <w:r>
        <w:t>o be aware of the Ombudsman (97 percent</w:t>
      </w:r>
      <w:r w:rsidRPr="00A94451">
        <w:t>) when compared to respondents</w:t>
      </w:r>
      <w:r>
        <w:t xml:space="preserve"> who were under 30 (36 percent).</w:t>
      </w:r>
    </w:p>
    <w:p w14:paraId="4BC5F044" w14:textId="70399BD7" w:rsidR="004572C7" w:rsidRDefault="004572C7" w:rsidP="004572C7">
      <w:pPr>
        <w:pStyle w:val="BodyText"/>
      </w:pPr>
      <w:r w:rsidRPr="00BD493A">
        <w:t xml:space="preserve">The research cohort, especially at a granular level, is small. </w:t>
      </w:r>
      <w:r>
        <w:t>I</w:t>
      </w:r>
      <w:r w:rsidRPr="00BD493A">
        <w:t xml:space="preserve"> </w:t>
      </w:r>
      <w:r>
        <w:t xml:space="preserve">also </w:t>
      </w:r>
      <w:r w:rsidRPr="00BD493A">
        <w:t>acknowledge that Māori and Pasifika groups tend to be underrepresented in the democratic process</w:t>
      </w:r>
      <w:r>
        <w:t>. However, I note my recent o</w:t>
      </w:r>
      <w:r w:rsidRPr="00BD493A">
        <w:t>utreach objectives have</w:t>
      </w:r>
      <w:r>
        <w:t xml:space="preserve"> had an impact on</w:t>
      </w:r>
      <w:r w:rsidRPr="00BD493A">
        <w:t xml:space="preserve"> </w:t>
      </w:r>
      <w:r>
        <w:t>the awareness of the Ombudsman for both</w:t>
      </w:r>
      <w:r w:rsidRPr="00BD493A">
        <w:t xml:space="preserve"> Māori (6</w:t>
      </w:r>
      <w:r>
        <w:t>8</w:t>
      </w:r>
      <w:r w:rsidRPr="00BD493A">
        <w:t xml:space="preserve"> percent</w:t>
      </w:r>
      <w:r>
        <w:t xml:space="preserve">, up </w:t>
      </w:r>
      <w:r w:rsidR="0057677D">
        <w:t xml:space="preserve">three </w:t>
      </w:r>
      <w:r>
        <w:t>percent from 201</w:t>
      </w:r>
      <w:r w:rsidR="00BA0FBE">
        <w:t>8</w:t>
      </w:r>
      <w:r>
        <w:t>/1</w:t>
      </w:r>
      <w:r w:rsidR="00BA0FBE">
        <w:t>9</w:t>
      </w:r>
      <w:r w:rsidRPr="00BD493A">
        <w:t>)</w:t>
      </w:r>
      <w:r>
        <w:t xml:space="preserve"> and Pasifika</w:t>
      </w:r>
      <w:r w:rsidRPr="00BD493A">
        <w:t xml:space="preserve"> (</w:t>
      </w:r>
      <w:r>
        <w:t>50</w:t>
      </w:r>
      <w:r w:rsidRPr="00BD493A">
        <w:t xml:space="preserve"> percent</w:t>
      </w:r>
      <w:r>
        <w:t xml:space="preserve">, up </w:t>
      </w:r>
      <w:r w:rsidR="00BA0FBE">
        <w:t>eight</w:t>
      </w:r>
      <w:r>
        <w:t xml:space="preserve"> percent from 201</w:t>
      </w:r>
      <w:r w:rsidR="00BA0FBE">
        <w:t>8</w:t>
      </w:r>
      <w:r>
        <w:t>/1</w:t>
      </w:r>
      <w:r w:rsidR="00BA0FBE">
        <w:t>9</w:t>
      </w:r>
      <w:r w:rsidRPr="00BD493A">
        <w:t>)</w:t>
      </w:r>
      <w:r>
        <w:t xml:space="preserve"> groups.</w:t>
      </w:r>
    </w:p>
    <w:p w14:paraId="039F2EA2" w14:textId="77777777" w:rsidR="004572C7" w:rsidRPr="00222C74" w:rsidRDefault="004572C7" w:rsidP="004572C7">
      <w:pPr>
        <w:pStyle w:val="BodyText"/>
      </w:pPr>
      <w:r w:rsidRPr="00222C74">
        <w:rPr>
          <w:noProof/>
          <w:lang w:eastAsia="en-NZ"/>
        </w:rPr>
        <w:drawing>
          <wp:inline distT="0" distB="0" distL="0" distR="0" wp14:anchorId="503F566C" wp14:editId="3445CE30">
            <wp:extent cx="5904230" cy="3709670"/>
            <wp:effectExtent l="0" t="0" r="1270" b="5080"/>
            <wp:docPr id="2" name="Content Placeholder 12" descr="A cloud or group of words, in a number of different colours. With the most frequently used words in larger sized text than others to reflect frequency. &#10;Frequently used words included: complaints, investigates, government, disputes, ombudsman, disputes, departments, organisations, etc. " title=" Figure 2: Word Cloud showing most frequently used words to describe what the Ombudsman does">
              <a:extLst xmlns:a="http://schemas.openxmlformats.org/drawingml/2006/main">
                <a:ext uri="{FF2B5EF4-FFF2-40B4-BE49-F238E27FC236}">
                  <a16:creationId xmlns:a16="http://schemas.microsoft.com/office/drawing/2014/main" id="{91DD3D9B-6B81-3543-AF90-352E9B92EBE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Content Placeholder 12" descr="A picture containing screenshot&#10;&#10;Description automatically generated">
                      <a:extLst>
                        <a:ext uri="{FF2B5EF4-FFF2-40B4-BE49-F238E27FC236}">
                          <a16:creationId xmlns:a16="http://schemas.microsoft.com/office/drawing/2014/main" id="{91DD3D9B-6B81-3543-AF90-352E9B92EBE6}"/>
                        </a:ext>
                      </a:extLst>
                    </pic:cNvPr>
                    <pic:cNvPicPr>
                      <a:picLocks noGrp="1" noChangeAspect="1"/>
                    </pic:cNvPicPr>
                  </pic:nvPicPr>
                  <pic:blipFill>
                    <a:blip r:embed="rId9"/>
                    <a:stretch>
                      <a:fillRect/>
                    </a:stretch>
                  </pic:blipFill>
                  <pic:spPr>
                    <a:xfrm>
                      <a:off x="0" y="0"/>
                      <a:ext cx="5904230" cy="3709670"/>
                    </a:xfrm>
                    <a:prstGeom prst="rect">
                      <a:avLst/>
                    </a:prstGeom>
                  </pic:spPr>
                </pic:pic>
              </a:graphicData>
            </a:graphic>
          </wp:inline>
        </w:drawing>
      </w:r>
    </w:p>
    <w:p w14:paraId="0CCCACBC" w14:textId="77777777" w:rsidR="004572C7" w:rsidRPr="00222C74" w:rsidRDefault="004572C7" w:rsidP="004572C7">
      <w:pPr>
        <w:pStyle w:val="Whitespace"/>
      </w:pPr>
    </w:p>
    <w:p w14:paraId="230B5E66" w14:textId="6B4029EF" w:rsidR="004572C7" w:rsidRDefault="004572C7" w:rsidP="004572C7">
      <w:pPr>
        <w:pStyle w:val="FigureCaption"/>
        <w:rPr>
          <w:noProof/>
        </w:rPr>
      </w:pPr>
      <w:r w:rsidRPr="00DE555A">
        <w:t>Figure 2:</w:t>
      </w:r>
      <w:r w:rsidRPr="00DE555A">
        <w:rPr>
          <w:noProof/>
        </w:rPr>
        <w:t xml:space="preserve"> Word cloud produced by UMR Research (</w:t>
      </w:r>
      <w:r>
        <w:rPr>
          <w:noProof/>
        </w:rPr>
        <w:t>May</w:t>
      </w:r>
      <w:r w:rsidRPr="00DE555A">
        <w:rPr>
          <w:noProof/>
        </w:rPr>
        <w:t xml:space="preserve"> 20</w:t>
      </w:r>
      <w:r>
        <w:rPr>
          <w:noProof/>
        </w:rPr>
        <w:t>20</w:t>
      </w:r>
      <w:r w:rsidRPr="00DE555A">
        <w:rPr>
          <w:noProof/>
        </w:rPr>
        <w:t>), showing the most frequently used words to describe what the Ombudsman does</w:t>
      </w:r>
      <w:r w:rsidR="009C6615">
        <w:rPr>
          <w:noProof/>
        </w:rPr>
        <w:t>.</w:t>
      </w:r>
    </w:p>
    <w:p w14:paraId="06312814" w14:textId="2C35350C" w:rsidR="007856A0" w:rsidRDefault="007856A0" w:rsidP="007856A0">
      <w:pPr>
        <w:pStyle w:val="BodyText"/>
        <w:keepLines/>
      </w:pPr>
      <w:r>
        <w:t>Similarly, for the last two years I</w:t>
      </w:r>
      <w:r w:rsidRPr="00FE16F7">
        <w:t xml:space="preserve"> </w:t>
      </w:r>
      <w:r>
        <w:t xml:space="preserve">worked with </w:t>
      </w:r>
      <w:r w:rsidR="001D0C6B">
        <w:t>a</w:t>
      </w:r>
      <w:r>
        <w:t xml:space="preserve"> market research company to conduct a survey</w:t>
      </w:r>
      <w:r w:rsidRPr="00FE16F7">
        <w:t xml:space="preserve"> to gauge </w:t>
      </w:r>
      <w:r>
        <w:t>community</w:t>
      </w:r>
      <w:r w:rsidRPr="00FE16F7">
        <w:t xml:space="preserve"> </w:t>
      </w:r>
      <w:r>
        <w:t>attitudes toward access to government information</w:t>
      </w:r>
      <w:r w:rsidRPr="00FE16F7">
        <w:t>.</w:t>
      </w:r>
      <w:r>
        <w:t xml:space="preserve"> </w:t>
      </w:r>
      <w:r w:rsidR="007E33D0">
        <w:t>Eighty-two</w:t>
      </w:r>
      <w:r w:rsidR="007E33D0" w:rsidRPr="001F23CB">
        <w:t xml:space="preserve"> </w:t>
      </w:r>
      <w:r w:rsidRPr="001F23CB">
        <w:t xml:space="preserve">percent </w:t>
      </w:r>
      <w:r>
        <w:t xml:space="preserve">of people surveyed </w:t>
      </w:r>
      <w:r w:rsidRPr="001F23CB">
        <w:t xml:space="preserve">thought it was important to be able to access government information, yet only half </w:t>
      </w:r>
      <w:r>
        <w:t>of them</w:t>
      </w:r>
      <w:r w:rsidRPr="001F23CB">
        <w:t xml:space="preserve"> knew of the legislation that allow</w:t>
      </w:r>
      <w:r>
        <w:t>ed</w:t>
      </w:r>
      <w:r w:rsidRPr="001F23CB">
        <w:t xml:space="preserve"> them to do so</w:t>
      </w:r>
      <w:r>
        <w:t xml:space="preserve">. </w:t>
      </w:r>
    </w:p>
    <w:p w14:paraId="26DB4383" w14:textId="1040D0DF" w:rsidR="007856A0" w:rsidRDefault="007856A0" w:rsidP="007856A0">
      <w:pPr>
        <w:pStyle w:val="BodyText"/>
        <w:keepLines/>
      </w:pPr>
      <w:r>
        <w:t xml:space="preserve">The survey showed that 15 percent of respondents had tried to access information held by Ministers and central and local government. Nearly 20 percent </w:t>
      </w:r>
      <w:r w:rsidR="006D202B">
        <w:t xml:space="preserve">of </w:t>
      </w:r>
      <w:r>
        <w:t xml:space="preserve">those who had asked for information got it more quickly than expected. These results inform and directly relate to my key focus </w:t>
      </w:r>
      <w:r w:rsidR="006D202B">
        <w:t xml:space="preserve">of </w:t>
      </w:r>
      <w:r>
        <w:t>raising awareness and knowledge of my role and what people can expect from the public sector.</w:t>
      </w:r>
    </w:p>
    <w:tbl>
      <w:tblPr>
        <w:tblStyle w:val="TableBox"/>
        <w:tblW w:w="9297" w:type="dxa"/>
        <w:tblLayout w:type="fixed"/>
        <w:tblCellMar>
          <w:bottom w:w="0" w:type="dxa"/>
        </w:tblCellMar>
        <w:tblLook w:val="04A0" w:firstRow="1" w:lastRow="0" w:firstColumn="1" w:lastColumn="0" w:noHBand="0" w:noVBand="1"/>
        <w:tblCaption w:val="Box to emphasise text"/>
      </w:tblPr>
      <w:tblGrid>
        <w:gridCol w:w="9297"/>
      </w:tblGrid>
      <w:tr w:rsidR="007F02F4" w14:paraId="4C36A8FF" w14:textId="77777777" w:rsidTr="001636BD">
        <w:tc>
          <w:tcPr>
            <w:tcW w:w="9514" w:type="dxa"/>
          </w:tcPr>
          <w:p w14:paraId="44B9AD90" w14:textId="77777777" w:rsidR="007F02F4" w:rsidRDefault="007F02F4" w:rsidP="001636BD">
            <w:pPr>
              <w:pStyle w:val="Headingboxtexttop"/>
              <w:tabs>
                <w:tab w:val="num" w:pos="567"/>
              </w:tabs>
            </w:pPr>
            <w:r w:rsidRPr="007F02F4">
              <w:t>Extension of time limit to enable kanohi ki te kanohi consultation (520088)</w:t>
            </w:r>
          </w:p>
          <w:p w14:paraId="22445743" w14:textId="1D691EA9" w:rsidR="007F02F4" w:rsidRPr="007F02F4" w:rsidRDefault="007F02F4" w:rsidP="00F95200">
            <w:pPr>
              <w:pStyle w:val="Boxsmalltext"/>
            </w:pPr>
            <w:r w:rsidRPr="007F02F4">
              <w:t xml:space="preserve">A researcher requested information about the establishment of Te Taumata </w:t>
            </w:r>
            <w:r w:rsidR="006D202B" w:rsidRPr="006D202B">
              <w:t xml:space="preserve">(a key Māori partner for dialogue with the New Zealand government on trade-related issues) </w:t>
            </w:r>
            <w:r w:rsidRPr="007F02F4">
              <w:t>from the Ministry of Foreign Affairs and Trade. The Ministry extended the statutory time limit to respond to the request by 30 working days. The researcher complained to me about this extension.</w:t>
            </w:r>
          </w:p>
          <w:p w14:paraId="32D47909" w14:textId="77777777" w:rsidR="007F02F4" w:rsidRPr="007F02F4" w:rsidRDefault="007F02F4" w:rsidP="00F95200">
            <w:pPr>
              <w:pStyle w:val="Boxsmalltext"/>
            </w:pPr>
            <w:r w:rsidRPr="007F02F4">
              <w:t xml:space="preserve">Under the </w:t>
            </w:r>
            <w:r w:rsidR="001D0C6B">
              <w:t>Official Information Act (</w:t>
            </w:r>
            <w:r w:rsidRPr="007F02F4">
              <w:t>OIA</w:t>
            </w:r>
            <w:r w:rsidR="001D0C6B">
              <w:t>)</w:t>
            </w:r>
            <w:r w:rsidRPr="007F02F4">
              <w:t>, an agency must make and communicate its decision on a request for information as soon as reasonably practicable and within 20 working days. Any extension must be ‘for a reasonable period of time having regard to the circumstances’</w:t>
            </w:r>
            <w:r w:rsidR="003C3875">
              <w:t xml:space="preserve">. </w:t>
            </w:r>
          </w:p>
          <w:p w14:paraId="1C3423FD" w14:textId="77777777" w:rsidR="007F02F4" w:rsidRPr="007F02F4" w:rsidRDefault="007F02F4" w:rsidP="00F95200">
            <w:pPr>
              <w:pStyle w:val="Boxsmalltext"/>
            </w:pPr>
            <w:r w:rsidRPr="007F02F4">
              <w:t>My consultations with the Ministry highlighted the importance of Te Taumata being briefed about the request kanohi ki te kanohi (face-to-face), rather than electronically. The Ministry had a meeting scheduled with Te Taumata and the extension allowed time for this to occur.</w:t>
            </w:r>
          </w:p>
          <w:p w14:paraId="175572F6" w14:textId="77777777" w:rsidR="007F02F4" w:rsidRPr="007F02F4" w:rsidRDefault="007F02F4" w:rsidP="00F95200">
            <w:pPr>
              <w:pStyle w:val="Boxsmalltext"/>
            </w:pPr>
            <w:r w:rsidRPr="007F02F4">
              <w:t>I formed the opinion that the extension in this case was reasonable as a proper response could not have been made within the statutory time limit.</w:t>
            </w:r>
          </w:p>
          <w:p w14:paraId="4427F6DF" w14:textId="5D74C8E3" w:rsidR="007F02F4" w:rsidRDefault="007F02F4" w:rsidP="00F95200">
            <w:pPr>
              <w:pStyle w:val="Boxsmalltext"/>
            </w:pPr>
            <w:r w:rsidRPr="007F02F4">
              <w:t xml:space="preserve">Read the full </w:t>
            </w:r>
            <w:r w:rsidR="00F95200">
              <w:t>case note</w:t>
            </w:r>
            <w:r w:rsidRPr="007F02F4">
              <w:t xml:space="preserve"> at </w:t>
            </w:r>
            <w:hyperlink r:id="rId10" w:history="1">
              <w:r w:rsidRPr="007F02F4">
                <w:rPr>
                  <w:rStyle w:val="Hyperlink"/>
                </w:rPr>
                <w:t>www.ombudsman.parliament.nz</w:t>
              </w:r>
            </w:hyperlink>
            <w:r w:rsidRPr="007F02F4">
              <w:t>.</w:t>
            </w:r>
          </w:p>
        </w:tc>
      </w:tr>
    </w:tbl>
    <w:p w14:paraId="67FE0C43" w14:textId="77777777" w:rsidR="007F02F4" w:rsidRDefault="007F02F4">
      <w:pPr>
        <w:pStyle w:val="Whitespace"/>
      </w:pPr>
    </w:p>
    <w:p w14:paraId="18294713" w14:textId="644B8301" w:rsidR="004572C7" w:rsidRPr="00E849E6" w:rsidRDefault="005B795D" w:rsidP="004572C7">
      <w:pPr>
        <w:pStyle w:val="BodyText"/>
      </w:pPr>
      <w:hyperlink w:anchor="Contents" w:history="1">
        <w:r w:rsidR="004572C7" w:rsidRPr="00F5248A">
          <w:rPr>
            <w:rStyle w:val="Hyperlink"/>
          </w:rPr>
          <w:t>Back to contents</w:t>
        </w:r>
      </w:hyperlink>
    </w:p>
    <w:p w14:paraId="02986A7D" w14:textId="77777777" w:rsidR="00D273BD" w:rsidRDefault="008A5CA1" w:rsidP="007276E2">
      <w:pPr>
        <w:pStyle w:val="Heading2"/>
      </w:pPr>
      <w:bookmarkStart w:id="57" w:name="_Improve_public_sector"/>
      <w:bookmarkStart w:id="58" w:name="_Ref54687140"/>
      <w:bookmarkEnd w:id="57"/>
      <w:r w:rsidRPr="008A5CA1">
        <w:t>Improve public sector capability to do its work and make decisions</w:t>
      </w:r>
      <w:bookmarkEnd w:id="58"/>
    </w:p>
    <w:p w14:paraId="2C39F4EF" w14:textId="77777777" w:rsidR="0007114F" w:rsidRDefault="0007114F" w:rsidP="0007114F">
      <w:pPr>
        <w:pStyle w:val="BodyText"/>
      </w:pPr>
      <w:r>
        <w:t>Improved capability in the public sector enables the government to be responsive and effective as well as assisting to maintain New Zealand’s leading role in the promotion of integrity and anti-corru</w:t>
      </w:r>
      <w:r w:rsidR="001D0C6B">
        <w:t>p</w:t>
      </w:r>
      <w:r>
        <w:t>tion.</w:t>
      </w:r>
      <w:r w:rsidR="001A4AC7">
        <w:t xml:space="preserve"> </w:t>
      </w:r>
      <w:r>
        <w:t>An important part of my work is the training, advice, and guidance offered to</w:t>
      </w:r>
      <w:r w:rsidRPr="00595623">
        <w:t xml:space="preserve"> agencies </w:t>
      </w:r>
      <w:r>
        <w:t>and other stakeholders</w:t>
      </w:r>
      <w:r w:rsidR="003C3875">
        <w:t xml:space="preserve">. </w:t>
      </w:r>
    </w:p>
    <w:p w14:paraId="46763F28" w14:textId="77777777" w:rsidR="0007114F" w:rsidRDefault="0007114F" w:rsidP="0007114F">
      <w:pPr>
        <w:pStyle w:val="BodyText"/>
      </w:pPr>
      <w:r>
        <w:t>I monitor and review developments in the public sector, and identify relevant skills and knowledge gaps to best target my efforts. I also participate in initiatives to build capability and improve practice.</w:t>
      </w:r>
      <w:r w:rsidRPr="00467AD8">
        <w:t xml:space="preserve"> </w:t>
      </w:r>
      <w:r>
        <w:t>This support is provided with an aim to:</w:t>
      </w:r>
    </w:p>
    <w:p w14:paraId="4161B334" w14:textId="77777777" w:rsidR="0007114F" w:rsidRDefault="0007114F" w:rsidP="0007114F">
      <w:pPr>
        <w:pStyle w:val="Bullet1"/>
      </w:pPr>
      <w:r>
        <w:t>lift public sector capability to improve administration, decision making, and complaint handling capability; and</w:t>
      </w:r>
    </w:p>
    <w:p w14:paraId="5C24AB47" w14:textId="77777777" w:rsidR="0007114F" w:rsidRDefault="0007114F" w:rsidP="0007114F">
      <w:pPr>
        <w:pStyle w:val="Bullet1"/>
      </w:pPr>
      <w:r>
        <w:t>improve compliance with official information legislation, whistleblowing legislation, and international conventions, including those concerning the rights of disabled people and people in detention.</w:t>
      </w:r>
    </w:p>
    <w:p w14:paraId="05CBB763" w14:textId="77777777" w:rsidR="001563D3" w:rsidRPr="001563D3" w:rsidRDefault="00733E89" w:rsidP="007276E2">
      <w:pPr>
        <w:pStyle w:val="Heading3"/>
      </w:pPr>
      <w:r>
        <w:t xml:space="preserve">Advice and guidance </w:t>
      </w:r>
    </w:p>
    <w:p w14:paraId="7346F65A" w14:textId="77777777" w:rsidR="00125B4D" w:rsidRDefault="008A5CA1" w:rsidP="00125B4D">
      <w:pPr>
        <w:pStyle w:val="BodyText"/>
      </w:pPr>
      <w:r w:rsidRPr="00776C3B">
        <w:t xml:space="preserve">In </w:t>
      </w:r>
      <w:r w:rsidR="00651E5B" w:rsidRPr="00776C3B">
        <w:t>201</w:t>
      </w:r>
      <w:r w:rsidR="00651E5B">
        <w:t>9</w:t>
      </w:r>
      <w:r w:rsidRPr="00776C3B">
        <w:t>/</w:t>
      </w:r>
      <w:r w:rsidR="00651E5B">
        <w:t>20</w:t>
      </w:r>
      <w:r>
        <w:t xml:space="preserve">, </w:t>
      </w:r>
      <w:r w:rsidR="001E72E8">
        <w:t xml:space="preserve">I </w:t>
      </w:r>
      <w:r>
        <w:t xml:space="preserve">commented on </w:t>
      </w:r>
      <w:r w:rsidR="00047EAA">
        <w:t>24</w:t>
      </w:r>
      <w:r w:rsidR="00047EAA" w:rsidRPr="00741881">
        <w:t xml:space="preserve"> </w:t>
      </w:r>
      <w:r w:rsidRPr="00741881">
        <w:t>l</w:t>
      </w:r>
      <w:r>
        <w:t>egislative, policy</w:t>
      </w:r>
      <w:r w:rsidR="00651E5B">
        <w:t>,</w:t>
      </w:r>
      <w:r>
        <w:t xml:space="preserve"> and administrative proposals. These included comments on Cabinet papers, Bills, and administrative policies and procedures.</w:t>
      </w:r>
      <w:r w:rsidR="00125B4D" w:rsidRPr="00125B4D">
        <w:t xml:space="preserve"> </w:t>
      </w:r>
    </w:p>
    <w:p w14:paraId="0465CD0A" w14:textId="2CD79976" w:rsidR="00125B4D" w:rsidRDefault="00125B4D" w:rsidP="00125B4D">
      <w:pPr>
        <w:pStyle w:val="BodyText"/>
      </w:pPr>
      <w:r>
        <w:t>O</w:t>
      </w:r>
      <w:r w:rsidRPr="00595623">
        <w:t xml:space="preserve">n </w:t>
      </w:r>
      <w:r>
        <w:t xml:space="preserve">361 </w:t>
      </w:r>
      <w:r w:rsidRPr="00595623">
        <w:t>occasions</w:t>
      </w:r>
      <w:r>
        <w:t xml:space="preserve"> I provided advice</w:t>
      </w:r>
      <w:r w:rsidRPr="00595623">
        <w:t xml:space="preserve"> to </w:t>
      </w:r>
      <w:r>
        <w:t>public</w:t>
      </w:r>
      <w:r w:rsidRPr="00595623">
        <w:t xml:space="preserve"> sector agencies</w:t>
      </w:r>
      <w:r>
        <w:t>. This was primarily</w:t>
      </w:r>
      <w:r w:rsidRPr="00595623">
        <w:t xml:space="preserve"> in relation to enquiries about the processing of official information requests. </w:t>
      </w:r>
      <w:r>
        <w:t xml:space="preserve">I do </w:t>
      </w:r>
      <w:r w:rsidRPr="00595623">
        <w:t xml:space="preserve">not tell agencies what to do </w:t>
      </w:r>
      <w:r>
        <w:t>with</w:t>
      </w:r>
      <w:r w:rsidRPr="00595623">
        <w:t xml:space="preserve"> </w:t>
      </w:r>
      <w:r w:rsidRPr="00231BE1">
        <w:rPr>
          <w:rStyle w:val="Quotationwithinthesentence"/>
          <w:i w:val="0"/>
        </w:rPr>
        <w:t>‘live’</w:t>
      </w:r>
      <w:r w:rsidRPr="00595623">
        <w:t xml:space="preserve"> requests</w:t>
      </w:r>
      <w:r>
        <w:t>, as I</w:t>
      </w:r>
      <w:r w:rsidRPr="00595623">
        <w:t xml:space="preserve"> may be called on to investigate and review </w:t>
      </w:r>
      <w:r>
        <w:t>the</w:t>
      </w:r>
      <w:r w:rsidRPr="00595623">
        <w:t xml:space="preserve"> decision</w:t>
      </w:r>
      <w:r>
        <w:t>s</w:t>
      </w:r>
      <w:r w:rsidRPr="00595623">
        <w:t xml:space="preserve">. However, </w:t>
      </w:r>
      <w:r>
        <w:t>I can</w:t>
      </w:r>
      <w:r w:rsidRPr="00595623">
        <w:t xml:space="preserve"> provide advice about the requirements of the legislation, and the </w:t>
      </w:r>
      <w:r>
        <w:t>options to consider</w:t>
      </w:r>
      <w:r w:rsidRPr="00595623">
        <w:t xml:space="preserve"> when making decisions</w:t>
      </w:r>
      <w:r w:rsidR="001225B9">
        <w:t xml:space="preserve"> and how similar issues have been considered in the past</w:t>
      </w:r>
      <w:r w:rsidRPr="00595623">
        <w:t>. This</w:t>
      </w:r>
      <w:r>
        <w:t xml:space="preserve"> advice</w:t>
      </w:r>
      <w:r w:rsidRPr="00595623">
        <w:t xml:space="preserve"> </w:t>
      </w:r>
      <w:r>
        <w:t>helps</w:t>
      </w:r>
      <w:r w:rsidRPr="00595623">
        <w:t xml:space="preserve"> agencies manage official information requests</w:t>
      </w:r>
      <w:r w:rsidR="001225B9">
        <w:t xml:space="preserve"> effectively</w:t>
      </w:r>
      <w:r w:rsidRPr="00595623">
        <w:t>, including the consideration of proactive release</w:t>
      </w:r>
      <w:r w:rsidR="001225B9">
        <w:t xml:space="preserve"> of additional information to inform the public</w:t>
      </w:r>
      <w:r>
        <w:t>.</w:t>
      </w:r>
    </w:p>
    <w:tbl>
      <w:tblPr>
        <w:tblStyle w:val="TableBox"/>
        <w:tblW w:w="9297" w:type="dxa"/>
        <w:tblLayout w:type="fixed"/>
        <w:tblCellMar>
          <w:bottom w:w="0" w:type="dxa"/>
        </w:tblCellMar>
        <w:tblLook w:val="04A0" w:firstRow="1" w:lastRow="0" w:firstColumn="1" w:lastColumn="0" w:noHBand="0" w:noVBand="1"/>
        <w:tblCaption w:val="Box to emphasise text"/>
      </w:tblPr>
      <w:tblGrid>
        <w:gridCol w:w="9297"/>
      </w:tblGrid>
      <w:tr w:rsidR="00DE540B" w14:paraId="7BEBF1F1" w14:textId="77777777" w:rsidTr="00D35F1C">
        <w:trPr>
          <w:cantSplit/>
        </w:trPr>
        <w:tc>
          <w:tcPr>
            <w:tcW w:w="9514" w:type="dxa"/>
          </w:tcPr>
          <w:p w14:paraId="5077B34D" w14:textId="77777777" w:rsidR="00DE540B" w:rsidRDefault="00DE540B" w:rsidP="00943BA7">
            <w:pPr>
              <w:pStyle w:val="Headingboxtexttop"/>
              <w:tabs>
                <w:tab w:val="num" w:pos="567"/>
              </w:tabs>
            </w:pPr>
            <w:r>
              <w:t>Public sector engagement during COVID-19</w:t>
            </w:r>
          </w:p>
          <w:p w14:paraId="1B26736E" w14:textId="77777777" w:rsidR="00DE540B" w:rsidRPr="00DE540B" w:rsidRDefault="00DE540B" w:rsidP="00DE540B">
            <w:pPr>
              <w:pStyle w:val="Boxsmalltext"/>
              <w:tabs>
                <w:tab w:val="num" w:pos="567"/>
              </w:tabs>
            </w:pPr>
            <w:r w:rsidRPr="00DE540B">
              <w:t xml:space="preserve">I engaged early and often with key public sector agencies to understand the different and specific pressures that they were under as a result of COVID-19. This was a significant undertaking and I appreciate the many agencies that kept me in </w:t>
            </w:r>
            <w:r w:rsidRPr="00D35F1C">
              <w:t xml:space="preserve">the loop about their constantly changing situations. I encouraged my staff to be practical and pragmatic when engaging with agencies so that I could adjust my approach if appropriate. </w:t>
            </w:r>
            <w:r w:rsidR="007F4CE7" w:rsidRPr="00D35F1C">
              <w:t xml:space="preserve">I liaised closely with affected agencies to assist them as far as possible to get decisions ‘right first time’ and minimise the number of complaints I received. </w:t>
            </w:r>
            <w:r w:rsidRPr="00D35F1C">
              <w:t>I also expanded and intensified my own efforts</w:t>
            </w:r>
            <w:r w:rsidRPr="00DE540B">
              <w:t xml:space="preserve"> to triage complaints in a way that reflected the realities of the situation.</w:t>
            </w:r>
            <w:r w:rsidR="007F4CE7">
              <w:t xml:space="preserve"> </w:t>
            </w:r>
          </w:p>
          <w:p w14:paraId="2D27105D" w14:textId="3FEDB5B3" w:rsidR="00DE540B" w:rsidRDefault="00DE540B" w:rsidP="00DE540B">
            <w:pPr>
              <w:pStyle w:val="Boxsmalltext"/>
              <w:tabs>
                <w:tab w:val="num" w:pos="567"/>
              </w:tabs>
            </w:pPr>
            <w:r w:rsidRPr="00DE540B">
              <w:t xml:space="preserve">As part of this engagement with agencies, I published specific guidance and </w:t>
            </w:r>
            <w:hyperlink r:id="rId11" w:history="1">
              <w:r w:rsidRPr="00D35F1C">
                <w:rPr>
                  <w:rStyle w:val="Hyperlink"/>
                </w:rPr>
                <w:t>frequently asked questions about responding to official information requests during COVID-19</w:t>
              </w:r>
            </w:hyperlink>
            <w:r w:rsidRPr="00DE540B">
              <w:t xml:space="preserve">. This guidance </w:t>
            </w:r>
            <w:r w:rsidR="007F4CE7">
              <w:t>was updated at each alert level</w:t>
            </w:r>
            <w:r w:rsidR="001225B9">
              <w:t>.  It</w:t>
            </w:r>
            <w:r w:rsidR="007F4CE7">
              <w:t xml:space="preserve"> </w:t>
            </w:r>
            <w:r w:rsidRPr="00DE540B">
              <w:t xml:space="preserve">provided tools and strategies to help </w:t>
            </w:r>
            <w:r>
              <w:t>agencies deal with official information requests and clarified the obligations and statutory timeframes in place during COVID-19.</w:t>
            </w:r>
          </w:p>
          <w:p w14:paraId="4EAB8B9D" w14:textId="1D6062EE" w:rsidR="007F4CE7" w:rsidRDefault="007F4CE7" w:rsidP="00D35F1C">
            <w:pPr>
              <w:pStyle w:val="Boxsmalltext"/>
            </w:pPr>
            <w:r w:rsidRPr="007F4CE7">
              <w:t xml:space="preserve">I also prioritised publication of a guide on </w:t>
            </w:r>
            <w:hyperlink r:id="rId12" w:history="1">
              <w:r w:rsidRPr="007F4CE7">
                <w:t>good practices for proactive release of information</w:t>
              </w:r>
            </w:hyperlink>
            <w:r w:rsidRPr="007F4CE7">
              <w:t>, in order to support openness and transparency of information relating to the response to COVID-19.</w:t>
            </w:r>
          </w:p>
          <w:p w14:paraId="2617D8FC" w14:textId="1A04AF91" w:rsidR="00DE540B" w:rsidRDefault="00DE540B" w:rsidP="001225B9">
            <w:pPr>
              <w:pStyle w:val="Boxsmalltext"/>
            </w:pPr>
            <w:r w:rsidRPr="006211DC">
              <w:t xml:space="preserve">Government agencies consulted me on whether it was desirable, in the circumstances, to make temporary modifications to the OIA and LGOIMA under section 15 of the Epidemic Preparedness Act 2006. </w:t>
            </w:r>
            <w:r w:rsidR="007F4CE7">
              <w:t>However, following my engagement</w:t>
            </w:r>
            <w:r w:rsidR="005A0CD0">
              <w:t>, together with the Solicitor-General,</w:t>
            </w:r>
            <w:r w:rsidR="007F4CE7">
              <w:t xml:space="preserve"> on this </w:t>
            </w:r>
            <w:r w:rsidRPr="006211DC">
              <w:t xml:space="preserve">it was agreed that </w:t>
            </w:r>
            <w:r w:rsidR="007F4CE7">
              <w:t>a</w:t>
            </w:r>
            <w:r w:rsidR="007F4CE7" w:rsidRPr="006211DC">
              <w:t xml:space="preserve">part from certain modifications to the meetings provisions of LGOIMA, </w:t>
            </w:r>
            <w:r w:rsidRPr="006211DC">
              <w:t xml:space="preserve">the Acts </w:t>
            </w:r>
            <w:r w:rsidR="001225B9">
              <w:t xml:space="preserve">already </w:t>
            </w:r>
            <w:r w:rsidRPr="006211DC">
              <w:t>have sufficient</w:t>
            </w:r>
            <w:r>
              <w:t>ly</w:t>
            </w:r>
            <w:r w:rsidRPr="006211DC">
              <w:t xml:space="preserve"> flexible provisions and mechanisms in place to </w:t>
            </w:r>
            <w:r w:rsidR="001225B9">
              <w:t xml:space="preserve">enable </w:t>
            </w:r>
            <w:r w:rsidRPr="006211DC">
              <w:t xml:space="preserve">agencies to manage </w:t>
            </w:r>
            <w:r w:rsidR="007F4CE7">
              <w:t xml:space="preserve">official information </w:t>
            </w:r>
            <w:r w:rsidRPr="006211DC">
              <w:t xml:space="preserve">requests during this difficult and rapidly </w:t>
            </w:r>
            <w:r>
              <w:t>evolving time.</w:t>
            </w:r>
            <w:r>
              <w:rPr>
                <w:rStyle w:val="FootnoteReference"/>
              </w:rPr>
              <w:footnoteReference w:id="18"/>
            </w:r>
            <w:r w:rsidR="001225B9">
              <w:t>I am pleased to see this was indeed the case in the months that followed.</w:t>
            </w:r>
          </w:p>
        </w:tc>
      </w:tr>
    </w:tbl>
    <w:p w14:paraId="25ADA5CF" w14:textId="77777777" w:rsidR="00DE540B" w:rsidRDefault="00DE540B" w:rsidP="00DE540B">
      <w:pPr>
        <w:pStyle w:val="Whitespace"/>
      </w:pPr>
    </w:p>
    <w:tbl>
      <w:tblPr>
        <w:tblStyle w:val="TableBox"/>
        <w:tblW w:w="9297" w:type="dxa"/>
        <w:tblLayout w:type="fixed"/>
        <w:tblCellMar>
          <w:bottom w:w="0" w:type="dxa"/>
        </w:tblCellMar>
        <w:tblLook w:val="04A0" w:firstRow="1" w:lastRow="0" w:firstColumn="1" w:lastColumn="0" w:noHBand="0" w:noVBand="1"/>
        <w:tblCaption w:val="Box to emphasise text"/>
      </w:tblPr>
      <w:tblGrid>
        <w:gridCol w:w="9297"/>
      </w:tblGrid>
      <w:tr w:rsidR="00651E5B" w14:paraId="1EF99925" w14:textId="77777777" w:rsidTr="00D35F1C">
        <w:tc>
          <w:tcPr>
            <w:tcW w:w="9297" w:type="dxa"/>
          </w:tcPr>
          <w:p w14:paraId="11BEC866" w14:textId="77777777" w:rsidR="00651E5B" w:rsidRDefault="00125B4D" w:rsidP="00A234EB">
            <w:pPr>
              <w:pStyle w:val="Headingboxtexttop"/>
              <w:tabs>
                <w:tab w:val="num" w:pos="567"/>
              </w:tabs>
            </w:pPr>
            <w:r>
              <w:t xml:space="preserve">Key submissions </w:t>
            </w:r>
            <w:r w:rsidR="00CC0984">
              <w:t xml:space="preserve">on </w:t>
            </w:r>
            <w:r>
              <w:t xml:space="preserve">legislation </w:t>
            </w:r>
            <w:r w:rsidR="00CC0984">
              <w:t>and draft Cabinet papers</w:t>
            </w:r>
            <w:r w:rsidR="00BA0FBE">
              <w:t xml:space="preserve"> included:</w:t>
            </w:r>
          </w:p>
          <w:p w14:paraId="5F1AAE7F" w14:textId="77777777" w:rsidR="00651E5B" w:rsidRDefault="00651E5B" w:rsidP="008D72FC">
            <w:pPr>
              <w:pStyle w:val="TableBullet1"/>
            </w:pPr>
            <w:r w:rsidRPr="00651E5B">
              <w:t>Climate Change Response (Zero Carbon) Amendment Bill</w:t>
            </w:r>
          </w:p>
          <w:p w14:paraId="1DA515E1" w14:textId="77777777" w:rsidR="00651E5B" w:rsidRDefault="00651E5B" w:rsidP="008D72FC">
            <w:pPr>
              <w:pStyle w:val="TableBullet1"/>
            </w:pPr>
            <w:r w:rsidRPr="00651E5B">
              <w:t>Venture Capital Fund Bill</w:t>
            </w:r>
          </w:p>
          <w:p w14:paraId="6145271D" w14:textId="77777777" w:rsidR="00651E5B" w:rsidRDefault="00CC0984" w:rsidP="008D72FC">
            <w:pPr>
              <w:pStyle w:val="TableBullet1"/>
            </w:pPr>
            <w:r>
              <w:t>P</w:t>
            </w:r>
            <w:r w:rsidR="00651E5B" w:rsidRPr="00651E5B">
              <w:t>roposed draft revision of the Guidelines to the Mental Health (Compulsory Assessment and Treatment ) Act 1992</w:t>
            </w:r>
          </w:p>
          <w:p w14:paraId="34FA5D3A" w14:textId="77777777" w:rsidR="00651E5B" w:rsidRDefault="00651E5B" w:rsidP="008D72FC">
            <w:pPr>
              <w:pStyle w:val="TableBullet1"/>
            </w:pPr>
            <w:r w:rsidRPr="00651E5B">
              <w:t>Screen Industry Worker's Bill</w:t>
            </w:r>
          </w:p>
          <w:p w14:paraId="03D73DCF" w14:textId="77777777" w:rsidR="00651E5B" w:rsidRDefault="00651E5B" w:rsidP="008D72FC">
            <w:pPr>
              <w:pStyle w:val="TableBullet1"/>
            </w:pPr>
            <w:r w:rsidRPr="00651E5B">
              <w:t>C</w:t>
            </w:r>
            <w:r w:rsidR="0049514B">
              <w:t>OVID</w:t>
            </w:r>
            <w:r w:rsidRPr="00651E5B">
              <w:t>-19 Public Health Response Act</w:t>
            </w:r>
          </w:p>
          <w:p w14:paraId="736AE977" w14:textId="77777777" w:rsidR="00651E5B" w:rsidRDefault="0049786E" w:rsidP="008D72FC">
            <w:pPr>
              <w:pStyle w:val="TableBullet1"/>
            </w:pPr>
            <w:r>
              <w:t>Reserve Bank of New Zealand Bill</w:t>
            </w:r>
          </w:p>
          <w:p w14:paraId="678B6E11" w14:textId="77777777" w:rsidR="00651E5B" w:rsidRPr="00651E5B" w:rsidRDefault="00651E5B" w:rsidP="008D72FC">
            <w:pPr>
              <w:pStyle w:val="TableBullet1"/>
            </w:pPr>
            <w:r w:rsidRPr="00651E5B">
              <w:t xml:space="preserve">Mental Health and Wellbeing Commission Bill </w:t>
            </w:r>
          </w:p>
          <w:p w14:paraId="6B0A7B7B" w14:textId="77777777" w:rsidR="00651E5B" w:rsidRDefault="00CC0984" w:rsidP="008D72FC">
            <w:pPr>
              <w:pStyle w:val="TableBullet1"/>
            </w:pPr>
            <w:r>
              <w:t>C</w:t>
            </w:r>
            <w:r w:rsidRPr="00651E5B">
              <w:t>hanges to L</w:t>
            </w:r>
            <w:r w:rsidR="0049514B">
              <w:t xml:space="preserve">ocal </w:t>
            </w:r>
            <w:r w:rsidRPr="00651E5B">
              <w:t>G</w:t>
            </w:r>
            <w:r w:rsidR="0049514B">
              <w:t xml:space="preserve">overnment </w:t>
            </w:r>
            <w:r w:rsidRPr="00651E5B">
              <w:t>O</w:t>
            </w:r>
            <w:r w:rsidR="0049514B">
              <w:t xml:space="preserve">fficial </w:t>
            </w:r>
            <w:r w:rsidR="0049514B" w:rsidRPr="00651E5B">
              <w:t>I</w:t>
            </w:r>
            <w:r w:rsidR="0049514B">
              <w:t xml:space="preserve">nformation and </w:t>
            </w:r>
            <w:r w:rsidRPr="00651E5B">
              <w:t>M</w:t>
            </w:r>
            <w:r w:rsidR="0049514B">
              <w:t xml:space="preserve">eetings </w:t>
            </w:r>
            <w:r w:rsidRPr="00651E5B">
              <w:t>A</w:t>
            </w:r>
            <w:r w:rsidR="0049514B">
              <w:t>ct 1987</w:t>
            </w:r>
            <w:r w:rsidRPr="00651E5B">
              <w:t xml:space="preserve"> and local government sector </w:t>
            </w:r>
          </w:p>
          <w:p w14:paraId="0C3020D0" w14:textId="77777777" w:rsidR="00CC0984" w:rsidRPr="00CC0984" w:rsidRDefault="00CC0984" w:rsidP="008D72FC">
            <w:pPr>
              <w:pStyle w:val="TableBullet1"/>
            </w:pPr>
            <w:r w:rsidRPr="00CC0984">
              <w:t>Draft Cabinet Paper concerning proposed Independent Fiscal Institution</w:t>
            </w:r>
          </w:p>
          <w:p w14:paraId="2D677A3F" w14:textId="77777777" w:rsidR="00651E5B" w:rsidRPr="005B1FDA" w:rsidRDefault="00CC0984" w:rsidP="008D72FC">
            <w:pPr>
              <w:pStyle w:val="TableBullet1"/>
            </w:pPr>
            <w:r w:rsidRPr="00CC0984">
              <w:t>Draft Protected Disclosure</w:t>
            </w:r>
            <w:r w:rsidR="001D0C6B">
              <w:t>s</w:t>
            </w:r>
            <w:r w:rsidRPr="00CC0984">
              <w:t xml:space="preserve"> Act Cabinet Paper</w:t>
            </w:r>
          </w:p>
          <w:p w14:paraId="75C97C94" w14:textId="77777777" w:rsidR="00651E5B" w:rsidRPr="00651E5B" w:rsidRDefault="00125B4D" w:rsidP="00651E5B">
            <w:pPr>
              <w:pStyle w:val="Headingboxtexttop"/>
              <w:tabs>
                <w:tab w:val="num" w:pos="567"/>
              </w:tabs>
              <w:rPr>
                <w:b w:val="0"/>
                <w:color w:val="1E1E1E"/>
                <w:sz w:val="22"/>
              </w:rPr>
            </w:pPr>
            <w:r>
              <w:t>Key submission</w:t>
            </w:r>
            <w:r w:rsidR="008C0345">
              <w:t>s</w:t>
            </w:r>
            <w:r>
              <w:t xml:space="preserve"> </w:t>
            </w:r>
            <w:r w:rsidR="00CC0984">
              <w:t>on policy or administrative proposals</w:t>
            </w:r>
            <w:r w:rsidR="000F34A0">
              <w:t xml:space="preserve"> included:</w:t>
            </w:r>
          </w:p>
          <w:p w14:paraId="4DBD34B9" w14:textId="77777777" w:rsidR="00651E5B" w:rsidRPr="00651E5B" w:rsidRDefault="00651E5B" w:rsidP="008D72FC">
            <w:pPr>
              <w:pStyle w:val="TableBullet1"/>
            </w:pPr>
            <w:r w:rsidRPr="00651E5B">
              <w:t>Housing New Zealand Corporation’s Accessibility Policy</w:t>
            </w:r>
          </w:p>
          <w:p w14:paraId="6E9C79E4" w14:textId="77777777" w:rsidR="00651E5B" w:rsidRPr="00651E5B" w:rsidRDefault="00651E5B" w:rsidP="008D72FC">
            <w:pPr>
              <w:pStyle w:val="TableBullet1"/>
            </w:pPr>
            <w:r>
              <w:t>P</w:t>
            </w:r>
            <w:r w:rsidRPr="00651E5B">
              <w:t>re- and post- local government election issues</w:t>
            </w:r>
          </w:p>
          <w:p w14:paraId="03FD141F" w14:textId="77777777" w:rsidR="00651E5B" w:rsidRPr="00CC0984" w:rsidRDefault="00651E5B" w:rsidP="003C3875">
            <w:pPr>
              <w:pStyle w:val="TableBullet1"/>
            </w:pPr>
            <w:r>
              <w:t>R</w:t>
            </w:r>
            <w:r w:rsidRPr="00651E5B">
              <w:t>eview of the N</w:t>
            </w:r>
            <w:r w:rsidR="005B1FDA">
              <w:t xml:space="preserve">ew </w:t>
            </w:r>
            <w:r w:rsidRPr="00651E5B">
              <w:t>Z</w:t>
            </w:r>
            <w:r w:rsidR="005B1FDA">
              <w:t>ealand</w:t>
            </w:r>
            <w:r w:rsidRPr="00651E5B">
              <w:t xml:space="preserve"> Government</w:t>
            </w:r>
            <w:r w:rsidR="003C3875">
              <w:t xml:space="preserve"> Security Classification System</w:t>
            </w:r>
          </w:p>
        </w:tc>
      </w:tr>
    </w:tbl>
    <w:p w14:paraId="6874D68A" w14:textId="77777777" w:rsidR="003C3875" w:rsidRDefault="003C3875" w:rsidP="003C3875">
      <w:pPr>
        <w:pStyle w:val="Whitespace"/>
      </w:pPr>
    </w:p>
    <w:p w14:paraId="65574B84" w14:textId="77777777" w:rsidR="008A5CA1" w:rsidRPr="00595623" w:rsidRDefault="008A5CA1" w:rsidP="000428C5">
      <w:pPr>
        <w:pStyle w:val="Heading3"/>
        <w:keepLines w:val="0"/>
        <w:widowControl w:val="0"/>
      </w:pPr>
      <w:r w:rsidRPr="00595623">
        <w:t>Training</w:t>
      </w:r>
    </w:p>
    <w:p w14:paraId="60F8E98F" w14:textId="77777777" w:rsidR="008A5CA1" w:rsidRDefault="008A5CA1" w:rsidP="002733A7">
      <w:pPr>
        <w:pStyle w:val="BodyText"/>
        <w:keepNext/>
        <w:widowControl w:val="0"/>
      </w:pPr>
      <w:r w:rsidRPr="00595623">
        <w:t xml:space="preserve">In </w:t>
      </w:r>
      <w:r w:rsidR="00237EF1" w:rsidRPr="00776C3B">
        <w:t>201</w:t>
      </w:r>
      <w:r w:rsidR="00237EF1">
        <w:t>9</w:t>
      </w:r>
      <w:r w:rsidRPr="00776C3B">
        <w:t>/</w:t>
      </w:r>
      <w:r w:rsidR="00237EF1">
        <w:t>20</w:t>
      </w:r>
      <w:r w:rsidR="00446AC7">
        <w:t>,</w:t>
      </w:r>
      <w:r w:rsidR="0077047B">
        <w:t xml:space="preserve"> </w:t>
      </w:r>
      <w:r w:rsidR="00237EF1">
        <w:t>25</w:t>
      </w:r>
      <w:r w:rsidR="00776C3B">
        <w:t xml:space="preserve"> </w:t>
      </w:r>
      <w:r w:rsidRPr="00595623">
        <w:t>training sessions</w:t>
      </w:r>
      <w:r w:rsidR="00237EF1">
        <w:t xml:space="preserve"> </w:t>
      </w:r>
      <w:r w:rsidR="007765B4">
        <w:t>and 1</w:t>
      </w:r>
      <w:r w:rsidR="00237EF1">
        <w:t>2</w:t>
      </w:r>
      <w:r w:rsidR="007765B4">
        <w:t xml:space="preserve"> speeches</w:t>
      </w:r>
      <w:r w:rsidR="00237EF1">
        <w:t xml:space="preserve"> were given</w:t>
      </w:r>
      <w:r w:rsidR="007765B4">
        <w:t xml:space="preserve"> to public sector agencies</w:t>
      </w:r>
      <w:r>
        <w:t>.</w:t>
      </w:r>
      <w:r w:rsidR="00237EF1">
        <w:t xml:space="preserve"> </w:t>
      </w:r>
      <w:r>
        <w:t xml:space="preserve">Training topics included </w:t>
      </w:r>
      <w:r w:rsidR="000921B1" w:rsidRPr="00E66629">
        <w:t>official information</w:t>
      </w:r>
      <w:r w:rsidRPr="00E66629">
        <w:t>,</w:t>
      </w:r>
      <w:r w:rsidR="00E66629" w:rsidRPr="00E66629">
        <w:t xml:space="preserve"> good administration (including record keeping),</w:t>
      </w:r>
      <w:r w:rsidRPr="00E66629">
        <w:t xml:space="preserve"> the Ombudsm</w:t>
      </w:r>
      <w:r w:rsidR="004D41C7">
        <w:t>a</w:t>
      </w:r>
      <w:r w:rsidRPr="00E66629">
        <w:t>n’s role, and managing unreasonable complainant conduct.</w:t>
      </w:r>
    </w:p>
    <w:p w14:paraId="4824EE49" w14:textId="77777777" w:rsidR="008A5CA1" w:rsidRDefault="00237EF1" w:rsidP="00F02B7B">
      <w:pPr>
        <w:pStyle w:val="BodyText"/>
        <w:widowControl w:val="0"/>
      </w:pPr>
      <w:r>
        <w:t xml:space="preserve">This year I </w:t>
      </w:r>
      <w:r w:rsidR="008A5CA1" w:rsidRPr="005E50F2">
        <w:t>receive</w:t>
      </w:r>
      <w:r>
        <w:t>d particularly</w:t>
      </w:r>
      <w:r w:rsidR="008A5CA1" w:rsidRPr="005E50F2">
        <w:t xml:space="preserve"> positive feedback from the </w:t>
      </w:r>
      <w:r w:rsidR="009707BC">
        <w:t>attendees of these training</w:t>
      </w:r>
      <w:r w:rsidR="001225B9">
        <w:t xml:space="preserve"> </w:t>
      </w:r>
      <w:r w:rsidR="009707BC">
        <w:t>s</w:t>
      </w:r>
      <w:r w:rsidR="001225B9">
        <w:t>essions</w:t>
      </w:r>
      <w:r>
        <w:t>;</w:t>
      </w:r>
      <w:r w:rsidRPr="005E50F2">
        <w:t xml:space="preserve"> </w:t>
      </w:r>
      <w:r>
        <w:t>97</w:t>
      </w:r>
      <w:r w:rsidR="0099776B">
        <w:t xml:space="preserve"> percent</w:t>
      </w:r>
      <w:r w:rsidR="008A5CA1" w:rsidRPr="005E50F2">
        <w:t xml:space="preserve"> of participants reporting</w:t>
      </w:r>
      <w:r w:rsidR="008A5CA1" w:rsidRPr="00595623">
        <w:t xml:space="preserve"> the training </w:t>
      </w:r>
      <w:r>
        <w:t xml:space="preserve">provided </w:t>
      </w:r>
      <w:r w:rsidR="008A5CA1" w:rsidRPr="00595623">
        <w:t xml:space="preserve">would </w:t>
      </w:r>
      <w:r w:rsidR="008A5CA1">
        <w:t>help</w:t>
      </w:r>
      <w:r w:rsidR="008A5CA1" w:rsidRPr="00595623">
        <w:t xml:space="preserve"> them in their work.</w:t>
      </w:r>
    </w:p>
    <w:tbl>
      <w:tblPr>
        <w:tblStyle w:val="TableBox"/>
        <w:tblW w:w="9297" w:type="dxa"/>
        <w:tblLayout w:type="fixed"/>
        <w:tblCellMar>
          <w:bottom w:w="0" w:type="dxa"/>
        </w:tblCellMar>
        <w:tblLook w:val="04A0" w:firstRow="1" w:lastRow="0" w:firstColumn="1" w:lastColumn="0" w:noHBand="0" w:noVBand="1"/>
        <w:tblCaption w:val="NZ organisations which received Ombudsman training in 2016/17"/>
      </w:tblPr>
      <w:tblGrid>
        <w:gridCol w:w="9297"/>
      </w:tblGrid>
      <w:tr w:rsidR="008A5CA1" w14:paraId="4077596A" w14:textId="77777777" w:rsidTr="00F02B7B">
        <w:tc>
          <w:tcPr>
            <w:tcW w:w="9297" w:type="dxa"/>
          </w:tcPr>
          <w:p w14:paraId="4BD65078" w14:textId="77777777" w:rsidR="008A5CA1" w:rsidRPr="00222C74" w:rsidRDefault="008A5CA1" w:rsidP="00F02B7B">
            <w:pPr>
              <w:pStyle w:val="Headingboxtexttop"/>
              <w:widowControl w:val="0"/>
              <w:spacing w:after="0"/>
            </w:pPr>
            <w:r>
              <w:t xml:space="preserve">New Zealand organisations which received Ombudsman training in </w:t>
            </w:r>
            <w:r w:rsidRPr="00776C3B">
              <w:t>201</w:t>
            </w:r>
            <w:r w:rsidR="00237EF1">
              <w:t>9</w:t>
            </w:r>
            <w:r w:rsidRPr="00776C3B">
              <w:t>/</w:t>
            </w:r>
            <w:r w:rsidR="00237EF1">
              <w:t>20</w:t>
            </w:r>
          </w:p>
          <w:p w14:paraId="77D9DF49" w14:textId="77777777" w:rsidR="000D2058" w:rsidRDefault="000D2058" w:rsidP="007F4CE7">
            <w:pPr>
              <w:pStyle w:val="TableBullet1"/>
            </w:pPr>
            <w:r>
              <w:t>Accident Compensation Corporation</w:t>
            </w:r>
          </w:p>
          <w:p w14:paraId="7C57EF99" w14:textId="77777777" w:rsidR="000D2058" w:rsidRDefault="000D2058" w:rsidP="007F4CE7">
            <w:pPr>
              <w:pStyle w:val="TableBullet1"/>
            </w:pPr>
            <w:r>
              <w:t>Auckland City Council</w:t>
            </w:r>
          </w:p>
          <w:p w14:paraId="548FB8FE" w14:textId="77777777" w:rsidR="000D2058" w:rsidRDefault="000D2058" w:rsidP="007F4CE7">
            <w:pPr>
              <w:pStyle w:val="TableBullet1"/>
            </w:pPr>
            <w:r>
              <w:t>Far North District Council</w:t>
            </w:r>
          </w:p>
          <w:p w14:paraId="28B8BE38" w14:textId="77777777" w:rsidR="000D2058" w:rsidRDefault="000D2058" w:rsidP="007F4CE7">
            <w:pPr>
              <w:pStyle w:val="TableBullet1"/>
            </w:pPr>
            <w:r>
              <w:t>Government Legal Network</w:t>
            </w:r>
          </w:p>
          <w:p w14:paraId="52662AEE" w14:textId="77777777" w:rsidR="000D2058" w:rsidRDefault="000D2058" w:rsidP="007F4CE7">
            <w:pPr>
              <w:pStyle w:val="TableBullet1"/>
            </w:pPr>
            <w:r>
              <w:t>Greater Wellington Regional Council</w:t>
            </w:r>
          </w:p>
          <w:p w14:paraId="3489DC54" w14:textId="77777777" w:rsidR="000D2058" w:rsidRDefault="000D2058" w:rsidP="007F4CE7">
            <w:pPr>
              <w:pStyle w:val="TableBullet1"/>
            </w:pPr>
            <w:r>
              <w:t>Health and Disability Commissioner</w:t>
            </w:r>
          </w:p>
          <w:p w14:paraId="27D663A0" w14:textId="77777777" w:rsidR="000D2058" w:rsidRDefault="000D2058" w:rsidP="007F4CE7">
            <w:pPr>
              <w:pStyle w:val="TableBullet1"/>
            </w:pPr>
            <w:r>
              <w:t>Maritime New Zealand</w:t>
            </w:r>
          </w:p>
          <w:p w14:paraId="66B8B42F" w14:textId="77777777" w:rsidR="000D2058" w:rsidRDefault="000D2058" w:rsidP="007F4CE7">
            <w:pPr>
              <w:pStyle w:val="TableBullet1"/>
            </w:pPr>
            <w:r>
              <w:t>Massey University</w:t>
            </w:r>
          </w:p>
          <w:p w14:paraId="56E55EB7" w14:textId="77777777" w:rsidR="000D2058" w:rsidRDefault="000D2058" w:rsidP="007F4CE7">
            <w:pPr>
              <w:pStyle w:val="TableBullet1"/>
            </w:pPr>
            <w:r>
              <w:t>Ministry of Business, Innovation and Employment</w:t>
            </w:r>
          </w:p>
          <w:p w14:paraId="386F850C" w14:textId="77777777" w:rsidR="000D2058" w:rsidRDefault="000D2058" w:rsidP="007F4CE7">
            <w:pPr>
              <w:pStyle w:val="TableBullet1"/>
            </w:pPr>
            <w:r>
              <w:t>Ministry of Defence</w:t>
            </w:r>
          </w:p>
          <w:p w14:paraId="294FECC9" w14:textId="77777777" w:rsidR="000D2058" w:rsidRDefault="000D2058" w:rsidP="007F4CE7">
            <w:pPr>
              <w:pStyle w:val="TableBullet1"/>
            </w:pPr>
            <w:r>
              <w:t xml:space="preserve">Ministry of Social Development </w:t>
            </w:r>
          </w:p>
          <w:p w14:paraId="7A3BA32C" w14:textId="77777777" w:rsidR="000D2058" w:rsidRDefault="000D2058" w:rsidP="007F4CE7">
            <w:pPr>
              <w:pStyle w:val="TableBullet1"/>
            </w:pPr>
            <w:r>
              <w:t>New Zealand Defence Force</w:t>
            </w:r>
          </w:p>
          <w:p w14:paraId="5CEFCC1D" w14:textId="77777777" w:rsidR="000D2058" w:rsidRDefault="000D2058" w:rsidP="007F4CE7">
            <w:pPr>
              <w:pStyle w:val="TableBullet1"/>
            </w:pPr>
            <w:r>
              <w:t>New Zealand Film Commission</w:t>
            </w:r>
          </w:p>
          <w:p w14:paraId="76765B8F" w14:textId="77777777" w:rsidR="000D2058" w:rsidRDefault="000D2058" w:rsidP="007F4CE7">
            <w:pPr>
              <w:pStyle w:val="TableBullet1"/>
            </w:pPr>
            <w:r>
              <w:t>New Zealand School Trustees Association</w:t>
            </w:r>
          </w:p>
          <w:p w14:paraId="35A373C9" w14:textId="77777777" w:rsidR="000D2058" w:rsidRDefault="000D2058" w:rsidP="007F4CE7">
            <w:pPr>
              <w:pStyle w:val="TableBullet1"/>
            </w:pPr>
            <w:r>
              <w:t>Office of Film and Literature Classification</w:t>
            </w:r>
          </w:p>
          <w:p w14:paraId="5A9DC327" w14:textId="77777777" w:rsidR="000D2058" w:rsidRDefault="000D2058" w:rsidP="007F4CE7">
            <w:pPr>
              <w:pStyle w:val="TableBullet1"/>
            </w:pPr>
            <w:r>
              <w:t>Southland District Council</w:t>
            </w:r>
          </w:p>
          <w:p w14:paraId="7154A6E7" w14:textId="77777777" w:rsidR="000D2058" w:rsidRDefault="000D2058" w:rsidP="007F4CE7">
            <w:pPr>
              <w:pStyle w:val="TableBullet1"/>
            </w:pPr>
            <w:r>
              <w:t>T</w:t>
            </w:r>
            <w:r w:rsidR="00237EF1">
              <w:t xml:space="preserve">echnical </w:t>
            </w:r>
            <w:r>
              <w:t>A</w:t>
            </w:r>
            <w:r w:rsidR="00237EF1">
              <w:t>dvisory Services (on behalf of the District Health Boards)</w:t>
            </w:r>
          </w:p>
          <w:p w14:paraId="5793CFCC" w14:textId="77777777" w:rsidR="000D2058" w:rsidRDefault="000D2058" w:rsidP="007F4CE7">
            <w:pPr>
              <w:pStyle w:val="TableBullet1"/>
            </w:pPr>
            <w:r>
              <w:t>Tauranga City Council</w:t>
            </w:r>
          </w:p>
          <w:p w14:paraId="5C97A3E4" w14:textId="77777777" w:rsidR="008A5CA1" w:rsidRDefault="000D2058" w:rsidP="007F4CE7">
            <w:pPr>
              <w:pStyle w:val="TableBullet1"/>
            </w:pPr>
            <w:r w:rsidRPr="00237EF1">
              <w:t>Wellington City Council</w:t>
            </w:r>
            <w:r>
              <w:t xml:space="preserve"> </w:t>
            </w:r>
          </w:p>
        </w:tc>
      </w:tr>
    </w:tbl>
    <w:p w14:paraId="3DAE0D73" w14:textId="77777777" w:rsidR="008A5CA1" w:rsidRPr="00AB1E12" w:rsidRDefault="00237EF1" w:rsidP="00F02B7B">
      <w:pPr>
        <w:pStyle w:val="Heading3"/>
        <w:keepNext w:val="0"/>
        <w:keepLines w:val="0"/>
        <w:widowControl w:val="0"/>
      </w:pPr>
      <w:r>
        <w:t>Guidance materials</w:t>
      </w:r>
    </w:p>
    <w:p w14:paraId="5946DBBA" w14:textId="77777777" w:rsidR="00217A08" w:rsidRDefault="00237EF1" w:rsidP="00BC2467">
      <w:pPr>
        <w:pStyle w:val="BodyText"/>
        <w:widowControl w:val="0"/>
      </w:pPr>
      <w:r>
        <w:t xml:space="preserve">As a part of my larger website review, I also turned my mind </w:t>
      </w:r>
      <w:r w:rsidR="00A37A90">
        <w:t xml:space="preserve">to </w:t>
      </w:r>
      <w:r w:rsidR="00011B37">
        <w:t xml:space="preserve">the guidance material available to assist agencies in complying with their obligations. </w:t>
      </w:r>
      <w:r w:rsidR="001E72E8">
        <w:t>I</w:t>
      </w:r>
      <w:r w:rsidR="008A5CA1">
        <w:t xml:space="preserve"> continue to publish new </w:t>
      </w:r>
      <w:r w:rsidR="00BA0FBE">
        <w:t xml:space="preserve">official information </w:t>
      </w:r>
      <w:r w:rsidR="008A5CA1">
        <w:t>guides to replace t</w:t>
      </w:r>
      <w:r w:rsidR="008A5CA1" w:rsidRPr="00FE16F7">
        <w:t xml:space="preserve">he </w:t>
      </w:r>
      <w:r w:rsidR="008A5CA1" w:rsidRPr="009F6424">
        <w:rPr>
          <w:rStyle w:val="Italics"/>
        </w:rPr>
        <w:t>Ombudsman Practice Guidelines</w:t>
      </w:r>
      <w:r w:rsidR="008A5CA1" w:rsidRPr="00FE16F7">
        <w:t>.</w:t>
      </w:r>
      <w:r w:rsidR="008A5CA1">
        <w:t xml:space="preserve"> </w:t>
      </w:r>
      <w:r w:rsidR="00011B37">
        <w:t xml:space="preserve">These </w:t>
      </w:r>
      <w:r w:rsidR="008A5CA1">
        <w:t xml:space="preserve">guides </w:t>
      </w:r>
      <w:r w:rsidR="008A5CA1" w:rsidRPr="00FE16F7">
        <w:t>are supplemented by case notes and opinions.</w:t>
      </w:r>
      <w:r w:rsidR="008A5CA1">
        <w:t xml:space="preserve"> </w:t>
      </w:r>
      <w:r w:rsidR="00953022" w:rsidRPr="00953022">
        <w:t>A significant number of case notes from past complaints were produced to improve the case note catalogue on the</w:t>
      </w:r>
      <w:r w:rsidR="00BA0FBE">
        <w:t xml:space="preserve"> new</w:t>
      </w:r>
      <w:r w:rsidR="00953022" w:rsidRPr="00953022">
        <w:t xml:space="preserve"> Ombudsman website.</w:t>
      </w:r>
    </w:p>
    <w:tbl>
      <w:tblPr>
        <w:tblStyle w:val="TableBox"/>
        <w:tblW w:w="9297" w:type="dxa"/>
        <w:tblLayout w:type="fixed"/>
        <w:tblCellMar>
          <w:bottom w:w="0" w:type="dxa"/>
        </w:tblCellMar>
        <w:tblLook w:val="04A0" w:firstRow="1" w:lastRow="0" w:firstColumn="1" w:lastColumn="0" w:noHBand="0" w:noVBand="1"/>
        <w:tblCaption w:val="Box to emphasise text"/>
      </w:tblPr>
      <w:tblGrid>
        <w:gridCol w:w="9297"/>
      </w:tblGrid>
      <w:tr w:rsidR="00217A08" w14:paraId="0B218D82" w14:textId="77777777" w:rsidTr="00A234EB">
        <w:tc>
          <w:tcPr>
            <w:tcW w:w="9514" w:type="dxa"/>
          </w:tcPr>
          <w:p w14:paraId="0E685E71" w14:textId="77777777" w:rsidR="00217A08" w:rsidRDefault="00217A08" w:rsidP="00A234EB">
            <w:pPr>
              <w:pStyle w:val="Headingboxtexttop"/>
              <w:tabs>
                <w:tab w:val="num" w:pos="567"/>
              </w:tabs>
            </w:pPr>
            <w:r>
              <w:t>G</w:t>
            </w:r>
            <w:r w:rsidRPr="00217A08">
              <w:t xml:space="preserve">uidance materials produced </w:t>
            </w:r>
            <w:r w:rsidR="005E04A8">
              <w:t>in 2019/20</w:t>
            </w:r>
          </w:p>
          <w:p w14:paraId="54FBCFCB" w14:textId="15C00234" w:rsidR="00217A08" w:rsidRPr="007F4CE7" w:rsidRDefault="005B795D" w:rsidP="00F95200">
            <w:pPr>
              <w:pStyle w:val="Boxsmallbullet1"/>
              <w:rPr>
                <w:sz w:val="22"/>
              </w:rPr>
            </w:pPr>
            <w:hyperlink r:id="rId13" w:history="1">
              <w:r w:rsidR="00217A08" w:rsidRPr="007F4CE7">
                <w:rPr>
                  <w:rStyle w:val="Hyperlink"/>
                  <w:sz w:val="22"/>
                </w:rPr>
                <w:t>Names and contact details of public sector employees</w:t>
              </w:r>
            </w:hyperlink>
          </w:p>
          <w:p w14:paraId="5B5F882B" w14:textId="02215225" w:rsidR="00217A08" w:rsidRPr="007F4CE7" w:rsidRDefault="005B795D" w:rsidP="00F95200">
            <w:pPr>
              <w:pStyle w:val="Boxsmallbullet1"/>
              <w:rPr>
                <w:sz w:val="22"/>
              </w:rPr>
            </w:pPr>
            <w:hyperlink r:id="rId14" w:history="1">
              <w:r w:rsidR="00217A08" w:rsidRPr="007F4CE7">
                <w:rPr>
                  <w:rStyle w:val="Hyperlink"/>
                  <w:sz w:val="22"/>
                </w:rPr>
                <w:t>Proactive release: Good practices for proactive release of official information</w:t>
              </w:r>
            </w:hyperlink>
          </w:p>
          <w:p w14:paraId="7AF7C943" w14:textId="53591355" w:rsidR="00217A08" w:rsidRPr="007F4CE7" w:rsidRDefault="005B795D" w:rsidP="00F95200">
            <w:pPr>
              <w:pStyle w:val="Boxsmallbullet1"/>
              <w:rPr>
                <w:rStyle w:val="Hyperlink"/>
                <w:sz w:val="22"/>
              </w:rPr>
            </w:pPr>
            <w:hyperlink r:id="rId15" w:history="1">
              <w:r w:rsidR="00217A08" w:rsidRPr="007F4CE7">
                <w:rPr>
                  <w:rStyle w:val="Hyperlink"/>
                  <w:sz w:val="22"/>
                </w:rPr>
                <w:t>Official information requests during COVID-19 FAQs</w:t>
              </w:r>
            </w:hyperlink>
          </w:p>
          <w:p w14:paraId="0EF101E9" w14:textId="1B477F12" w:rsidR="00217A08" w:rsidRPr="007F4CE7" w:rsidRDefault="005B795D" w:rsidP="00F95200">
            <w:pPr>
              <w:pStyle w:val="Boxsmallbullet1"/>
              <w:rPr>
                <w:sz w:val="22"/>
              </w:rPr>
            </w:pPr>
            <w:hyperlink r:id="rId16" w:history="1">
              <w:r w:rsidR="00217A08" w:rsidRPr="007F4CE7">
                <w:rPr>
                  <w:rStyle w:val="Hyperlink"/>
                  <w:sz w:val="22"/>
                </w:rPr>
                <w:t>Statement of Principles for places of detention managing COVID-19</w:t>
              </w:r>
            </w:hyperlink>
          </w:p>
          <w:p w14:paraId="4EE2F0C8" w14:textId="20E2A231" w:rsidR="00217A08" w:rsidRPr="007F4CE7" w:rsidRDefault="005B795D" w:rsidP="00F95200">
            <w:pPr>
              <w:pStyle w:val="Boxsmallbullet1"/>
              <w:rPr>
                <w:rStyle w:val="Hyperlink"/>
                <w:color w:val="1E1E1E"/>
                <w:sz w:val="22"/>
                <w:u w:val="none"/>
              </w:rPr>
            </w:pPr>
            <w:hyperlink r:id="rId17" w:history="1">
              <w:r w:rsidR="00217A08" w:rsidRPr="007F4CE7">
                <w:rPr>
                  <w:rStyle w:val="Hyperlink"/>
                  <w:sz w:val="22"/>
                </w:rPr>
                <w:t>Criteria for OPCAT COVID-19 inspections</w:t>
              </w:r>
            </w:hyperlink>
          </w:p>
          <w:p w14:paraId="733BF7C7" w14:textId="317504AC" w:rsidR="00217A08" w:rsidRPr="007F4CE7" w:rsidRDefault="00217A08" w:rsidP="00F95200">
            <w:pPr>
              <w:pStyle w:val="Boxsmallbullet1"/>
              <w:rPr>
                <w:sz w:val="22"/>
              </w:rPr>
            </w:pPr>
            <w:r w:rsidRPr="007F4CE7">
              <w:rPr>
                <w:rStyle w:val="Hyperlink"/>
                <w:sz w:val="22"/>
              </w:rPr>
              <w:t xml:space="preserve">Aged care monitoring fact </w:t>
            </w:r>
            <w:hyperlink r:id="rId18" w:history="1">
              <w:r w:rsidRPr="007F4CE7">
                <w:rPr>
                  <w:rStyle w:val="Hyperlink"/>
                  <w:sz w:val="22"/>
                </w:rPr>
                <w:t>sheet</w:t>
              </w:r>
            </w:hyperlink>
          </w:p>
          <w:p w14:paraId="5E9D864D" w14:textId="77777777" w:rsidR="00217A08" w:rsidRPr="007F4CE7" w:rsidRDefault="00217A08" w:rsidP="00F95200">
            <w:pPr>
              <w:pStyle w:val="Boxsmallbullet1"/>
              <w:rPr>
                <w:sz w:val="22"/>
              </w:rPr>
            </w:pPr>
            <w:r w:rsidRPr="007F4CE7">
              <w:rPr>
                <w:sz w:val="22"/>
              </w:rPr>
              <w:t>241 new or updated opinions and case notes on key complaints</w:t>
            </w:r>
          </w:p>
          <w:p w14:paraId="5C361F4C" w14:textId="77777777" w:rsidR="00217A08" w:rsidRPr="007F4CE7" w:rsidRDefault="00217A08" w:rsidP="00F95200">
            <w:pPr>
              <w:pStyle w:val="Boxsmallbullet1"/>
              <w:rPr>
                <w:sz w:val="22"/>
              </w:rPr>
            </w:pPr>
            <w:r w:rsidRPr="007F4CE7">
              <w:rPr>
                <w:sz w:val="22"/>
              </w:rPr>
              <w:t xml:space="preserve">two updated template letters </w:t>
            </w:r>
          </w:p>
          <w:p w14:paraId="235B92F5" w14:textId="77777777" w:rsidR="00217A08" w:rsidRPr="007F4CE7" w:rsidRDefault="001D0C6B" w:rsidP="00F95200">
            <w:pPr>
              <w:pStyle w:val="Boxsmallbullet1"/>
              <w:rPr>
                <w:sz w:val="22"/>
              </w:rPr>
            </w:pPr>
            <w:r w:rsidRPr="007F4CE7">
              <w:rPr>
                <w:sz w:val="22"/>
              </w:rPr>
              <w:t>four</w:t>
            </w:r>
            <w:r w:rsidR="00217A08" w:rsidRPr="007F4CE7">
              <w:rPr>
                <w:sz w:val="22"/>
              </w:rPr>
              <w:t xml:space="preserve"> e-newsletters </w:t>
            </w:r>
          </w:p>
        </w:tc>
      </w:tr>
    </w:tbl>
    <w:p w14:paraId="213E792A" w14:textId="77777777" w:rsidR="00217A08" w:rsidRDefault="00217A08">
      <w:pPr>
        <w:pStyle w:val="Whitespace"/>
      </w:pPr>
    </w:p>
    <w:p w14:paraId="74BAF7ED" w14:textId="71411046" w:rsidR="00F31CFD" w:rsidRDefault="00F31CFD" w:rsidP="00F31CFD">
      <w:pPr>
        <w:pStyle w:val="BodyText"/>
      </w:pPr>
      <w:r>
        <w:t xml:space="preserve">I also continued my work with </w:t>
      </w:r>
      <w:r w:rsidRPr="00217A08">
        <w:t>Te Kawa Mataaho</w:t>
      </w:r>
      <w:r>
        <w:t xml:space="preserve"> (</w:t>
      </w:r>
      <w:r w:rsidRPr="00217A08">
        <w:t>Public Service Commission</w:t>
      </w:r>
      <w:r>
        <w:t xml:space="preserve">) to release data regarding agency compliance with the Official Information Act (OIA). </w:t>
      </w:r>
      <w:r>
        <w:rPr>
          <w:rStyle w:val="Italics"/>
          <w:i w:val="0"/>
        </w:rPr>
        <w:t xml:space="preserve">My OIA and </w:t>
      </w:r>
      <w:r w:rsidRPr="00A37A90">
        <w:rPr>
          <w:rStyle w:val="Italics"/>
          <w:i w:val="0"/>
        </w:rPr>
        <w:t xml:space="preserve">Local Government Official Information and Meetings Act </w:t>
      </w:r>
      <w:r>
        <w:rPr>
          <w:rStyle w:val="Italics"/>
          <w:i w:val="0"/>
        </w:rPr>
        <w:t xml:space="preserve">(LGOIMA) complaints </w:t>
      </w:r>
      <w:r w:rsidRPr="00E77041">
        <w:t>data</w:t>
      </w:r>
      <w:r>
        <w:t xml:space="preserve"> was</w:t>
      </w:r>
      <w:r w:rsidRPr="00E77041">
        <w:t xml:space="preserve"> r</w:t>
      </w:r>
      <w:r w:rsidRPr="00573802">
        <w:t xml:space="preserve">eleased </w:t>
      </w:r>
      <w:r>
        <w:t xml:space="preserve">on my </w:t>
      </w:r>
      <w:hyperlink r:id="rId19" w:history="1">
        <w:r w:rsidRPr="00E77041">
          <w:rPr>
            <w:rStyle w:val="Hyperlink"/>
          </w:rPr>
          <w:t>website</w:t>
        </w:r>
      </w:hyperlink>
      <w:r>
        <w:rPr>
          <w:rStyle w:val="Hyperlink"/>
        </w:rPr>
        <w:t xml:space="preserve"> </w:t>
      </w:r>
      <w:r w:rsidRPr="00573802">
        <w:t xml:space="preserve">in </w:t>
      </w:r>
      <w:r w:rsidR="0056423E" w:rsidRPr="005E50F2">
        <w:t xml:space="preserve">September </w:t>
      </w:r>
      <w:r w:rsidR="0056423E">
        <w:t xml:space="preserve">2019 and </w:t>
      </w:r>
      <w:r>
        <w:t xml:space="preserve">March 2020. </w:t>
      </w:r>
    </w:p>
    <w:p w14:paraId="43C63DBA" w14:textId="681A4CCE" w:rsidR="00E849E6" w:rsidRPr="00FE16F7" w:rsidRDefault="005B795D" w:rsidP="008A5CA1">
      <w:pPr>
        <w:pStyle w:val="BodyText"/>
      </w:pPr>
      <w:hyperlink w:anchor="Contents" w:history="1">
        <w:r w:rsidR="00E849E6" w:rsidRPr="00F5248A">
          <w:rPr>
            <w:rStyle w:val="Hyperlink"/>
          </w:rPr>
          <w:t>Back to contents</w:t>
        </w:r>
      </w:hyperlink>
    </w:p>
    <w:p w14:paraId="273AE183" w14:textId="77777777" w:rsidR="008A5CA1" w:rsidRDefault="008A5CA1" w:rsidP="007276E2">
      <w:pPr>
        <w:pStyle w:val="Heading2"/>
      </w:pPr>
      <w:bookmarkStart w:id="59" w:name="_Formal_consultation_to"/>
      <w:bookmarkStart w:id="60" w:name="_Ref54687146"/>
      <w:bookmarkEnd w:id="59"/>
      <w:r w:rsidRPr="008A5CA1">
        <w:t>Formal consultation to assist public sector agencies to make specific decisions</w:t>
      </w:r>
      <w:bookmarkEnd w:id="60"/>
    </w:p>
    <w:p w14:paraId="18EA295F" w14:textId="77777777" w:rsidR="0007114F" w:rsidRDefault="0007114F" w:rsidP="0007114F">
      <w:pPr>
        <w:pStyle w:val="BodyText"/>
      </w:pPr>
      <w:r>
        <w:t>Providing sound and timely input to public sector agencies as part of a formal consultation process provides the public and stakeholders with confidence that agencies are receiving a relevant, independent perspective when they are making decisions and reporting. I do this by:</w:t>
      </w:r>
    </w:p>
    <w:p w14:paraId="6A41DFA0" w14:textId="77777777" w:rsidR="0007114F" w:rsidRPr="00F95200" w:rsidRDefault="0007114F" w:rsidP="00F95200">
      <w:pPr>
        <w:pStyle w:val="Bullet1"/>
      </w:pPr>
      <w:r w:rsidRPr="00F95200">
        <w:t>meeting both legislated and agreed requirements for the Ombudsman’s formal input in decision making; and</w:t>
      </w:r>
    </w:p>
    <w:p w14:paraId="7C2CED37" w14:textId="77777777" w:rsidR="0007114F" w:rsidRPr="00F95200" w:rsidRDefault="0007114F" w:rsidP="00F95200">
      <w:pPr>
        <w:pStyle w:val="Bullet1"/>
      </w:pPr>
      <w:r w:rsidRPr="00F95200">
        <w:t>participating effectively in advisory and working groups.</w:t>
      </w:r>
    </w:p>
    <w:p w14:paraId="62954CFE" w14:textId="77777777" w:rsidR="0007114F" w:rsidRDefault="0007114F" w:rsidP="0007114F">
      <w:pPr>
        <w:pStyle w:val="BodyText"/>
      </w:pPr>
      <w:r>
        <w:t>I ensure agencies and Parliament are aware that I can provide formal input where relevant and that appropriate frameworks are developed to provide input while remaining independent.</w:t>
      </w:r>
    </w:p>
    <w:p w14:paraId="14B7896A" w14:textId="77777777" w:rsidR="005B1FDA" w:rsidRDefault="00CB184A" w:rsidP="00776C3B">
      <w:pPr>
        <w:pStyle w:val="BodyText"/>
      </w:pPr>
      <w:r>
        <w:t xml:space="preserve">In </w:t>
      </w:r>
      <w:r w:rsidR="00776C3B">
        <w:t>201</w:t>
      </w:r>
      <w:r w:rsidR="005E04A8">
        <w:t>9</w:t>
      </w:r>
      <w:r w:rsidR="00776C3B">
        <w:t>/</w:t>
      </w:r>
      <w:r w:rsidR="005E04A8">
        <w:t>20</w:t>
      </w:r>
      <w:r w:rsidR="00140352">
        <w:t>,</w:t>
      </w:r>
      <w:r w:rsidR="00776C3B">
        <w:t xml:space="preserve"> </w:t>
      </w:r>
      <w:r w:rsidR="001E72E8">
        <w:t xml:space="preserve">I </w:t>
      </w:r>
      <w:r w:rsidR="00776C3B">
        <w:t>provide</w:t>
      </w:r>
      <w:r w:rsidR="00314A8D">
        <w:t>d</w:t>
      </w:r>
      <w:r w:rsidR="00776C3B">
        <w:t xml:space="preserve"> comment </w:t>
      </w:r>
      <w:r w:rsidR="00776C3B" w:rsidRPr="00B878A6">
        <w:t xml:space="preserve">to </w:t>
      </w:r>
      <w:r w:rsidR="00A2072C">
        <w:t>Waka Kotahi (New Zealand Transport Agency)</w:t>
      </w:r>
      <w:r w:rsidR="00776C3B" w:rsidRPr="00B878A6">
        <w:t xml:space="preserve"> on </w:t>
      </w:r>
      <w:r w:rsidR="005E04A8">
        <w:t xml:space="preserve">16 </w:t>
      </w:r>
      <w:r w:rsidR="00776C3B" w:rsidRPr="00B878A6">
        <w:t>applications for authorised access to personal information on the motor vehicle register</w:t>
      </w:r>
      <w:r w:rsidR="005B1FDA">
        <w:t>.</w:t>
      </w:r>
      <w:r w:rsidR="00776C3B">
        <w:rPr>
          <w:rStyle w:val="FootnoteReference"/>
        </w:rPr>
        <w:footnoteReference w:id="19"/>
      </w:r>
    </w:p>
    <w:p w14:paraId="601F5284" w14:textId="77777777" w:rsidR="00776C3B" w:rsidRDefault="005B1FDA" w:rsidP="00776C3B">
      <w:pPr>
        <w:pStyle w:val="BodyText"/>
      </w:pPr>
      <w:r>
        <w:t>I also provided comment</w:t>
      </w:r>
      <w:r w:rsidR="00776C3B">
        <w:t xml:space="preserve"> to the Cabinet Office on the annual release of information from the Ministerial </w:t>
      </w:r>
      <w:r w:rsidR="00020B20">
        <w:t>C</w:t>
      </w:r>
      <w:r w:rsidR="00776C3B">
        <w:t xml:space="preserve">onflicts of </w:t>
      </w:r>
      <w:r w:rsidR="00020B20">
        <w:t>I</w:t>
      </w:r>
      <w:r w:rsidR="00776C3B">
        <w:t xml:space="preserve">nterest register. </w:t>
      </w:r>
    </w:p>
    <w:p w14:paraId="2CAD75D6" w14:textId="540172F2" w:rsidR="00D273BD" w:rsidRDefault="005B795D" w:rsidP="00D273BD">
      <w:pPr>
        <w:pStyle w:val="BodyText"/>
        <w:rPr>
          <w:rStyle w:val="Hyperlink"/>
        </w:rPr>
      </w:pPr>
      <w:hyperlink w:anchor="Contents" w:history="1">
        <w:r w:rsidR="00D273BD" w:rsidRPr="00F5248A">
          <w:rPr>
            <w:rStyle w:val="Hyperlink"/>
          </w:rPr>
          <w:t>Back to contents</w:t>
        </w:r>
      </w:hyperlink>
    </w:p>
    <w:p w14:paraId="158E4B17" w14:textId="77777777" w:rsidR="008A5CA1" w:rsidRDefault="008A5CA1" w:rsidP="007276E2">
      <w:pPr>
        <w:pStyle w:val="Heading2"/>
      </w:pPr>
      <w:bookmarkStart w:id="61" w:name="_Enable_serious_wrongdoing"/>
      <w:bookmarkStart w:id="62" w:name="_Ref54687153"/>
      <w:bookmarkEnd w:id="61"/>
      <w:r w:rsidRPr="008A5CA1">
        <w:t>Enable serious wrongdoing to be disclosed and investigated and whistleblowers protected</w:t>
      </w:r>
      <w:bookmarkEnd w:id="62"/>
    </w:p>
    <w:p w14:paraId="0EE37B9D" w14:textId="77777777" w:rsidR="0007114F" w:rsidRDefault="0007114F" w:rsidP="0007114F">
      <w:pPr>
        <w:pStyle w:val="BodyText"/>
      </w:pPr>
      <w:r w:rsidRPr="00FD7718">
        <w:t xml:space="preserve">Ensuring that </w:t>
      </w:r>
      <w:r>
        <w:t>‘</w:t>
      </w:r>
      <w:r w:rsidRPr="00FD7718">
        <w:t>serious wrongdoing</w:t>
      </w:r>
      <w:r>
        <w:t>’</w:t>
      </w:r>
      <w:r>
        <w:rPr>
          <w:rStyle w:val="FootnoteReference"/>
        </w:rPr>
        <w:footnoteReference w:id="20"/>
      </w:r>
      <w:r w:rsidRPr="00FD7718">
        <w:t xml:space="preserve"> is brought to light and investigated by appropriate authorities will lead to greater transparency and accountability and ultimately </w:t>
      </w:r>
      <w:r>
        <w:t>higher</w:t>
      </w:r>
      <w:r w:rsidRPr="00FD7718">
        <w:t xml:space="preserve"> trust in government.</w:t>
      </w:r>
      <w:r w:rsidRPr="009707BC">
        <w:t xml:space="preserve"> </w:t>
      </w:r>
      <w:r>
        <w:t xml:space="preserve">Mechanisms to expose and </w:t>
      </w:r>
      <w:r w:rsidRPr="001D7A7C">
        <w:t xml:space="preserve">investigate </w:t>
      </w:r>
      <w:r>
        <w:t>‘</w:t>
      </w:r>
      <w:r w:rsidRPr="001D7A7C">
        <w:t>serious wrongdoing</w:t>
      </w:r>
      <w:r>
        <w:t xml:space="preserve">’ will only be effective when whistleblowers are protected and people have the confidence to come forward. </w:t>
      </w:r>
    </w:p>
    <w:p w14:paraId="4809E9BC" w14:textId="77777777" w:rsidR="0007114F" w:rsidRDefault="0007114F" w:rsidP="0007114F">
      <w:pPr>
        <w:pStyle w:val="BodyText"/>
      </w:pPr>
      <w:r w:rsidRPr="00FD7718">
        <w:t xml:space="preserve">Insiders will often be the only ones with knowledge of </w:t>
      </w:r>
      <w:r>
        <w:t>‘</w:t>
      </w:r>
      <w:r w:rsidRPr="00FD7718">
        <w:t>serious wrongdoing.</w:t>
      </w:r>
      <w:r>
        <w:t>’</w:t>
      </w:r>
      <w:r w:rsidRPr="00FD7718">
        <w:t xml:space="preserve"> If they are unaware of the protections available to them, or do not feel confident raising their concerns throu</w:t>
      </w:r>
      <w:r>
        <w:t>gh the appropriate channels, these</w:t>
      </w:r>
      <w:r w:rsidRPr="00FD7718">
        <w:t xml:space="preserve"> incidents could go undetected.</w:t>
      </w:r>
    </w:p>
    <w:p w14:paraId="3F58B7E0" w14:textId="3D89E3F3" w:rsidR="0007114F" w:rsidRDefault="0007114F" w:rsidP="0007114F">
      <w:pPr>
        <w:pStyle w:val="BodyText"/>
        <w:keepLines/>
      </w:pPr>
      <w:r>
        <w:t>The Protected Disclosures Act 2000 aims to encourage people to report ‘serious wrongdoing’ in their workplace (in the public or private sector) by providing protection for ‘employees’</w:t>
      </w:r>
      <w:r>
        <w:rPr>
          <w:rStyle w:val="FootnoteReference"/>
        </w:rPr>
        <w:footnoteReference w:id="21"/>
      </w:r>
      <w:r w:rsidRPr="00FD7718">
        <w:t xml:space="preserve"> </w:t>
      </w:r>
      <w:r>
        <w:t xml:space="preserve">who want to ‘blow the whistle’. My role under this Act is to: </w:t>
      </w:r>
    </w:p>
    <w:p w14:paraId="4992D967" w14:textId="77777777" w:rsidR="0007114F" w:rsidRDefault="0007114F" w:rsidP="00045276">
      <w:pPr>
        <w:pStyle w:val="Bullet1"/>
      </w:pPr>
      <w:r>
        <w:t>raise general awareness of whistleblowing processes and protections;</w:t>
      </w:r>
    </w:p>
    <w:p w14:paraId="21AB13C5" w14:textId="77777777" w:rsidR="0007114F" w:rsidRDefault="0007114F" w:rsidP="00045276">
      <w:pPr>
        <w:pStyle w:val="Bullet1"/>
      </w:pPr>
      <w:r>
        <w:t>provide advice and guidance, both to potential whistleblowers and to organisations;</w:t>
      </w:r>
    </w:p>
    <w:p w14:paraId="3B222DC1" w14:textId="77777777" w:rsidR="0007114F" w:rsidRDefault="0007114F" w:rsidP="00045276">
      <w:pPr>
        <w:pStyle w:val="Bullet1"/>
      </w:pPr>
      <w:r>
        <w:t>review and guide public sector agencies in their investigations of serious wrongdoing; and</w:t>
      </w:r>
    </w:p>
    <w:p w14:paraId="29422001" w14:textId="77777777" w:rsidR="0007114F" w:rsidRDefault="0007114F" w:rsidP="00045276">
      <w:pPr>
        <w:pStyle w:val="Bullet1"/>
      </w:pPr>
      <w:r>
        <w:t>receive and investigate disclosures of ‘serious wrongdoing,’ or refer them to other authorities as appropriate.</w:t>
      </w:r>
    </w:p>
    <w:p w14:paraId="68D28680" w14:textId="77777777" w:rsidR="0007114F" w:rsidRDefault="0007114F" w:rsidP="0007114F">
      <w:pPr>
        <w:pStyle w:val="BodyText"/>
      </w:pPr>
      <w:r>
        <w:t xml:space="preserve">Any issues brought to my attention, which do not meet the threshold of ‘serious wrongdoing,’ may be considered under my general powers to investigate public sector administration and decision making. </w:t>
      </w:r>
    </w:p>
    <w:p w14:paraId="6F7EC8EB" w14:textId="12FBE060" w:rsidR="003150C2" w:rsidRDefault="003150C2" w:rsidP="003150C2">
      <w:pPr>
        <w:pStyle w:val="BodyText"/>
      </w:pPr>
      <w:r w:rsidRPr="005723EA">
        <w:t xml:space="preserve">In </w:t>
      </w:r>
      <w:r w:rsidR="004E1D75">
        <w:t>2019/20</w:t>
      </w:r>
      <w:r w:rsidRPr="00E6255C">
        <w:t xml:space="preserve">, </w:t>
      </w:r>
      <w:r w:rsidR="00B605AF">
        <w:t>I</w:t>
      </w:r>
      <w:r w:rsidR="00B605AF" w:rsidRPr="00E6255C">
        <w:t xml:space="preserve"> </w:t>
      </w:r>
      <w:r w:rsidRPr="00E6255C">
        <w:t xml:space="preserve">completed </w:t>
      </w:r>
      <w:r w:rsidR="004E1D75">
        <w:t>74</w:t>
      </w:r>
      <w:r w:rsidR="004E1D75" w:rsidRPr="00E6255C">
        <w:t xml:space="preserve"> </w:t>
      </w:r>
      <w:r w:rsidR="005B1FDA">
        <w:t>enquiries</w:t>
      </w:r>
      <w:r w:rsidR="005B1FDA" w:rsidRPr="00E6255C">
        <w:t xml:space="preserve"> </w:t>
      </w:r>
      <w:r w:rsidR="005B1FDA">
        <w:t xml:space="preserve">and </w:t>
      </w:r>
      <w:r w:rsidRPr="00E6255C">
        <w:t>requests</w:t>
      </w:r>
      <w:r>
        <w:t xml:space="preserve"> for</w:t>
      </w:r>
      <w:r w:rsidRPr="00E6255C">
        <w:t xml:space="preserve"> </w:t>
      </w:r>
      <w:r>
        <w:t>advice and guidance.</w:t>
      </w:r>
      <w:r w:rsidRPr="00E6255C">
        <w:t xml:space="preserve"> </w:t>
      </w:r>
      <w:r w:rsidR="00B605AF">
        <w:t>I</w:t>
      </w:r>
      <w:r w:rsidR="00B605AF" w:rsidRPr="00E6255C">
        <w:t xml:space="preserve"> </w:t>
      </w:r>
      <w:r w:rsidRPr="00E6255C">
        <w:t xml:space="preserve">completed </w:t>
      </w:r>
      <w:r w:rsidR="004E1D75">
        <w:t>all</w:t>
      </w:r>
      <w:r>
        <w:t xml:space="preserve"> of these </w:t>
      </w:r>
      <w:r w:rsidRPr="005723EA">
        <w:t>within three</w:t>
      </w:r>
      <w:r>
        <w:t xml:space="preserve"> months of receipt</w:t>
      </w:r>
      <w:r w:rsidRPr="005723EA">
        <w:t>.</w:t>
      </w:r>
      <w:r>
        <w:t xml:space="preserve"> </w:t>
      </w:r>
      <w:r w:rsidR="001D0C6B">
        <w:t xml:space="preserve">The number of protected disclosures enquiries and requests I received this year </w:t>
      </w:r>
      <w:r w:rsidR="007C16A7">
        <w:t>continues to demonstrate high demand</w:t>
      </w:r>
      <w:r w:rsidR="009854C6">
        <w:t xml:space="preserve"> </w:t>
      </w:r>
      <w:r w:rsidR="001D0C6B">
        <w:t xml:space="preserve"> for my services in this area. </w:t>
      </w:r>
    </w:p>
    <w:tbl>
      <w:tblPr>
        <w:tblStyle w:val="TableBox"/>
        <w:tblW w:w="9297" w:type="dxa"/>
        <w:tblLayout w:type="fixed"/>
        <w:tblCellMar>
          <w:bottom w:w="0" w:type="dxa"/>
        </w:tblCellMar>
        <w:tblLook w:val="04A0" w:firstRow="1" w:lastRow="0" w:firstColumn="1" w:lastColumn="0" w:noHBand="0" w:noVBand="1"/>
        <w:tblCaption w:val="Box to emphasise text"/>
      </w:tblPr>
      <w:tblGrid>
        <w:gridCol w:w="9297"/>
      </w:tblGrid>
      <w:tr w:rsidR="005176F7" w14:paraId="41A76283" w14:textId="77777777" w:rsidTr="0081525B">
        <w:tc>
          <w:tcPr>
            <w:tcW w:w="9514" w:type="dxa"/>
          </w:tcPr>
          <w:p w14:paraId="6DEED934" w14:textId="77777777" w:rsidR="005176F7" w:rsidRDefault="005176F7" w:rsidP="00F95200">
            <w:pPr>
              <w:pStyle w:val="Headingboxtexttop"/>
            </w:pPr>
            <w:r w:rsidRPr="005176F7">
              <w:t xml:space="preserve">Failure to appropriately apply Protected Disclosures Act </w:t>
            </w:r>
          </w:p>
          <w:p w14:paraId="7F0F8737" w14:textId="77777777" w:rsidR="005176F7" w:rsidRPr="005176F7" w:rsidRDefault="005176F7" w:rsidP="00D35F1C">
            <w:pPr>
              <w:pStyle w:val="Boxsmalltext"/>
            </w:pPr>
            <w:r w:rsidRPr="005176F7">
              <w:t>Disclosures were made by an employee (</w:t>
            </w:r>
            <w:r w:rsidR="001D0C6B" w:rsidRPr="00D35F1C">
              <w:t xml:space="preserve">the </w:t>
            </w:r>
            <w:r w:rsidRPr="005176F7">
              <w:t xml:space="preserve">complainant) to relevant agencies of regulatory breaches by </w:t>
            </w:r>
            <w:r w:rsidR="001D0C6B">
              <w:t>their</w:t>
            </w:r>
            <w:r w:rsidRPr="005176F7">
              <w:t xml:space="preserve"> employer</w:t>
            </w:r>
            <w:r w:rsidR="001D0C6B">
              <w:t xml:space="preserve">. These </w:t>
            </w:r>
            <w:r w:rsidR="000C183B">
              <w:t>disclosures</w:t>
            </w:r>
            <w:r w:rsidRPr="005176F7">
              <w:t xml:space="preserve"> resulted in a number of regulatory breaches being found by the relevant agencies, and remedial action required</w:t>
            </w:r>
            <w:r w:rsidR="001D0C6B">
              <w:t xml:space="preserve"> of the employer</w:t>
            </w:r>
            <w:r w:rsidRPr="005176F7">
              <w:t>. The employer</w:t>
            </w:r>
            <w:r w:rsidR="001D0C6B">
              <w:t xml:space="preserve"> then</w:t>
            </w:r>
            <w:r w:rsidRPr="005176F7">
              <w:t xml:space="preserve"> instigated serious misconduct action against the complainant, and subsequently notified the licencing and disciplinary body that regulated the complainant’s profession </w:t>
            </w:r>
            <w:r w:rsidR="001D0C6B">
              <w:t xml:space="preserve">(the professional body) </w:t>
            </w:r>
            <w:r w:rsidRPr="005176F7">
              <w:t>of allegations of ‘serious misconduct’</w:t>
            </w:r>
            <w:r w:rsidR="001D0C6B">
              <w:t xml:space="preserve"> by the complainant</w:t>
            </w:r>
            <w:r w:rsidRPr="005176F7">
              <w:t>. This in turn led the professional body to make findings including that the complainant should not have made the external disclosures, and to place restrictions on the complainant’s practising licence.</w:t>
            </w:r>
          </w:p>
          <w:p w14:paraId="11C33568" w14:textId="77777777" w:rsidR="005176F7" w:rsidRDefault="005176F7" w:rsidP="00BC2467">
            <w:pPr>
              <w:pStyle w:val="Tablebodytext"/>
            </w:pPr>
            <w:r w:rsidRPr="005176F7">
              <w:t xml:space="preserve">The Protected Disclosures Act confers immunity from civil, criminal or disciplinary proceedings on </w:t>
            </w:r>
            <w:r w:rsidR="001D0C6B">
              <w:t>a</w:t>
            </w:r>
            <w:r w:rsidRPr="005176F7">
              <w:t xml:space="preserve"> person who makes </w:t>
            </w:r>
            <w:r w:rsidR="001D0C6B">
              <w:t>a protected</w:t>
            </w:r>
            <w:r w:rsidRPr="005176F7">
              <w:t xml:space="preserve"> disclosure</w:t>
            </w:r>
            <w:r w:rsidR="001D0C6B">
              <w:t>. T</w:t>
            </w:r>
            <w:r w:rsidRPr="005176F7">
              <w:t xml:space="preserve">he Human Rights Act </w:t>
            </w:r>
            <w:r w:rsidR="001D0C6B">
              <w:t xml:space="preserve">also </w:t>
            </w:r>
            <w:r w:rsidRPr="005176F7">
              <w:t xml:space="preserve">provides that no person can treat a person unfavourably for having made a </w:t>
            </w:r>
            <w:r w:rsidR="001D0C6B">
              <w:t xml:space="preserve">protected </w:t>
            </w:r>
            <w:r w:rsidRPr="005176F7">
              <w:t xml:space="preserve">disclosure. </w:t>
            </w:r>
            <w:r w:rsidR="001D0C6B">
              <w:t>Following an investigation by the Chief Ombudsman,</w:t>
            </w:r>
            <w:r w:rsidR="000C183B">
              <w:t xml:space="preserve"> </w:t>
            </w:r>
            <w:r w:rsidR="001D0C6B">
              <w:t>t</w:t>
            </w:r>
            <w:r w:rsidRPr="005176F7">
              <w:t xml:space="preserve">he professional body accepted that its </w:t>
            </w:r>
            <w:r w:rsidR="001D0C6B">
              <w:t xml:space="preserve">disciplinary </w:t>
            </w:r>
            <w:r w:rsidRPr="005176F7">
              <w:t>processes had not adequately taken into account the protections of the Protected Disclosures Act and Human Rights Act</w:t>
            </w:r>
            <w:r w:rsidR="000C183B">
              <w:t>. The professional body</w:t>
            </w:r>
            <w:r w:rsidRPr="005176F7">
              <w:t xml:space="preserve"> undertook to </w:t>
            </w:r>
            <w:r w:rsidR="000C183B">
              <w:t xml:space="preserve">apologise to the complainant, reverse its decision, and </w:t>
            </w:r>
            <w:r w:rsidRPr="005176F7">
              <w:t>comprehensively review its processes.</w:t>
            </w:r>
          </w:p>
          <w:p w14:paraId="08E483F7" w14:textId="56A38E45" w:rsidR="005176F7" w:rsidRDefault="00C35D4D" w:rsidP="00BC2467">
            <w:pPr>
              <w:pStyle w:val="Tablebodytext"/>
            </w:pPr>
            <w:r w:rsidRPr="007F02F4">
              <w:t xml:space="preserve">Read the full </w:t>
            </w:r>
            <w:r>
              <w:t>case note</w:t>
            </w:r>
            <w:r w:rsidRPr="007F02F4">
              <w:t xml:space="preserve"> at </w:t>
            </w:r>
            <w:hyperlink r:id="rId20" w:history="1">
              <w:r w:rsidRPr="00E36674">
                <w:rPr>
                  <w:rStyle w:val="Hyperlink"/>
                </w:rPr>
                <w:t>www.ombudsman.parliament.nz.</w:t>
              </w:r>
            </w:hyperlink>
          </w:p>
        </w:tc>
      </w:tr>
    </w:tbl>
    <w:p w14:paraId="4D7B15E1" w14:textId="77777777" w:rsidR="005176F7" w:rsidRDefault="005176F7" w:rsidP="005176F7">
      <w:pPr>
        <w:pStyle w:val="Whitespace"/>
      </w:pPr>
    </w:p>
    <w:p w14:paraId="06032DDC" w14:textId="1F609CE6" w:rsidR="004E1D75" w:rsidRPr="000554C5" w:rsidRDefault="004E1D75" w:rsidP="004E1D75">
      <w:pPr>
        <w:pStyle w:val="BodyText"/>
      </w:pPr>
      <w:r>
        <w:t xml:space="preserve">I issued new guidance material for organisations: </w:t>
      </w:r>
      <w:hyperlink r:id="rId21" w:history="1">
        <w:r w:rsidRPr="007E3F8E">
          <w:rPr>
            <w:rStyle w:val="Hyperlink"/>
            <w:i/>
          </w:rPr>
          <w:t>Protected disclosures – guidance on internal policies and procedures</w:t>
        </w:r>
      </w:hyperlink>
      <w:r>
        <w:t xml:space="preserve">, and published a new </w:t>
      </w:r>
      <w:hyperlink r:id="rId22" w:history="1">
        <w:r w:rsidRPr="007E3F8E">
          <w:rPr>
            <w:rStyle w:val="Hyperlink"/>
          </w:rPr>
          <w:t>checklist</w:t>
        </w:r>
      </w:hyperlink>
      <w:r>
        <w:t xml:space="preserve"> </w:t>
      </w:r>
      <w:r w:rsidR="00F91CFD">
        <w:t xml:space="preserve">to </w:t>
      </w:r>
      <w:r>
        <w:t xml:space="preserve">help </w:t>
      </w:r>
      <w:r w:rsidR="00A37A90">
        <w:t xml:space="preserve">organisations </w:t>
      </w:r>
      <w:r>
        <w:t>meet their obligations to protect whistleblower confidentiality.</w:t>
      </w:r>
    </w:p>
    <w:p w14:paraId="43031196" w14:textId="77777777" w:rsidR="004E1D75" w:rsidRDefault="004E1D75" w:rsidP="004E1D75">
      <w:pPr>
        <w:pStyle w:val="BodyText"/>
      </w:pPr>
      <w:r>
        <w:t>As well as receiving disclosures and providing advice and guidance, I contributed to the ongoing review of the P</w:t>
      </w:r>
      <w:r w:rsidR="00A37A90">
        <w:t xml:space="preserve">rotected </w:t>
      </w:r>
      <w:r>
        <w:t>D</w:t>
      </w:r>
      <w:r w:rsidR="00A37A90">
        <w:t>isclosure</w:t>
      </w:r>
      <w:r w:rsidR="00BA0FBE">
        <w:t>s</w:t>
      </w:r>
      <w:r w:rsidR="00A37A90">
        <w:t xml:space="preserve"> </w:t>
      </w:r>
      <w:r>
        <w:t>A</w:t>
      </w:r>
      <w:r w:rsidR="00A37A90">
        <w:t>ct 2000</w:t>
      </w:r>
      <w:r>
        <w:t>.</w:t>
      </w:r>
    </w:p>
    <w:p w14:paraId="67C677F7" w14:textId="586FEC02" w:rsidR="003150C2" w:rsidRDefault="005B795D" w:rsidP="00CE5FA6">
      <w:pPr>
        <w:pStyle w:val="BodyText"/>
      </w:pPr>
      <w:hyperlink w:anchor="Contents" w:history="1">
        <w:r w:rsidR="003150C2" w:rsidRPr="00F5248A">
          <w:rPr>
            <w:rStyle w:val="Hyperlink"/>
          </w:rPr>
          <w:t>Back to contents</w:t>
        </w:r>
      </w:hyperlink>
    </w:p>
    <w:p w14:paraId="43F51BB7" w14:textId="77777777" w:rsidR="0007114F" w:rsidRDefault="008A5CA1" w:rsidP="0007114F">
      <w:pPr>
        <w:pStyle w:val="Heading2"/>
        <w:spacing w:after="240"/>
      </w:pPr>
      <w:bookmarkStart w:id="63" w:name="_Break_down_the"/>
      <w:bookmarkStart w:id="64" w:name="_Ref54687159"/>
      <w:bookmarkEnd w:id="63"/>
      <w:r w:rsidRPr="008A5CA1">
        <w:t>Break down the barriers that prevent disabled people from participating equally in society</w:t>
      </w:r>
      <w:bookmarkEnd w:id="64"/>
    </w:p>
    <w:p w14:paraId="2D352548" w14:textId="77777777" w:rsidR="0007114F" w:rsidRPr="005E2D78" w:rsidRDefault="0007114F" w:rsidP="005E2D78">
      <w:pPr>
        <w:pStyle w:val="BodyText"/>
      </w:pPr>
      <w:r>
        <w:t xml:space="preserve">The </w:t>
      </w:r>
      <w:r w:rsidRPr="005E2D78">
        <w:t xml:space="preserve">United Nations Convention on the Rights of Persons with Disabilities (the Disability Convention) exists to promote, protect, and ensure the full and equal enjoyment of all human rights and fundamental freedoms by disabled people. Disabled people face barriers to participating equally in society. These barriers can be physical, attitudinal, technological, systemic, economic, or information and communication. New Zealand can make disability rights real by breaking down these barriers. </w:t>
      </w:r>
    </w:p>
    <w:p w14:paraId="6AE400EA" w14:textId="77777777" w:rsidR="0007114F" w:rsidRPr="005E2D78" w:rsidRDefault="0007114F" w:rsidP="005E2D78">
      <w:pPr>
        <w:pStyle w:val="BodyText"/>
      </w:pPr>
      <w:r w:rsidRPr="006A4856">
        <w:t>The Ombudsman,</w:t>
      </w:r>
      <w:r w:rsidRPr="005E2D78">
        <w:t xml:space="preserve"> the Human Rights Commission, and Disabled Peoples’ Organisations are New Zealand’s Independent Monitoring Mechanism (IMM). The role of the IMM is to protect and monitor implementation of the rights in the Disability Convention and raise awareness of disability rights and contribute to effective change.</w:t>
      </w:r>
    </w:p>
    <w:p w14:paraId="4803EEF8" w14:textId="63DB912C" w:rsidR="0007114F" w:rsidRDefault="0007114F" w:rsidP="0007114F">
      <w:pPr>
        <w:pStyle w:val="BodyText"/>
      </w:pPr>
      <w:r>
        <w:t xml:space="preserve">I ensure that disability rights are at the heart of </w:t>
      </w:r>
      <w:r w:rsidRPr="00D106F1">
        <w:t xml:space="preserve">my </w:t>
      </w:r>
      <w:r>
        <w:t xml:space="preserve">work and culture, </w:t>
      </w:r>
      <w:r w:rsidR="005E2D78">
        <w:t xml:space="preserve">as well as </w:t>
      </w:r>
      <w:r>
        <w:t>network and collaborate with disabled people and other stakeholders.</w:t>
      </w:r>
    </w:p>
    <w:p w14:paraId="59F3718A" w14:textId="77777777" w:rsidR="0007114F" w:rsidRPr="000A0549" w:rsidRDefault="0007114F" w:rsidP="0007114F">
      <w:pPr>
        <w:pStyle w:val="Heading3"/>
      </w:pPr>
      <w:r w:rsidRPr="000A0549">
        <w:t xml:space="preserve">Working as an </w:t>
      </w:r>
      <w:r w:rsidR="00251C9B">
        <w:t>IMM</w:t>
      </w:r>
      <w:r w:rsidRPr="000A0549">
        <w:t xml:space="preserve"> during COVID-19</w:t>
      </w:r>
    </w:p>
    <w:p w14:paraId="6B57A5FA" w14:textId="47E216F4" w:rsidR="0007114F" w:rsidRDefault="00A966E7" w:rsidP="0007114F">
      <w:pPr>
        <w:pStyle w:val="BodyText"/>
      </w:pPr>
      <w:r>
        <w:t>During the reporting year</w:t>
      </w:r>
      <w:r w:rsidR="00D35F1C">
        <w:t>,</w:t>
      </w:r>
      <w:r>
        <w:t xml:space="preserve"> I commenced work</w:t>
      </w:r>
      <w:r w:rsidR="0007114F">
        <w:t xml:space="preserve"> with my IMM partners on</w:t>
      </w:r>
      <w:r w:rsidR="0007114F" w:rsidRPr="000A0549">
        <w:t xml:space="preserve"> a report on the experiences of disabled New Zealand</w:t>
      </w:r>
      <w:r w:rsidR="0007114F">
        <w:t>ers</w:t>
      </w:r>
      <w:r w:rsidR="0007114F" w:rsidRPr="000A0549">
        <w:t xml:space="preserve"> during the COVID-19 pandemic. Research for the project </w:t>
      </w:r>
      <w:r w:rsidR="0007114F">
        <w:t>commenced</w:t>
      </w:r>
      <w:r w:rsidR="0007114F" w:rsidRPr="000A0549">
        <w:t xml:space="preserve"> </w:t>
      </w:r>
      <w:r w:rsidR="0007114F">
        <w:t>this year</w:t>
      </w:r>
      <w:r w:rsidR="0007114F" w:rsidRPr="000A0549">
        <w:t xml:space="preserve"> and a series of nationwide public consultations/hui </w:t>
      </w:r>
      <w:r>
        <w:t>are underway</w:t>
      </w:r>
      <w:r w:rsidR="0007114F" w:rsidRPr="000A0549">
        <w:t xml:space="preserve"> to hear the voices of disabled people. Key themes for disabled people at this early stage centre on access to essential services, information and communication during the pandemic, health, education</w:t>
      </w:r>
      <w:r w:rsidR="0007114F">
        <w:t>,</w:t>
      </w:r>
      <w:r w:rsidR="0007114F" w:rsidRPr="000A0549">
        <w:t xml:space="preserve"> and housing. The report will also explore the experiences of disabled people in places of detention, and the involvement of disabled people in decision</w:t>
      </w:r>
      <w:r w:rsidR="0057677D">
        <w:t xml:space="preserve"> </w:t>
      </w:r>
      <w:r w:rsidR="0007114F" w:rsidRPr="000A0549">
        <w:t>making processes during the pandemic.</w:t>
      </w:r>
    </w:p>
    <w:p w14:paraId="1C8768C6" w14:textId="77777777" w:rsidR="005176F7" w:rsidRPr="004F52B9" w:rsidRDefault="005176F7" w:rsidP="005176F7">
      <w:pPr>
        <w:pStyle w:val="Heading3"/>
      </w:pPr>
      <w:r>
        <w:t xml:space="preserve">Accessible resources </w:t>
      </w:r>
    </w:p>
    <w:p w14:paraId="11CB3EA3" w14:textId="77777777" w:rsidR="005176F7" w:rsidRDefault="005176F7" w:rsidP="005176F7">
      <w:pPr>
        <w:pStyle w:val="BodyText"/>
      </w:pPr>
      <w:r>
        <w:t xml:space="preserve">Accessible </w:t>
      </w:r>
      <w:r w:rsidR="00A966E7">
        <w:t xml:space="preserve">resources </w:t>
      </w:r>
      <w:r>
        <w:t xml:space="preserve">offer information that people need in a way they can understand. The publications and reports I produce, along with those of the IMM, have been made available in a number of accessible formats. </w:t>
      </w:r>
    </w:p>
    <w:p w14:paraId="3D2EAA5D" w14:textId="77777777" w:rsidR="005176F7" w:rsidRDefault="005176F7" w:rsidP="005176F7">
      <w:pPr>
        <w:pStyle w:val="BodyText"/>
      </w:pPr>
      <w:r>
        <w:t xml:space="preserve">The </w:t>
      </w:r>
      <w:r>
        <w:rPr>
          <w:i/>
          <w:iCs/>
        </w:rPr>
        <w:t xml:space="preserve">Making Disability Rights Real </w:t>
      </w:r>
      <w:r w:rsidRPr="00A770F9">
        <w:rPr>
          <w:iCs/>
        </w:rPr>
        <w:t>report</w:t>
      </w:r>
      <w:r w:rsidR="00A966E7">
        <w:rPr>
          <w:iCs/>
        </w:rPr>
        <w:t xml:space="preserve"> (discussed below)</w:t>
      </w:r>
      <w:r>
        <w:rPr>
          <w:i/>
          <w:iCs/>
        </w:rPr>
        <w:t xml:space="preserve"> </w:t>
      </w:r>
      <w:r>
        <w:t xml:space="preserve">was launched in a range of formats, including an accessible Word version, audio, braille, Easy Read, large print, New Zealand Sign Language, and te reo Māori. It is of note, that this is the first time the entirety of the report was translated into te reo Māori. </w:t>
      </w:r>
    </w:p>
    <w:p w14:paraId="424A7FA3" w14:textId="77777777" w:rsidR="005176F7" w:rsidRDefault="005176F7" w:rsidP="005176F7">
      <w:pPr>
        <w:pStyle w:val="BodyText"/>
      </w:pPr>
      <w:r w:rsidRPr="001D2D86">
        <w:t xml:space="preserve">My </w:t>
      </w:r>
      <w:r>
        <w:rPr>
          <w:i/>
          <w:iCs/>
        </w:rPr>
        <w:t>Off the Record</w:t>
      </w:r>
      <w:r>
        <w:rPr>
          <w:rStyle w:val="FootnoteReference"/>
          <w:i/>
          <w:iCs/>
        </w:rPr>
        <w:footnoteReference w:id="22"/>
      </w:r>
      <w:r>
        <w:t xml:space="preserve"> report was summarised in Easy Read, a format specifically targeted at people with a learning or intellectual disability. In my view, it is pivotal that those</w:t>
      </w:r>
      <w:r w:rsidR="00A966E7">
        <w:t xml:space="preserve"> most closely impacted by</w:t>
      </w:r>
      <w:r>
        <w:t xml:space="preserve"> the report can easily understand the key findings. </w:t>
      </w:r>
    </w:p>
    <w:p w14:paraId="3F0F5F7D" w14:textId="77777777" w:rsidR="005176F7" w:rsidRDefault="005176F7" w:rsidP="005176F7">
      <w:pPr>
        <w:pStyle w:val="BodyText"/>
      </w:pPr>
      <w:r>
        <w:t xml:space="preserve">I continue to work to provide public information in an accessible way to ensure it is available to all New Zealanders. I am undertaking several projects to develop and progress an accessibility strategy that I can apply to all of my work. </w:t>
      </w:r>
    </w:p>
    <w:p w14:paraId="4BCF1EFE" w14:textId="77777777" w:rsidR="00267534" w:rsidRPr="003E457F" w:rsidRDefault="00267534" w:rsidP="002733A7">
      <w:pPr>
        <w:pStyle w:val="Heading3"/>
        <w:spacing w:before="240"/>
      </w:pPr>
      <w:r>
        <w:t xml:space="preserve">The IMM’s third </w:t>
      </w:r>
      <w:r w:rsidRPr="00220391">
        <w:rPr>
          <w:i/>
        </w:rPr>
        <w:t>Making Disability Rights Real</w:t>
      </w:r>
      <w:r>
        <w:t xml:space="preserve"> Report 2014-2019</w:t>
      </w:r>
    </w:p>
    <w:p w14:paraId="63E4D548" w14:textId="58BDFB5E" w:rsidR="00267534" w:rsidRDefault="00267534" w:rsidP="002733A7">
      <w:pPr>
        <w:pStyle w:val="BodyText"/>
      </w:pPr>
      <w:r>
        <w:t xml:space="preserve">The IMM published its third </w:t>
      </w:r>
      <w:hyperlink r:id="rId23" w:history="1">
        <w:r w:rsidR="00606433">
          <w:rPr>
            <w:rStyle w:val="Hyperlink"/>
            <w:i/>
            <w:szCs w:val="24"/>
          </w:rPr>
          <w:t>Making Disability Rights Real, Whakatūturu Ngā Tika Hauātanga</w:t>
        </w:r>
      </w:hyperlink>
      <w:r w:rsidR="00A37A90">
        <w:t xml:space="preserve"> report on 30 June 2020. This report discussed</w:t>
      </w:r>
      <w:r>
        <w:t xml:space="preserve"> the status of implementation of the Disability Convention in New Zealand. The release of the report was livestreamed</w:t>
      </w:r>
      <w:r w:rsidR="008C320F">
        <w:rPr>
          <w:rStyle w:val="FootnoteReference"/>
        </w:rPr>
        <w:footnoteReference w:id="23"/>
      </w:r>
      <w:r>
        <w:t xml:space="preserve"> so that members of the disability community who were not able to attend could follow the launch.</w:t>
      </w:r>
    </w:p>
    <w:p w14:paraId="5CD71148" w14:textId="09230066" w:rsidR="00267534" w:rsidRDefault="00267534" w:rsidP="002733A7">
      <w:pPr>
        <w:pStyle w:val="BodyText"/>
      </w:pPr>
      <w:r>
        <w:t xml:space="preserve">During the consultation phase of </w:t>
      </w:r>
      <w:r w:rsidR="00A37A90">
        <w:t>this</w:t>
      </w:r>
      <w:r>
        <w:t xml:space="preserve"> report, the IMM held a nationwide series of community hui and </w:t>
      </w:r>
      <w:r w:rsidR="00F91CFD">
        <w:t xml:space="preserve">undertook </w:t>
      </w:r>
      <w:r>
        <w:t>an online survey to seek disabled people’s input. The IMM identified six key themes:</w:t>
      </w:r>
      <w:r w:rsidR="006C5A53">
        <w:t xml:space="preserve"> education, h</w:t>
      </w:r>
      <w:r>
        <w:t>ousing</w:t>
      </w:r>
      <w:r w:rsidR="006C5A53">
        <w:t>, s</w:t>
      </w:r>
      <w:r>
        <w:t>eclusion and restraint</w:t>
      </w:r>
      <w:r w:rsidR="006C5A53">
        <w:t>, d</w:t>
      </w:r>
      <w:r>
        <w:t>ata</w:t>
      </w:r>
      <w:r w:rsidR="006C5A53">
        <w:t>, a</w:t>
      </w:r>
      <w:r>
        <w:t>ccess to information and communication</w:t>
      </w:r>
      <w:r w:rsidR="006C5A53">
        <w:t xml:space="preserve">, </w:t>
      </w:r>
      <w:r>
        <w:t>and</w:t>
      </w:r>
      <w:r w:rsidR="006C5A53">
        <w:t xml:space="preserve"> e</w:t>
      </w:r>
      <w:r>
        <w:t>mployment. These key themes are indicative of wider disparate outcomes between disabled people and their non-disabled peers. Improvements in these areas will have significant positive effects on disabled people’s lives. The IMM also reported that priority needs to be given to understanding the experiences of M</w:t>
      </w:r>
      <w:r>
        <w:rPr>
          <w:rFonts w:cs="Calibri"/>
        </w:rPr>
        <w:t>ā</w:t>
      </w:r>
      <w:r w:rsidR="00A37A90">
        <w:t xml:space="preserve">ori and </w:t>
      </w:r>
      <w:r w:rsidR="00606433">
        <w:t xml:space="preserve">Pasifika </w:t>
      </w:r>
      <w:r w:rsidR="00A37A90">
        <w:t>disabled people</w:t>
      </w:r>
      <w:r>
        <w:t>.</w:t>
      </w:r>
    </w:p>
    <w:p w14:paraId="41BEE719" w14:textId="77777777" w:rsidR="00267534" w:rsidRDefault="00267534" w:rsidP="002733A7">
      <w:pPr>
        <w:pStyle w:val="BodyText"/>
      </w:pPr>
      <w:r>
        <w:t xml:space="preserve">The IMM acknowledged that some progress has been made since </w:t>
      </w:r>
      <w:r w:rsidR="00A37A90">
        <w:t>the</w:t>
      </w:r>
      <w:r>
        <w:t xml:space="preserve"> previous two editions of </w:t>
      </w:r>
      <w:r w:rsidRPr="00F9409A">
        <w:rPr>
          <w:rStyle w:val="Italics"/>
        </w:rPr>
        <w:t>Making Disability Rights Real</w:t>
      </w:r>
      <w:r>
        <w:t xml:space="preserve"> were published. For instance, </w:t>
      </w:r>
      <w:r w:rsidR="00A37A90">
        <w:t xml:space="preserve">there is </w:t>
      </w:r>
      <w:r>
        <w:t xml:space="preserve">greater cross-government collaboration and improved participation of disabled people in the development of government policy. However, the IMM found that there is still a great deal of work to do, and disabled New Zealanders are not presently enjoying the full range of human rights and fundamental freedoms reaffirmed in the Disability Convention. </w:t>
      </w:r>
    </w:p>
    <w:p w14:paraId="53B49228" w14:textId="77777777" w:rsidR="00267534" w:rsidRDefault="00267534" w:rsidP="002733A7">
      <w:pPr>
        <w:pStyle w:val="BodyText"/>
      </w:pPr>
      <w:r>
        <w:t>The report encourages the Government to mandate a systemic approach to explicitly integrating the Disability Convention into domestic law</w:t>
      </w:r>
      <w:r w:rsidR="00BA0FBE">
        <w:t xml:space="preserve"> and policy</w:t>
      </w:r>
      <w:r>
        <w:t xml:space="preserve">, and to provide the appropriate resource in order to make this a reality. </w:t>
      </w:r>
    </w:p>
    <w:p w14:paraId="5157EDD5" w14:textId="77777777" w:rsidR="004E227F" w:rsidRDefault="004E227F" w:rsidP="002733A7">
      <w:pPr>
        <w:pStyle w:val="Heading3"/>
      </w:pPr>
      <w:bookmarkStart w:id="65" w:name="_Making_complaints_to"/>
      <w:bookmarkEnd w:id="65"/>
      <w:r>
        <w:t>Disability rights outreach</w:t>
      </w:r>
    </w:p>
    <w:p w14:paraId="354BF466" w14:textId="77777777" w:rsidR="004E227F" w:rsidRDefault="0031292A" w:rsidP="004E227F">
      <w:pPr>
        <w:pStyle w:val="BodyText"/>
      </w:pPr>
      <w:r>
        <w:t>I was represented at</w:t>
      </w:r>
      <w:r w:rsidR="004E227F">
        <w:t xml:space="preserve"> the Biennial Kāpō Māori Aotearoa Conference in Napier </w:t>
      </w:r>
      <w:r>
        <w:t>in</w:t>
      </w:r>
      <w:r w:rsidR="004E227F">
        <w:t xml:space="preserve"> September 2019. Kāpō Māori Aotearoa is a member-based society providing support and advice for </w:t>
      </w:r>
      <w:r w:rsidR="005758D4">
        <w:t xml:space="preserve">kāpō </w:t>
      </w:r>
      <w:r w:rsidR="004E227F">
        <w:t>(blind, vision impaired, and deafblind) Māori and their whānau. This conference was an excellent chance to engage with members of the disability community, as well as an opportunity to learn more about te ao Māori and its approach to disability issues.</w:t>
      </w:r>
    </w:p>
    <w:p w14:paraId="3DEBB5BC" w14:textId="77777777" w:rsidR="004E227F" w:rsidRDefault="004E227F" w:rsidP="00606433">
      <w:pPr>
        <w:pStyle w:val="BodyText"/>
      </w:pPr>
      <w:r>
        <w:t xml:space="preserve">I also had an exhibition stand on the second day of the conference. This was an opportunity for me to publicly promote disability-themed materials </w:t>
      </w:r>
      <w:r w:rsidR="0031292A">
        <w:t>in various</w:t>
      </w:r>
      <w:r>
        <w:t xml:space="preserve"> accessible formats. Attendees at the conference were pleased that I had information and publications available in </w:t>
      </w:r>
      <w:r w:rsidR="0031292A">
        <w:t>t</w:t>
      </w:r>
      <w:r>
        <w:t xml:space="preserve">e </w:t>
      </w:r>
      <w:r w:rsidR="0031292A">
        <w:t>r</w:t>
      </w:r>
      <w:r>
        <w:t>eo text</w:t>
      </w:r>
      <w:r w:rsidR="005758D4">
        <w:t xml:space="preserve">, and te reo </w:t>
      </w:r>
      <w:r>
        <w:t xml:space="preserve">audio, Easy-Read, and </w:t>
      </w:r>
      <w:r w:rsidR="0031292A">
        <w:t>b</w:t>
      </w:r>
      <w:r>
        <w:t xml:space="preserve">raille (including </w:t>
      </w:r>
      <w:r w:rsidR="0031292A">
        <w:t>t</w:t>
      </w:r>
      <w:r>
        <w:t xml:space="preserve">e </w:t>
      </w:r>
      <w:r w:rsidR="0031292A">
        <w:t>r</w:t>
      </w:r>
      <w:r>
        <w:t xml:space="preserve">eo </w:t>
      </w:r>
      <w:r w:rsidR="0031292A">
        <w:t>b</w:t>
      </w:r>
      <w:r>
        <w:t>raille) in both printed</w:t>
      </w:r>
      <w:r w:rsidR="0031292A">
        <w:t xml:space="preserve"> and electronic</w:t>
      </w:r>
      <w:r>
        <w:t xml:space="preserve"> format</w:t>
      </w:r>
      <w:r w:rsidR="0031292A">
        <w:t>s</w:t>
      </w:r>
      <w:r>
        <w:t xml:space="preserve">. </w:t>
      </w:r>
    </w:p>
    <w:p w14:paraId="16A7CE7B" w14:textId="77777777" w:rsidR="005758D4" w:rsidRDefault="004E227F" w:rsidP="008A5CA1">
      <w:pPr>
        <w:pStyle w:val="BodyText"/>
      </w:pPr>
      <w:r>
        <w:t xml:space="preserve">The conference also provided a useful opportunity to discuss how disability rights can be progressed from a cultural perspective. A number of attendees felt that the Disability Convention ought to have more strongly promoted the rights of indigenous people. It is essential that I continue to </w:t>
      </w:r>
      <w:r w:rsidR="005758D4">
        <w:t>involve tāngata w</w:t>
      </w:r>
      <w:r w:rsidR="005758D4" w:rsidRPr="001145F2">
        <w:t xml:space="preserve">haikaha </w:t>
      </w:r>
      <w:r w:rsidR="005758D4">
        <w:t>(</w:t>
      </w:r>
      <w:r>
        <w:t>disabled Māori</w:t>
      </w:r>
      <w:r w:rsidR="005758D4">
        <w:t>)</w:t>
      </w:r>
      <w:r>
        <w:t xml:space="preserve"> and their whānau </w:t>
      </w:r>
      <w:r w:rsidR="005758D4">
        <w:t xml:space="preserve">in carrying out my disability rights role. </w:t>
      </w:r>
    </w:p>
    <w:p w14:paraId="3EA90EB7" w14:textId="77777777" w:rsidR="005176F7" w:rsidRDefault="005176F7" w:rsidP="005176F7">
      <w:pPr>
        <w:pStyle w:val="Heading3"/>
      </w:pPr>
      <w:r>
        <w:t xml:space="preserve">Ongoing </w:t>
      </w:r>
      <w:r w:rsidR="000E1FF3">
        <w:t>d</w:t>
      </w:r>
      <w:r>
        <w:t xml:space="preserve">isability </w:t>
      </w:r>
      <w:r w:rsidR="000E1FF3">
        <w:t>r</w:t>
      </w:r>
      <w:r>
        <w:t xml:space="preserve">ights focus </w:t>
      </w:r>
      <w:r w:rsidR="00A966E7">
        <w:t>in investigations and</w:t>
      </w:r>
      <w:r>
        <w:t xml:space="preserve"> inspections</w:t>
      </w:r>
    </w:p>
    <w:p w14:paraId="76A647A3" w14:textId="3B8FFB4A" w:rsidR="000E1FF3" w:rsidRDefault="000E1FF3" w:rsidP="005176F7">
      <w:pPr>
        <w:pStyle w:val="BodyText"/>
      </w:pPr>
      <w:r>
        <w:t xml:space="preserve">When disability rights issues are raised, </w:t>
      </w:r>
      <w:r w:rsidR="005176F7">
        <w:t xml:space="preserve">I </w:t>
      </w:r>
      <w:r w:rsidR="00A966E7">
        <w:t>use</w:t>
      </w:r>
      <w:r w:rsidR="005176F7">
        <w:t xml:space="preserve"> my </w:t>
      </w:r>
      <w:r w:rsidR="001225B9">
        <w:t>Ombudsm</w:t>
      </w:r>
      <w:r w:rsidR="00E65E96">
        <w:t>e</w:t>
      </w:r>
      <w:r w:rsidR="001225B9">
        <w:t xml:space="preserve">n Act </w:t>
      </w:r>
      <w:r w:rsidR="005176F7">
        <w:t>powers to resolve complaints and investigate concerns about administrative conduct by public sector agencies</w:t>
      </w:r>
      <w:r w:rsidR="003C3875">
        <w:t xml:space="preserve">. </w:t>
      </w:r>
    </w:p>
    <w:p w14:paraId="64172B27" w14:textId="77777777" w:rsidR="005176F7" w:rsidRPr="004E227F" w:rsidRDefault="00A966E7" w:rsidP="005176F7">
      <w:pPr>
        <w:pStyle w:val="BodyText"/>
        <w:rPr>
          <w:szCs w:val="24"/>
        </w:rPr>
      </w:pPr>
      <w:r>
        <w:t xml:space="preserve">I also </w:t>
      </w:r>
      <w:r w:rsidR="005176F7" w:rsidRPr="003E457F">
        <w:t xml:space="preserve">note issues as they arise in inspections </w:t>
      </w:r>
      <w:r w:rsidR="000E1FF3">
        <w:t>of places of detention</w:t>
      </w:r>
      <w:r w:rsidR="005176F7" w:rsidRPr="00441C91">
        <w:t>.</w:t>
      </w:r>
      <w:r w:rsidR="000E1FF3">
        <w:t xml:space="preserve"> </w:t>
      </w:r>
      <w:r w:rsidR="005176F7" w:rsidRPr="004E227F">
        <w:rPr>
          <w:szCs w:val="24"/>
        </w:rPr>
        <w:t xml:space="preserve">In recent years, </w:t>
      </w:r>
      <w:r w:rsidR="005176F7">
        <w:rPr>
          <w:szCs w:val="24"/>
        </w:rPr>
        <w:t>d</w:t>
      </w:r>
      <w:r w:rsidR="005176F7" w:rsidRPr="004E227F">
        <w:rPr>
          <w:szCs w:val="24"/>
        </w:rPr>
        <w:t xml:space="preserve">isability </w:t>
      </w:r>
      <w:r w:rsidR="005176F7">
        <w:rPr>
          <w:szCs w:val="24"/>
        </w:rPr>
        <w:t>r</w:t>
      </w:r>
      <w:r w:rsidR="005176F7" w:rsidRPr="004E227F">
        <w:rPr>
          <w:szCs w:val="24"/>
        </w:rPr>
        <w:t xml:space="preserve">ights </w:t>
      </w:r>
      <w:r w:rsidR="005176F7">
        <w:rPr>
          <w:szCs w:val="24"/>
        </w:rPr>
        <w:t xml:space="preserve">has been </w:t>
      </w:r>
      <w:r w:rsidR="000E1FF3">
        <w:rPr>
          <w:szCs w:val="24"/>
        </w:rPr>
        <w:t>an area of focus for</w:t>
      </w:r>
      <w:r w:rsidR="005176F7">
        <w:rPr>
          <w:szCs w:val="24"/>
        </w:rPr>
        <w:t xml:space="preserve"> my</w:t>
      </w:r>
      <w:r w:rsidR="005176F7" w:rsidRPr="004E227F">
        <w:rPr>
          <w:szCs w:val="24"/>
        </w:rPr>
        <w:t xml:space="preserve"> inspections. I am aware that a significant proportion of detainees have a disability and it is important to ensure these people receive appropriate support, and are able to request reasonable accommodation when necessary. </w:t>
      </w:r>
    </w:p>
    <w:p w14:paraId="67DF6995" w14:textId="0B611B8B" w:rsidR="008A5CA1" w:rsidRPr="00CE37E5" w:rsidRDefault="005B795D" w:rsidP="008A5CA1">
      <w:pPr>
        <w:pStyle w:val="BodyText"/>
      </w:pPr>
      <w:hyperlink w:anchor="Contents" w:history="1">
        <w:r w:rsidR="008A5CA1" w:rsidRPr="00CE37E5">
          <w:rPr>
            <w:rStyle w:val="Hyperlink"/>
          </w:rPr>
          <w:t>Back to contents</w:t>
        </w:r>
      </w:hyperlink>
      <w:r w:rsidR="008A5CA1" w:rsidRPr="00CE37E5">
        <w:t>.</w:t>
      </w:r>
    </w:p>
    <w:p w14:paraId="00E260FC" w14:textId="77777777" w:rsidR="008A5CA1" w:rsidRDefault="008A5CA1" w:rsidP="007276E2">
      <w:pPr>
        <w:pStyle w:val="Heading2"/>
      </w:pPr>
      <w:bookmarkStart w:id="66" w:name="_Improve_the_conditions"/>
      <w:bookmarkStart w:id="67" w:name="_Ref54687167"/>
      <w:bookmarkEnd w:id="66"/>
      <w:r w:rsidRPr="008A5CA1">
        <w:t>Improve the conditions and treatment of people in detention</w:t>
      </w:r>
      <w:bookmarkEnd w:id="67"/>
    </w:p>
    <w:p w14:paraId="07AF4D96" w14:textId="77777777" w:rsidR="0007114F" w:rsidRPr="009A41E1" w:rsidRDefault="0007114F" w:rsidP="0007114F">
      <w:pPr>
        <w:pStyle w:val="BodyText"/>
      </w:pPr>
      <w:r w:rsidRPr="009A41E1">
        <w:t xml:space="preserve">Inspecting places of detention helps to ensure that people who are deprived of their liberty are treated humanely, and their rights are protected and restored. It also ensures New Zealand is seen nationally and internationally as a good global citizen, adhering to agreed international human rights conventions. </w:t>
      </w:r>
    </w:p>
    <w:p w14:paraId="6B402325" w14:textId="77777777" w:rsidR="0007114F" w:rsidRPr="00E6255C" w:rsidRDefault="0007114F" w:rsidP="00606433">
      <w:pPr>
        <w:pStyle w:val="BodyText"/>
      </w:pPr>
      <w:r w:rsidRPr="00606433">
        <w:t xml:space="preserve">The Ombudsman is designated as a National Preventive Mechanism under the United Nations Optional Protocol to the Convention against Torture and other Cruel, Inhuman or Degrading Treatment or Punishment </w:t>
      </w:r>
      <w:r w:rsidRPr="009A41E1">
        <w:t>(OPCAT)</w:t>
      </w:r>
      <w:r w:rsidR="003C1FEF">
        <w:t xml:space="preserve">. In carrying out this role, I </w:t>
      </w:r>
      <w:r>
        <w:t xml:space="preserve">examine, </w:t>
      </w:r>
      <w:r w:rsidRPr="00E6255C">
        <w:t>and mak</w:t>
      </w:r>
      <w:r>
        <w:t>e</w:t>
      </w:r>
      <w:r w:rsidRPr="00E6255C">
        <w:t xml:space="preserve"> recommendations to improve</w:t>
      </w:r>
      <w:r>
        <w:t>,</w:t>
      </w:r>
      <w:r w:rsidRPr="00E6255C">
        <w:t xml:space="preserve"> the conditions and treatment of detainees, and to prevent torture, and other cruel, inhuman or degrading treatment or punishment</w:t>
      </w:r>
      <w:r>
        <w:t>,</w:t>
      </w:r>
      <w:r w:rsidRPr="00E6255C">
        <w:t xml:space="preserve"> in:</w:t>
      </w:r>
    </w:p>
    <w:p w14:paraId="16913BDE" w14:textId="77777777" w:rsidR="0007114F" w:rsidRPr="00DE00D4" w:rsidRDefault="0007114F" w:rsidP="0007114F">
      <w:pPr>
        <w:pStyle w:val="Bullet1"/>
        <w:spacing w:after="200" w:line="240" w:lineRule="atLeast"/>
      </w:pPr>
      <w:r w:rsidRPr="00DE00D4">
        <w:t>18 prisons;</w:t>
      </w:r>
    </w:p>
    <w:p w14:paraId="5CB2616E" w14:textId="0F0E6463" w:rsidR="0007114F" w:rsidRDefault="00E65E96" w:rsidP="0007114F">
      <w:pPr>
        <w:pStyle w:val="Bullet1"/>
        <w:spacing w:after="200" w:line="240" w:lineRule="atLeast"/>
      </w:pPr>
      <w:r>
        <w:t>118</w:t>
      </w:r>
      <w:r w:rsidRPr="00DE00D4">
        <w:t xml:space="preserve"> </w:t>
      </w:r>
      <w:r w:rsidR="0007114F" w:rsidRPr="00DE00D4">
        <w:t>health and disability places of detention</w:t>
      </w:r>
      <w:r w:rsidR="005A0CD0">
        <w:t xml:space="preserve"> (including approximately 30 managed isolation and quarantine facilities)</w:t>
      </w:r>
      <w:r w:rsidR="0007114F">
        <w:t>;</w:t>
      </w:r>
    </w:p>
    <w:p w14:paraId="42509220" w14:textId="77777777" w:rsidR="0007114F" w:rsidRDefault="0007114F" w:rsidP="0007114F">
      <w:pPr>
        <w:pStyle w:val="Bullet1"/>
        <w:spacing w:after="200" w:line="240" w:lineRule="atLeast"/>
      </w:pPr>
      <w:r>
        <w:t xml:space="preserve">227 </w:t>
      </w:r>
      <w:r w:rsidRPr="005B1399">
        <w:t>privately run aged care facilities;</w:t>
      </w:r>
    </w:p>
    <w:p w14:paraId="0AF26FD2" w14:textId="28E1E4BB" w:rsidR="0007114F" w:rsidRPr="00DE00D4" w:rsidRDefault="0057677D" w:rsidP="0007114F">
      <w:pPr>
        <w:pStyle w:val="Bullet1"/>
        <w:spacing w:after="200" w:line="240" w:lineRule="atLeast"/>
      </w:pPr>
      <w:r>
        <w:t>three</w:t>
      </w:r>
      <w:r w:rsidRPr="00DE00D4">
        <w:t xml:space="preserve"> </w:t>
      </w:r>
      <w:r w:rsidR="0007114F" w:rsidRPr="00DE00D4">
        <w:t>immigration detention facilities;</w:t>
      </w:r>
    </w:p>
    <w:p w14:paraId="11B86FC8" w14:textId="7D10B1AC" w:rsidR="0007114F" w:rsidRPr="00DE00D4" w:rsidRDefault="0057677D" w:rsidP="0007114F">
      <w:pPr>
        <w:pStyle w:val="Bullet1"/>
        <w:spacing w:after="200" w:line="240" w:lineRule="atLeast"/>
      </w:pPr>
      <w:r>
        <w:t>one</w:t>
      </w:r>
      <w:r w:rsidRPr="00DE00D4">
        <w:t xml:space="preserve"> </w:t>
      </w:r>
      <w:r w:rsidR="0007114F" w:rsidRPr="00DE00D4">
        <w:t xml:space="preserve">Public Protection Order (PPO) </w:t>
      </w:r>
      <w:r w:rsidR="0007114F">
        <w:t>residence</w:t>
      </w:r>
      <w:r w:rsidR="0007114F" w:rsidRPr="00DE00D4">
        <w:t>;</w:t>
      </w:r>
    </w:p>
    <w:p w14:paraId="6BA510BD" w14:textId="047D083A" w:rsidR="0007114F" w:rsidRDefault="0057677D" w:rsidP="0007114F">
      <w:pPr>
        <w:pStyle w:val="Bullet1"/>
        <w:spacing w:after="200" w:line="240" w:lineRule="atLeast"/>
      </w:pPr>
      <w:r>
        <w:t>one</w:t>
      </w:r>
      <w:r w:rsidRPr="00DE00D4">
        <w:t xml:space="preserve"> </w:t>
      </w:r>
      <w:r w:rsidR="00606433">
        <w:t>s</w:t>
      </w:r>
      <w:r w:rsidR="00606433" w:rsidRPr="00DE00D4">
        <w:t xml:space="preserve">ubstance </w:t>
      </w:r>
      <w:r w:rsidR="00606433">
        <w:t>a</w:t>
      </w:r>
      <w:r w:rsidR="00606433" w:rsidRPr="00DE00D4">
        <w:t xml:space="preserve">ddiction </w:t>
      </w:r>
      <w:r w:rsidR="0007114F" w:rsidRPr="00DE00D4">
        <w:t>(Compulsory Assessment and Treatment) unit; and</w:t>
      </w:r>
    </w:p>
    <w:p w14:paraId="36800EA2" w14:textId="77777777" w:rsidR="0007114F" w:rsidRPr="00CA5F47" w:rsidRDefault="0007114F" w:rsidP="0007114F">
      <w:pPr>
        <w:pStyle w:val="Bullet1"/>
        <w:spacing w:after="200" w:line="240" w:lineRule="atLeast"/>
      </w:pPr>
      <w:r w:rsidRPr="00CA5F47">
        <w:rPr>
          <w:szCs w:val="24"/>
        </w:rPr>
        <w:t>58 court facilities.</w:t>
      </w:r>
    </w:p>
    <w:p w14:paraId="69BE2CF3" w14:textId="77777777" w:rsidR="0007114F" w:rsidRDefault="0007114F" w:rsidP="0007114F">
      <w:pPr>
        <w:pStyle w:val="BodyText"/>
      </w:pPr>
      <w:r>
        <w:t>The designation in respect of court facilities is jointly shared with the Independent Police Conduct Authority</w:t>
      </w:r>
      <w:r w:rsidRPr="00014257">
        <w:t xml:space="preserve">. </w:t>
      </w:r>
    </w:p>
    <w:p w14:paraId="3FCF46C9" w14:textId="77777777" w:rsidR="0007114F" w:rsidRDefault="001A4AC7" w:rsidP="0007114F">
      <w:pPr>
        <w:pStyle w:val="Heading3"/>
        <w:spacing w:after="240"/>
      </w:pPr>
      <w:r>
        <w:t>P</w:t>
      </w:r>
      <w:r w:rsidR="0007114F">
        <w:t xml:space="preserve">eople in detention </w:t>
      </w:r>
      <w:r>
        <w:t xml:space="preserve">during </w:t>
      </w:r>
      <w:r w:rsidR="0081525B">
        <w:t xml:space="preserve">the </w:t>
      </w:r>
      <w:r>
        <w:t>pandemic</w:t>
      </w:r>
    </w:p>
    <w:p w14:paraId="0DDB6510" w14:textId="265D308C" w:rsidR="0081525B" w:rsidRDefault="0007114F" w:rsidP="0007114F">
      <w:pPr>
        <w:pStyle w:val="BodyText"/>
      </w:pPr>
      <w:r w:rsidRPr="000A0549">
        <w:t>In April</w:t>
      </w:r>
      <w:r>
        <w:t xml:space="preserve"> 2020</w:t>
      </w:r>
      <w:r w:rsidRPr="000A0549">
        <w:t>, I reviewed my pre-planned programme of inspections and visits in light of COVID-19 and my designation as an essential service for OPCAT inspections.</w:t>
      </w:r>
      <w:r>
        <w:t xml:space="preserve"> </w:t>
      </w:r>
      <w:r w:rsidRPr="000A0549">
        <w:t>I considered a wide range of information, including that</w:t>
      </w:r>
      <w:r w:rsidR="009A5311">
        <w:t xml:space="preserve"> which was</w:t>
      </w:r>
      <w:r w:rsidRPr="000A0549">
        <w:t xml:space="preserve"> provided by the United Nations</w:t>
      </w:r>
      <w:r w:rsidR="009A5311">
        <w:t>,</w:t>
      </w:r>
      <w:r w:rsidR="00973B2C">
        <w:t xml:space="preserve"> and the expectations of my role by Parliament</w:t>
      </w:r>
      <w:r w:rsidRPr="000A0549">
        <w:t>. I</w:t>
      </w:r>
      <w:r w:rsidR="00973B2C">
        <w:t xml:space="preserve">t was clear </w:t>
      </w:r>
      <w:r w:rsidRPr="000A0549">
        <w:t xml:space="preserve">that as well as remote monitoring primarily through information gathering, </w:t>
      </w:r>
      <w:r w:rsidR="00CC2880">
        <w:t xml:space="preserve">I must carry out </w:t>
      </w:r>
      <w:r w:rsidRPr="000A0549">
        <w:t xml:space="preserve">physical on-site inspections </w:t>
      </w:r>
      <w:r w:rsidR="00973B2C">
        <w:t xml:space="preserve">in order </w:t>
      </w:r>
      <w:r w:rsidRPr="000A0549">
        <w:t>to provide effective independent oversight</w:t>
      </w:r>
      <w:r w:rsidR="00973B2C">
        <w:t xml:space="preserve"> and report to Parliament accurately on the conditions and treatment of people detained in these facilities</w:t>
      </w:r>
      <w:r w:rsidRPr="000A0549">
        <w:t xml:space="preserve">. </w:t>
      </w:r>
      <w:r w:rsidR="00A27D6D">
        <w:t xml:space="preserve">I also </w:t>
      </w:r>
      <w:r w:rsidR="00A27D6D" w:rsidRPr="00956319">
        <w:t xml:space="preserve">moved at speed to </w:t>
      </w:r>
      <w:r w:rsidR="00A27D6D">
        <w:t xml:space="preserve">consider my designation to inspect health and disability places of detention, and concluded that it includes </w:t>
      </w:r>
      <w:r w:rsidR="00A27D6D" w:rsidRPr="00CC2880">
        <w:t>managed isolation and quarantine (MIQ) facilities.</w:t>
      </w:r>
    </w:p>
    <w:p w14:paraId="64EEB8ED" w14:textId="77777777" w:rsidR="00A27D6D" w:rsidRPr="00A27D6D" w:rsidRDefault="00A27D6D" w:rsidP="00A27D6D">
      <w:pPr>
        <w:pStyle w:val="BodyText"/>
        <w:rPr>
          <w:b/>
          <w:bCs/>
        </w:rPr>
      </w:pPr>
      <w:r w:rsidRPr="00A27D6D">
        <w:rPr>
          <w:rStyle w:val="BodyTextChar"/>
        </w:rPr>
        <w:t>As the country moved into Alert Level 4, there was understandably some reluctance to my continuing to inspect places of detention. I advised the relevant authorities that I had a statutory mandate to fulfil under the Crimes of Torture Act 1989 that could not be circumscribed. While</w:t>
      </w:r>
      <w:r w:rsidRPr="00A27D6D">
        <w:t xml:space="preserve"> I considered a variety of innovative ways to monitor places of detention during ‘lockdown’, onsite inspections and visits had to continue in order to ensure that conditions and treatment of people were appropriate.</w:t>
      </w:r>
    </w:p>
    <w:p w14:paraId="5CD036BA" w14:textId="353942C0" w:rsidR="00A27D6D" w:rsidRDefault="00A27D6D" w:rsidP="00A27D6D">
      <w:pPr>
        <w:pStyle w:val="BodyText"/>
      </w:pPr>
      <w:r w:rsidRPr="00A27D6D">
        <w:t>I acknowledged the need for firm action to combat COVID-19 and to keep those in care safe from the virus. However, I firmly believe that independent monitoring is essential during these unprecedented times. Extraordinary measures imposed by the Government must not have an unnecessary or disproportionate impact on people’s rights. It is important to note that human rights are inalienable; even during these extraordinary times people can expect to be treated with care and respect. I needed to make sure that the use of extraordinary measures by the Government did not override my statutory role and mandate to report independently to Parliament.</w:t>
      </w:r>
    </w:p>
    <w:p w14:paraId="34C0DAB3" w14:textId="15E6DDC4" w:rsidR="0007114F" w:rsidRDefault="0007114F" w:rsidP="0007114F">
      <w:pPr>
        <w:pStyle w:val="BodyText"/>
      </w:pPr>
      <w:r w:rsidRPr="000A0549">
        <w:t xml:space="preserve">My OPCAT COVID-19 inspections </w:t>
      </w:r>
      <w:r>
        <w:t>were</w:t>
      </w:r>
      <w:r w:rsidRPr="000A0549">
        <w:t xml:space="preserve"> carried out </w:t>
      </w:r>
      <w:r w:rsidR="003C1FEF">
        <w:t xml:space="preserve">during all four alert levels, </w:t>
      </w:r>
      <w:r w:rsidRPr="000A0549">
        <w:t>with full regard for health and safety</w:t>
      </w:r>
      <w:r w:rsidR="00973B2C">
        <w:t xml:space="preserve"> which I shared with the Speaker, Prime Minister</w:t>
      </w:r>
      <w:r w:rsidR="00A458CB">
        <w:t>,</w:t>
      </w:r>
      <w:r w:rsidR="00973B2C">
        <w:t xml:space="preserve"> and Director-General of Health.  My inspections </w:t>
      </w:r>
      <w:r>
        <w:t>were</w:t>
      </w:r>
      <w:r w:rsidRPr="000A0549">
        <w:t xml:space="preserve"> short and targeted, using specific COVID-19 relevant assessment criteria</w:t>
      </w:r>
      <w:r w:rsidR="003C1FEF">
        <w:t xml:space="preserve"> that I developed</w:t>
      </w:r>
      <w:r w:rsidRPr="000A0549">
        <w:t>.</w:t>
      </w:r>
      <w:r w:rsidRPr="000A0549">
        <w:rPr>
          <w:rStyle w:val="FootnoteReference"/>
        </w:rPr>
        <w:footnoteReference w:id="24"/>
      </w:r>
      <w:r>
        <w:t xml:space="preserve"> I was </w:t>
      </w:r>
      <w:r w:rsidRPr="000D6BE6">
        <w:t xml:space="preserve">mindful of the </w:t>
      </w:r>
      <w:r w:rsidRPr="00CC2880">
        <w:rPr>
          <w:rStyle w:val="Italics"/>
        </w:rPr>
        <w:t>‘do no harm’</w:t>
      </w:r>
      <w:r w:rsidRPr="000D6BE6">
        <w:t xml:space="preserve"> principle and of the need to enter facilities and carry</w:t>
      </w:r>
      <w:r>
        <w:t xml:space="preserve"> out inspections in a way that wa</w:t>
      </w:r>
      <w:r w:rsidRPr="000D6BE6">
        <w:t>s safe, effective</w:t>
      </w:r>
      <w:r>
        <w:t>,</w:t>
      </w:r>
      <w:r w:rsidRPr="000D6BE6">
        <w:t xml:space="preserve"> and supportive in this rapidly changing environment. </w:t>
      </w:r>
      <w:r>
        <w:t>My inspections</w:t>
      </w:r>
      <w:r w:rsidRPr="000A0549">
        <w:t xml:space="preserve"> </w:t>
      </w:r>
      <w:r w:rsidR="003C1FEF">
        <w:t xml:space="preserve">were all announced, and </w:t>
      </w:r>
      <w:r w:rsidRPr="000A0549">
        <w:t xml:space="preserve">required new </w:t>
      </w:r>
      <w:r>
        <w:t xml:space="preserve">health and safety </w:t>
      </w:r>
      <w:r w:rsidRPr="000A0549">
        <w:t>procedures</w:t>
      </w:r>
      <w:r>
        <w:t xml:space="preserve">, </w:t>
      </w:r>
      <w:r w:rsidRPr="000A0549">
        <w:t xml:space="preserve">urgent acquisition of scarce </w:t>
      </w:r>
      <w:r w:rsidR="009A5311">
        <w:t>personal protective equipment (</w:t>
      </w:r>
      <w:r w:rsidRPr="000A0549">
        <w:t>PPE</w:t>
      </w:r>
      <w:r w:rsidR="009A5311">
        <w:t>)</w:t>
      </w:r>
      <w:r>
        <w:t>, and training on proper use of PPE during a pandemic</w:t>
      </w:r>
      <w:r w:rsidRPr="000A0549">
        <w:t xml:space="preserve">. </w:t>
      </w:r>
    </w:p>
    <w:p w14:paraId="6592CE3B" w14:textId="0B7291B2" w:rsidR="0007114F" w:rsidRDefault="0007114F" w:rsidP="0007114F">
      <w:pPr>
        <w:pStyle w:val="BodyText"/>
      </w:pPr>
      <w:r w:rsidRPr="000A0549">
        <w:t xml:space="preserve">In total, I undertook COVID-19 inspections of nine prisons, </w:t>
      </w:r>
      <w:r>
        <w:t>six</w:t>
      </w:r>
      <w:r w:rsidRPr="000A0549">
        <w:t xml:space="preserve"> health and disability places of detention, and 12 aged care facilities. </w:t>
      </w:r>
      <w:r w:rsidRPr="00A827C8">
        <w:t xml:space="preserve">Given the unprecedented nature of the time and circumstances, I considered it would be </w:t>
      </w:r>
      <w:r>
        <w:t>appropriate to produce and publish thematic reports about my observations and recommendations for the three facility types.</w:t>
      </w:r>
      <w:r>
        <w:rPr>
          <w:rStyle w:val="FootnoteReference"/>
        </w:rPr>
        <w:footnoteReference w:id="25"/>
      </w:r>
      <w:r w:rsidRPr="00A827C8">
        <w:t xml:space="preserve"> The inspections were intended to give insight into how the</w:t>
      </w:r>
      <w:r>
        <w:t>se</w:t>
      </w:r>
      <w:r w:rsidRPr="00A827C8">
        <w:t xml:space="preserve"> sector</w:t>
      </w:r>
      <w:r>
        <w:t>s</w:t>
      </w:r>
      <w:r w:rsidRPr="00A827C8">
        <w:t xml:space="preserve"> w</w:t>
      </w:r>
      <w:r>
        <w:t>ere</w:t>
      </w:r>
      <w:r w:rsidRPr="00A827C8">
        <w:t xml:space="preserve"> managing as a whole. </w:t>
      </w:r>
    </w:p>
    <w:p w14:paraId="4BFE9908" w14:textId="5D971AC2" w:rsidR="00135895" w:rsidRDefault="00CC2880" w:rsidP="0007114F">
      <w:pPr>
        <w:pStyle w:val="BodyText"/>
      </w:pPr>
      <w:r w:rsidRPr="00CC2880">
        <w:t xml:space="preserve">I </w:t>
      </w:r>
      <w:r w:rsidR="00E65E96">
        <w:t>also</w:t>
      </w:r>
      <w:r w:rsidR="00E65E96" w:rsidRPr="00CC2880">
        <w:t xml:space="preserve"> </w:t>
      </w:r>
      <w:r w:rsidRPr="00CC2880">
        <w:t xml:space="preserve">commenced building a new work programme for inspection of MIQ facilities, including obtaining information from the Ministry of Health, building my inspection methodology, confirming health and safety procedures, undertaking planning and logistics, and updating my reporting and communications material. Inspections </w:t>
      </w:r>
      <w:r>
        <w:t xml:space="preserve">of MIQ facilities </w:t>
      </w:r>
      <w:r w:rsidR="0083123D">
        <w:t>have</w:t>
      </w:r>
      <w:r w:rsidRPr="00CC2880">
        <w:t xml:space="preserve"> commence</w:t>
      </w:r>
      <w:r w:rsidR="0083123D">
        <w:t>d</w:t>
      </w:r>
      <w:r w:rsidRPr="00CC2880">
        <w:t xml:space="preserve"> in the 2020/21 reporting year</w:t>
      </w:r>
      <w:r w:rsidR="00567730" w:rsidRPr="00CC2880">
        <w:t>.</w:t>
      </w:r>
      <w:r w:rsidR="00567730" w:rsidRPr="00956319">
        <w:t xml:space="preserve"> </w:t>
      </w:r>
    </w:p>
    <w:p w14:paraId="01419B75" w14:textId="77777777" w:rsidR="009A41E1" w:rsidRPr="002259BF" w:rsidRDefault="009A41E1" w:rsidP="00840A7B">
      <w:pPr>
        <w:pStyle w:val="Heading3"/>
        <w:numPr>
          <w:ilvl w:val="2"/>
          <w:numId w:val="32"/>
        </w:numPr>
        <w:spacing w:before="360" w:line="240" w:lineRule="auto"/>
      </w:pPr>
      <w:r>
        <w:t>Visits and inspections</w:t>
      </w:r>
    </w:p>
    <w:p w14:paraId="4CF578EC" w14:textId="77777777" w:rsidR="0081525B" w:rsidRDefault="003C1FEF" w:rsidP="00014257">
      <w:pPr>
        <w:pStyle w:val="BodyText"/>
        <w:numPr>
          <w:ilvl w:val="0"/>
          <w:numId w:val="32"/>
        </w:numPr>
      </w:pPr>
      <w:r>
        <w:t>When combining general and COVID-19 focused activities, i</w:t>
      </w:r>
      <w:r w:rsidR="00014257" w:rsidRPr="005B21BE">
        <w:t xml:space="preserve">n 2019/20 I carried out a total of </w:t>
      </w:r>
      <w:r w:rsidR="00014257">
        <w:t>84</w:t>
      </w:r>
      <w:r w:rsidR="00014257" w:rsidRPr="005B21BE">
        <w:t xml:space="preserve"> visits</w:t>
      </w:r>
      <w:r>
        <w:t xml:space="preserve"> to places of detention</w:t>
      </w:r>
      <w:r w:rsidR="00014257" w:rsidRPr="005B21BE">
        <w:t xml:space="preserve">, including </w:t>
      </w:r>
      <w:r w:rsidR="00014257">
        <w:t>59</w:t>
      </w:r>
      <w:r w:rsidR="00014257" w:rsidRPr="005B21BE">
        <w:t xml:space="preserve"> formal inspections. </w:t>
      </w:r>
      <w:r w:rsidR="0081525B">
        <w:t xml:space="preserve">This brings the total number of visits conducted over the </w:t>
      </w:r>
      <w:r w:rsidR="0081525B" w:rsidRPr="00FF50E7">
        <w:t>1</w:t>
      </w:r>
      <w:r w:rsidR="0081525B">
        <w:t>3-</w:t>
      </w:r>
      <w:r w:rsidR="0081525B" w:rsidRPr="00B91240">
        <w:t xml:space="preserve">year period of </w:t>
      </w:r>
      <w:r w:rsidR="0081525B">
        <w:t>the Ombudsman’s</w:t>
      </w:r>
      <w:r w:rsidR="0081525B" w:rsidRPr="00B91240">
        <w:t xml:space="preserve"> operation </w:t>
      </w:r>
      <w:r>
        <w:t>under OPCAT</w:t>
      </w:r>
      <w:r w:rsidR="0081525B" w:rsidRPr="00B91240">
        <w:t xml:space="preserve"> to </w:t>
      </w:r>
      <w:r w:rsidR="0081525B">
        <w:t>573</w:t>
      </w:r>
      <w:r w:rsidR="0081525B" w:rsidRPr="00834658">
        <w:t xml:space="preserve">, </w:t>
      </w:r>
      <w:r w:rsidR="0081525B" w:rsidRPr="00B91240">
        <w:t xml:space="preserve">including </w:t>
      </w:r>
      <w:r w:rsidR="0081525B">
        <w:t>252</w:t>
      </w:r>
      <w:r w:rsidR="0081525B" w:rsidRPr="00B91240">
        <w:t xml:space="preserve"> formal inspections.</w:t>
      </w:r>
      <w:r w:rsidR="0081525B">
        <w:t xml:space="preserve"> </w:t>
      </w:r>
    </w:p>
    <w:p w14:paraId="002CD007" w14:textId="276A6788" w:rsidR="00014257" w:rsidRDefault="008B7C14" w:rsidP="00BC2467">
      <w:pPr>
        <w:pStyle w:val="BodyText"/>
      </w:pPr>
      <w:r w:rsidRPr="005B21BE">
        <w:t>Thirty visits (5</w:t>
      </w:r>
      <w:r>
        <w:t>2</w:t>
      </w:r>
      <w:r w:rsidRPr="005B21BE">
        <w:t xml:space="preserve"> percent</w:t>
      </w:r>
      <w:r>
        <w:t xml:space="preserve"> of non-COVID-19 specific visits</w:t>
      </w:r>
      <w:r w:rsidR="00676BE5">
        <w:t>)</w:t>
      </w:r>
      <w:r w:rsidRPr="005B21BE">
        <w:t xml:space="preserve"> were unannounced.</w:t>
      </w:r>
      <w:r w:rsidRPr="006A2439">
        <w:t xml:space="preserve"> </w:t>
      </w:r>
      <w:r w:rsidR="0081525B">
        <w:t xml:space="preserve">In total, </w:t>
      </w:r>
      <w:r w:rsidR="0081525B" w:rsidRPr="00F63FE3">
        <w:t>24</w:t>
      </w:r>
      <w:r w:rsidR="0081525B" w:rsidRPr="0049786E">
        <w:t xml:space="preserve"> report</w:t>
      </w:r>
      <w:r w:rsidR="0081525B">
        <w:t>s</w:t>
      </w:r>
      <w:r w:rsidR="0081525B" w:rsidRPr="00F63FE3">
        <w:t xml:space="preserve"> (</w:t>
      </w:r>
      <w:r w:rsidR="00A36B0F">
        <w:t>8</w:t>
      </w:r>
      <w:r w:rsidR="00A36B0F" w:rsidRPr="00F63FE3">
        <w:t xml:space="preserve">6 </w:t>
      </w:r>
      <w:r w:rsidR="0081525B" w:rsidRPr="00F63FE3">
        <w:t>percent</w:t>
      </w:r>
      <w:r w:rsidR="0081525B" w:rsidRPr="0049786E">
        <w:t xml:space="preserve"> of all drafted report</w:t>
      </w:r>
      <w:r w:rsidR="0081525B">
        <w:t>s</w:t>
      </w:r>
      <w:r w:rsidR="0081525B" w:rsidRPr="00F63FE3">
        <w:t xml:space="preserve">) </w:t>
      </w:r>
      <w:r w:rsidR="0081525B" w:rsidRPr="0049786E">
        <w:t xml:space="preserve">were provided to the relevant facility </w:t>
      </w:r>
      <w:r w:rsidR="0081525B" w:rsidRPr="00F63FE3">
        <w:t>within 12 weeks of the last day of the inspection.</w:t>
      </w:r>
      <w:r w:rsidR="0081525B">
        <w:t xml:space="preserve"> </w:t>
      </w:r>
      <w:r>
        <w:t>More information about these inspections</w:t>
      </w:r>
      <w:r w:rsidR="00652D3E">
        <w:t>, including links to reports</w:t>
      </w:r>
      <w:r w:rsidR="00364FD2">
        <w:t xml:space="preserve"> published this year</w:t>
      </w:r>
      <w:r w:rsidR="00652D3E">
        <w:t>,</w:t>
      </w:r>
      <w:r>
        <w:t xml:space="preserve"> can be found in </w:t>
      </w:r>
      <w:hyperlink w:anchor="_OPCAT_inspections" w:history="1">
        <w:r w:rsidR="007802A1" w:rsidRPr="007802A1">
          <w:rPr>
            <w:rStyle w:val="Hyperlink"/>
          </w:rPr>
          <w:t>P</w:t>
        </w:r>
        <w:r w:rsidRPr="007802A1">
          <w:rPr>
            <w:rStyle w:val="Hyperlink"/>
          </w:rPr>
          <w:t>art 7</w:t>
        </w:r>
      </w:hyperlink>
      <w:r>
        <w:t xml:space="preserve">. </w:t>
      </w:r>
    </w:p>
    <w:p w14:paraId="523556C3" w14:textId="77777777" w:rsidR="00676BE5" w:rsidRDefault="00676BE5" w:rsidP="00E61124">
      <w:pPr>
        <w:pStyle w:val="BodyText"/>
      </w:pPr>
      <w:r>
        <w:t>Each place of detention contains a wide variety of people, often with complex and competing needs</w:t>
      </w:r>
      <w:r w:rsidRPr="002B4E05">
        <w:t xml:space="preserve">. </w:t>
      </w:r>
      <w:r>
        <w:t xml:space="preserve">All have to be managed within a framework that is consistent and fair to all. While I appreciate the complexity of running such facilities and caring for detainees, my role is to monitor whether </w:t>
      </w:r>
      <w:r w:rsidR="003C1FEF">
        <w:t>people are treated appropriately and</w:t>
      </w:r>
      <w:r>
        <w:t xml:space="preserve"> in a way that avoids the possibility of torture or other cruel, inhuman or degrading treatment, or punishment occurring. </w:t>
      </w:r>
    </w:p>
    <w:p w14:paraId="634E55D9" w14:textId="3812A38C" w:rsidR="009A41E1" w:rsidRDefault="009A41E1" w:rsidP="009A41E1">
      <w:pPr>
        <w:pStyle w:val="BodyText"/>
        <w:keepNext/>
      </w:pPr>
      <w:r w:rsidRPr="00223D34">
        <w:t xml:space="preserve">This </w:t>
      </w:r>
      <w:r w:rsidRPr="00084888">
        <w:t xml:space="preserve">year, </w:t>
      </w:r>
      <w:r w:rsidR="003021A1">
        <w:t>I</w:t>
      </w:r>
      <w:r w:rsidRPr="00084888">
        <w:t xml:space="preserve"> made </w:t>
      </w:r>
      <w:r w:rsidR="00BA0FBE">
        <w:t>125</w:t>
      </w:r>
      <w:r w:rsidR="00BA0FBE" w:rsidRPr="00084888">
        <w:t xml:space="preserve"> </w:t>
      </w:r>
      <w:r w:rsidRPr="00084888">
        <w:t xml:space="preserve">recommendations, of which </w:t>
      </w:r>
      <w:r w:rsidR="00BA0FBE">
        <w:t>90</w:t>
      </w:r>
      <w:r w:rsidR="00BA0FBE" w:rsidRPr="00084888">
        <w:t xml:space="preserve"> </w:t>
      </w:r>
      <w:r w:rsidRPr="00084888">
        <w:t>(</w:t>
      </w:r>
      <w:r w:rsidR="00BA0FBE">
        <w:t>72</w:t>
      </w:r>
      <w:r w:rsidR="00BA0FBE" w:rsidRPr="00084888">
        <w:t xml:space="preserve"> </w:t>
      </w:r>
      <w:r w:rsidRPr="00084888">
        <w:t>percent) were accepted or partially accepted.</w:t>
      </w:r>
      <w:r w:rsidR="007802A1">
        <w:t xml:space="preserve"> A further breakdown of these recommendations can</w:t>
      </w:r>
      <w:r w:rsidR="00676BE5">
        <w:t xml:space="preserve"> also</w:t>
      </w:r>
      <w:r w:rsidR="007802A1">
        <w:t xml:space="preserve"> be found in </w:t>
      </w:r>
      <w:hyperlink w:anchor="_OPCAT_inspections" w:history="1">
        <w:r w:rsidR="007802A1" w:rsidRPr="007802A1">
          <w:rPr>
            <w:rStyle w:val="Hyperlink"/>
          </w:rPr>
          <w:t>Part 7</w:t>
        </w:r>
      </w:hyperlink>
      <w:r w:rsidR="007802A1">
        <w:t>.</w:t>
      </w:r>
    </w:p>
    <w:p w14:paraId="4F405A58" w14:textId="77777777" w:rsidR="007802A1" w:rsidRDefault="007802A1" w:rsidP="007802A1">
      <w:pPr>
        <w:pStyle w:val="Heading4"/>
        <w:spacing w:before="240"/>
      </w:pPr>
      <w:bookmarkStart w:id="68" w:name="_Prisons"/>
      <w:bookmarkEnd w:id="68"/>
      <w:r w:rsidRPr="005710F7">
        <w:t>Prisons</w:t>
      </w:r>
    </w:p>
    <w:p w14:paraId="72D6CD1D" w14:textId="3E191537" w:rsidR="007802A1" w:rsidRDefault="007802A1" w:rsidP="007802A1">
      <w:pPr>
        <w:pStyle w:val="BodyText"/>
      </w:pPr>
      <w:r>
        <w:t xml:space="preserve">I conducted two full inspections, one follow up inspection, and nine COVID-19 focused </w:t>
      </w:r>
      <w:r w:rsidR="00B96B35">
        <w:t>inspections</w:t>
      </w:r>
      <w:r w:rsidR="004F6183" w:rsidRPr="004F6183">
        <w:t xml:space="preserve"> </w:t>
      </w:r>
      <w:r w:rsidR="004F6183">
        <w:t>at prisons</w:t>
      </w:r>
      <w:r w:rsidR="004F6183" w:rsidRPr="003C3C4B">
        <w:t xml:space="preserve"> in 2019/20</w:t>
      </w:r>
      <w:r>
        <w:t>.</w:t>
      </w:r>
      <w:r w:rsidR="00EE4829">
        <w:t xml:space="preserve"> (Full list of inspections in </w:t>
      </w:r>
      <w:hyperlink w:anchor="Inspections" w:history="1">
        <w:r w:rsidR="00EE4829" w:rsidRPr="00EE4829">
          <w:rPr>
            <w:rStyle w:val="Hyperlink"/>
          </w:rPr>
          <w:t>Part 7</w:t>
        </w:r>
      </w:hyperlink>
      <w:r w:rsidR="00EE4829">
        <w:t>.)</w:t>
      </w:r>
      <w:r>
        <w:t xml:space="preserve"> I</w:t>
      </w:r>
      <w:r w:rsidRPr="00785200">
        <w:t xml:space="preserve"> reported</w:t>
      </w:r>
      <w:r>
        <w:t xml:space="preserve"> concerns that were similar to those raised in previous years</w:t>
      </w:r>
      <w:r w:rsidR="003C1FEF">
        <w:t>, including</w:t>
      </w:r>
      <w:r>
        <w:t xml:space="preserve"> treatment of remand prisoners, time out of cell, material conditions in prisons, treatment of Māori prisoners and engagement with mana whenua,</w:t>
      </w:r>
      <w:r w:rsidR="00EE4829">
        <w:rPr>
          <w:rStyle w:val="FootnoteReference"/>
        </w:rPr>
        <w:footnoteReference w:id="26"/>
      </w:r>
      <w:r>
        <w:t xml:space="preserve"> and low levels of confidence in the complaints system.</w:t>
      </w:r>
    </w:p>
    <w:p w14:paraId="3587C7FF" w14:textId="77777777" w:rsidR="007802A1" w:rsidRPr="000B1BF5" w:rsidRDefault="007802A1" w:rsidP="002733A7">
      <w:pPr>
        <w:pStyle w:val="BodyText"/>
      </w:pPr>
      <w:r>
        <w:t xml:space="preserve">The proportion of prisoners on remand, and their treatment, continues to be of significant concern. The </w:t>
      </w:r>
      <w:r w:rsidR="00676BE5">
        <w:t xml:space="preserve">national </w:t>
      </w:r>
      <w:r>
        <w:t>remand population is close to 40 percent.</w:t>
      </w:r>
      <w:r>
        <w:rPr>
          <w:rStyle w:val="FootnoteReference"/>
        </w:rPr>
        <w:footnoteReference w:id="27"/>
      </w:r>
      <w:r>
        <w:t xml:space="preserve"> The most recent projections are that people on remand will make up over 50 percent of the prison population by 2029.</w:t>
      </w:r>
      <w:r>
        <w:rPr>
          <w:rStyle w:val="FootnoteReference"/>
        </w:rPr>
        <w:footnoteReference w:id="28"/>
      </w:r>
    </w:p>
    <w:p w14:paraId="35106238" w14:textId="77777777" w:rsidR="007802A1" w:rsidRDefault="007802A1" w:rsidP="007802A1">
      <w:pPr>
        <w:pStyle w:val="BodyText"/>
        <w:widowControl w:val="0"/>
        <w:rPr>
          <w:rStyle w:val="Quotationwithinthesentence"/>
          <w:i w:val="0"/>
        </w:rPr>
      </w:pPr>
      <w:r>
        <w:t xml:space="preserve">Many remand prisoners are accommodated in high security units and subject to a basic yard-to-cell regime, meaning that they spend upwards of 20 hours per day in their cell. </w:t>
      </w:r>
      <w:r w:rsidR="001C7062">
        <w:t xml:space="preserve">Inspections continue to find that the time prisoners generally receive out of their cells continues to be </w:t>
      </w:r>
      <w:r w:rsidR="003C1FEF">
        <w:t>limited</w:t>
      </w:r>
      <w:r w:rsidR="001C7062">
        <w:t xml:space="preserve"> for many. </w:t>
      </w:r>
      <w:r w:rsidRPr="00436994">
        <w:t>I have made repeated recommendations about the periods of time-in-cell and lack of activities for remand prisoners in recent years</w:t>
      </w:r>
      <w:r>
        <w:t xml:space="preserve">. </w:t>
      </w:r>
    </w:p>
    <w:p w14:paraId="5094DD5A" w14:textId="1C5EB8B4" w:rsidR="007802A1" w:rsidRDefault="007802A1" w:rsidP="007802A1">
      <w:pPr>
        <w:pStyle w:val="BodyText"/>
      </w:pPr>
      <w:r>
        <w:t>Many prison sites have facilities that are no longer fit-for-purpose, but which have continued to be used due to the high prison population.</w:t>
      </w:r>
      <w:r w:rsidR="00D403D1">
        <w:t xml:space="preserve"> </w:t>
      </w:r>
      <w:r>
        <w:t xml:space="preserve">The conditions are concerning enough on their own. However, when combined with long periods of time in cell, the substandard conditions </w:t>
      </w:r>
      <w:r w:rsidR="003C1FEF">
        <w:t xml:space="preserve">can </w:t>
      </w:r>
      <w:r>
        <w:t>lead to frustration, boredom, and deteriorating physical, mental</w:t>
      </w:r>
      <w:r w:rsidR="00490DAA">
        <w:t>,</w:t>
      </w:r>
      <w:r>
        <w:t xml:space="preserve"> and spiritual wellbeing.</w:t>
      </w:r>
      <w:r w:rsidR="00B21145">
        <w:t xml:space="preserve"> I understand that the Department </w:t>
      </w:r>
      <w:r w:rsidR="00863BDE">
        <w:t>intends to</w:t>
      </w:r>
      <w:r w:rsidR="00B21145">
        <w:t xml:space="preserve"> tak</w:t>
      </w:r>
      <w:r w:rsidR="00863BDE">
        <w:t>e</w:t>
      </w:r>
      <w:r w:rsidR="00B21145">
        <w:t xml:space="preserve"> advantage of the reduction in the prison population to </w:t>
      </w:r>
      <w:r w:rsidR="00863BDE">
        <w:t>m</w:t>
      </w:r>
      <w:r w:rsidR="00B21145">
        <w:t xml:space="preserve">ake steps </w:t>
      </w:r>
      <w:r w:rsidR="00863BDE">
        <w:t>toward addressing these concerns with the facilities.</w:t>
      </w:r>
    </w:p>
    <w:p w14:paraId="79FCABD2" w14:textId="5B4C68DF" w:rsidR="00490DAA" w:rsidRDefault="00490DAA" w:rsidP="00490DAA">
      <w:pPr>
        <w:pStyle w:val="BodyText"/>
      </w:pPr>
      <w:r>
        <w:t>I have not observed any material improvements in the complaints system, or confidence in it, over the last year. In the last 12 months, I conducted two prisoner surveys which continued to indicate that prisoners do not have faith and confidence in the complaints system</w:t>
      </w:r>
      <w:r w:rsidR="002C3AFF">
        <w:t>. I have recently been advised of changes to this process, including early access to and resolution focus from the Office of the Inspectorate.</w:t>
      </w:r>
      <w:r w:rsidR="002C3AFF">
        <w:rPr>
          <w:rStyle w:val="FootnoteReference"/>
        </w:rPr>
        <w:footnoteReference w:id="29"/>
      </w:r>
      <w:r w:rsidR="002C3AFF">
        <w:t xml:space="preserve"> I will be interested to see how these changes affect prisoner confidence.</w:t>
      </w:r>
    </w:p>
    <w:p w14:paraId="6D58873B" w14:textId="77777777" w:rsidR="007802A1" w:rsidRDefault="007802A1" w:rsidP="007802A1">
      <w:pPr>
        <w:pStyle w:val="BodyText"/>
      </w:pPr>
      <w:r w:rsidRPr="00535CD1">
        <w:rPr>
          <w:rStyle w:val="BodyTextChar"/>
        </w:rPr>
        <w:t>Inspections continue to observe disproportionate rates of incarceration of Māori. However, provision of kaupapa Māori programmes and practices in prisons remains low</w:t>
      </w:r>
      <w:r w:rsidR="003C3875">
        <w:rPr>
          <w:rStyle w:val="BodyTextChar"/>
        </w:rPr>
        <w:t xml:space="preserve">. </w:t>
      </w:r>
      <w:r w:rsidR="00392DCF">
        <w:t xml:space="preserve">I </w:t>
      </w:r>
      <w:r>
        <w:t>acknowledge that Ara Poutama Aotearoa</w:t>
      </w:r>
      <w:r>
        <w:rPr>
          <w:rStyle w:val="FootnoteReference"/>
        </w:rPr>
        <w:footnoteReference w:id="30"/>
      </w:r>
      <w:r w:rsidR="008A3F66">
        <w:t xml:space="preserve"> (Department of Corrections)</w:t>
      </w:r>
      <w:r>
        <w:t xml:space="preserve"> released its strategy </w:t>
      </w:r>
      <w:r>
        <w:rPr>
          <w:i/>
        </w:rPr>
        <w:t xml:space="preserve">Hōkai Rangi 2019 – 2024 </w:t>
      </w:r>
      <w:r>
        <w:t xml:space="preserve">in August 2019. </w:t>
      </w:r>
      <w:r>
        <w:rPr>
          <w:i/>
        </w:rPr>
        <w:t xml:space="preserve">Hōkai Rangi </w:t>
      </w:r>
      <w:r>
        <w:t xml:space="preserve">commits to </w:t>
      </w:r>
      <w:r w:rsidRPr="000B1E4B">
        <w:t xml:space="preserve">delivering outcomes to address the significant over-representation of Māori in the corrections system. </w:t>
      </w:r>
      <w:r>
        <w:t xml:space="preserve">I look forward to seeing progress on implementing </w:t>
      </w:r>
      <w:r>
        <w:rPr>
          <w:i/>
        </w:rPr>
        <w:t xml:space="preserve">Hōkai Rangi </w:t>
      </w:r>
      <w:r>
        <w:t>in future inspections.</w:t>
      </w:r>
    </w:p>
    <w:tbl>
      <w:tblPr>
        <w:tblStyle w:val="TableBox"/>
        <w:tblW w:w="9297" w:type="dxa"/>
        <w:tblLayout w:type="fixed"/>
        <w:tblCellMar>
          <w:bottom w:w="0" w:type="dxa"/>
        </w:tblCellMar>
        <w:tblLook w:val="04A0" w:firstRow="1" w:lastRow="0" w:firstColumn="1" w:lastColumn="0" w:noHBand="0" w:noVBand="1"/>
        <w:tblCaption w:val="Box to emphasise text"/>
      </w:tblPr>
      <w:tblGrid>
        <w:gridCol w:w="9297"/>
      </w:tblGrid>
      <w:tr w:rsidR="003C1FEF" w14:paraId="5FE709A8" w14:textId="77777777" w:rsidTr="00E36674">
        <w:tc>
          <w:tcPr>
            <w:tcW w:w="9514" w:type="dxa"/>
          </w:tcPr>
          <w:p w14:paraId="7848CAA8" w14:textId="77777777" w:rsidR="003C1FEF" w:rsidRDefault="003C1FEF" w:rsidP="00943BA7">
            <w:pPr>
              <w:pStyle w:val="Headingboxtexttop"/>
              <w:tabs>
                <w:tab w:val="num" w:pos="567"/>
              </w:tabs>
            </w:pPr>
            <w:r>
              <w:t>Prisons during COVID-19</w:t>
            </w:r>
            <w:r>
              <w:rPr>
                <w:rStyle w:val="FootnoteReference"/>
              </w:rPr>
              <w:footnoteReference w:id="31"/>
            </w:r>
          </w:p>
          <w:p w14:paraId="1B938259" w14:textId="77777777" w:rsidR="003C1FEF" w:rsidRPr="00FA2CB1" w:rsidRDefault="003C1FEF" w:rsidP="005A6613">
            <w:pPr>
              <w:pStyle w:val="Boxsmalltext"/>
            </w:pPr>
            <w:r w:rsidRPr="003C1FEF">
              <w:t>Prisons responded to the COVID-19 pandemic in a well-resourced, balanced, and efficient manner, despite the complex challenges of managing prisoners at this time. I observed generally positive relationships between staff and prisoners, and noted enhanced health and safety processes were in place and effectively communicated. Prisons had taken measures to support prisoners in maintaining contact with the outside world, and provided them with relevant and up-to-date information about COVID-19. Prisoners spoke of feeling supported, safe, and well-informed</w:t>
            </w:r>
            <w:r w:rsidRPr="00FA2CB1">
              <w:t>.</w:t>
            </w:r>
          </w:p>
          <w:p w14:paraId="04FC58CB" w14:textId="77777777" w:rsidR="003C1FEF" w:rsidRDefault="003C1FEF" w:rsidP="00E36674">
            <w:pPr>
              <w:pStyle w:val="Boxsmalltext"/>
              <w:keepLines/>
            </w:pPr>
            <w:r>
              <w:t xml:space="preserve">I made some recommendations for improving the conditions and treatment of prisoners in seven prisons. In particular, I found that </w:t>
            </w:r>
            <w:r w:rsidRPr="00FA2CB1">
              <w:t xml:space="preserve">some prisoners </w:t>
            </w:r>
            <w:r>
              <w:t xml:space="preserve">in some units at four prisons </w:t>
            </w:r>
            <w:r w:rsidRPr="00FA2CB1">
              <w:t xml:space="preserve">were not receiving access to </w:t>
            </w:r>
            <w:r>
              <w:t xml:space="preserve">at least </w:t>
            </w:r>
            <w:r w:rsidRPr="00436994">
              <w:t>one hour of fresh air on a daily basis</w:t>
            </w:r>
            <w:r>
              <w:t>,</w:t>
            </w:r>
            <w:r w:rsidRPr="00E12FF7">
              <w:rPr>
                <w:rStyle w:val="FootnoteReference"/>
              </w:rPr>
              <w:footnoteReference w:id="32"/>
            </w:r>
            <w:r>
              <w:t xml:space="preserve"> or being provided with activities to occupy their time</w:t>
            </w:r>
            <w:r w:rsidRPr="00FA2CB1">
              <w:t>.</w:t>
            </w:r>
            <w:r>
              <w:t xml:space="preserve"> </w:t>
            </w:r>
          </w:p>
        </w:tc>
      </w:tr>
    </w:tbl>
    <w:p w14:paraId="3D6A6ECA" w14:textId="77777777" w:rsidR="00045276" w:rsidRPr="00045276" w:rsidRDefault="00045276" w:rsidP="00045276">
      <w:pPr>
        <w:pStyle w:val="Whitespace"/>
      </w:pPr>
    </w:p>
    <w:p w14:paraId="3728FF6B" w14:textId="77777777" w:rsidR="007802A1" w:rsidRDefault="007802A1" w:rsidP="002733A7">
      <w:pPr>
        <w:pStyle w:val="Heading4"/>
      </w:pPr>
      <w:r>
        <w:t>Intellectual disability facilities</w:t>
      </w:r>
    </w:p>
    <w:p w14:paraId="3ADB8303" w14:textId="77777777" w:rsidR="007802A1" w:rsidRDefault="007802A1" w:rsidP="00BC2467">
      <w:pPr>
        <w:pStyle w:val="BodyText"/>
        <w:keepLines/>
      </w:pPr>
      <w:r>
        <w:t>This year, I inspected</w:t>
      </w:r>
      <w:r w:rsidRPr="007243C3">
        <w:t xml:space="preserve"> </w:t>
      </w:r>
      <w:r>
        <w:t xml:space="preserve">16 Regional Intellectual Disability Supported Accommodation Service (RIDSAS) facilities. </w:t>
      </w:r>
      <w:r w:rsidR="003C1FEF">
        <w:t>My</w:t>
      </w:r>
      <w:r>
        <w:t xml:space="preserve"> reports on these facilities</w:t>
      </w:r>
      <w:r w:rsidR="003C1FEF">
        <w:t xml:space="preserve"> are currently underway</w:t>
      </w:r>
      <w:r>
        <w:t xml:space="preserve">. </w:t>
      </w:r>
    </w:p>
    <w:p w14:paraId="123DED73" w14:textId="77777777" w:rsidR="007802A1" w:rsidRDefault="007802A1" w:rsidP="002733A7">
      <w:pPr>
        <w:pStyle w:val="Heading4"/>
      </w:pPr>
      <w:r>
        <w:t>Mental health facilities</w:t>
      </w:r>
    </w:p>
    <w:p w14:paraId="6CCB02B5" w14:textId="039D6B89" w:rsidR="007802A1" w:rsidRDefault="007802A1" w:rsidP="007802A1">
      <w:pPr>
        <w:pStyle w:val="BodyText"/>
      </w:pPr>
      <w:r>
        <w:t xml:space="preserve">I conducted </w:t>
      </w:r>
      <w:r w:rsidRPr="003C3C4B">
        <w:t>inspections of 17 mental health inpatient units in 2019/20, including</w:t>
      </w:r>
      <w:r>
        <w:t xml:space="preserve"> two follow up inspections and five COVID-19 focused </w:t>
      </w:r>
      <w:r w:rsidR="00B96B35">
        <w:t>inspections</w:t>
      </w:r>
      <w:r>
        <w:t>.</w:t>
      </w:r>
      <w:r w:rsidR="00490DAA" w:rsidRPr="00490DAA">
        <w:t xml:space="preserve"> </w:t>
      </w:r>
      <w:r w:rsidR="00490DAA">
        <w:t xml:space="preserve">(Full list of inspections in </w:t>
      </w:r>
      <w:hyperlink w:anchor="Inspections" w:history="1">
        <w:r w:rsidR="00490DAA" w:rsidRPr="00EE4829">
          <w:rPr>
            <w:rStyle w:val="Hyperlink"/>
          </w:rPr>
          <w:t>Part 7</w:t>
        </w:r>
      </w:hyperlink>
      <w:r w:rsidR="00490DAA">
        <w:t>.)</w:t>
      </w:r>
      <w:r>
        <w:t xml:space="preserve"> I also published, for the first time, </w:t>
      </w:r>
      <w:hyperlink w:anchor="OPCATreport" w:history="1">
        <w:r w:rsidRPr="00490DAA">
          <w:rPr>
            <w:rStyle w:val="Hyperlink"/>
          </w:rPr>
          <w:t>four mental health reports</w:t>
        </w:r>
      </w:hyperlink>
      <w:r>
        <w:t>.</w:t>
      </w:r>
      <w:r w:rsidR="00490DAA">
        <w:t xml:space="preserve"> </w:t>
      </w:r>
    </w:p>
    <w:p w14:paraId="4333C0DB" w14:textId="77777777" w:rsidR="007802A1" w:rsidRDefault="007802A1" w:rsidP="007802A1">
      <w:pPr>
        <w:pStyle w:val="BodyText"/>
      </w:pPr>
      <w:r>
        <w:t>My assessment of mental health facilities</w:t>
      </w:r>
      <w:r w:rsidRPr="00785200">
        <w:t xml:space="preserve"> </w:t>
      </w:r>
      <w:r w:rsidR="00B96B35">
        <w:t xml:space="preserve">in </w:t>
      </w:r>
      <w:r w:rsidRPr="00785200">
        <w:t>New</w:t>
      </w:r>
      <w:r>
        <w:t xml:space="preserve"> Zealand continues to be varied.</w:t>
      </w:r>
      <w:r w:rsidRPr="00785200">
        <w:t xml:space="preserve"> </w:t>
      </w:r>
      <w:r>
        <w:t>I</w:t>
      </w:r>
      <w:r w:rsidRPr="00785200">
        <w:t xml:space="preserve"> reported</w:t>
      </w:r>
      <w:r>
        <w:t xml:space="preserve"> concerns including:</w:t>
      </w:r>
    </w:p>
    <w:p w14:paraId="337A6900" w14:textId="77777777" w:rsidR="007802A1" w:rsidRDefault="00676BE5" w:rsidP="007802A1">
      <w:pPr>
        <w:pStyle w:val="Bullet1"/>
      </w:pPr>
      <w:r>
        <w:t xml:space="preserve">treatment </w:t>
      </w:r>
      <w:r w:rsidR="007802A1">
        <w:t>of individuals with high and complex needs</w:t>
      </w:r>
      <w:r w:rsidR="007802A1">
        <w:rPr>
          <w:rStyle w:val="FootnoteReference"/>
        </w:rPr>
        <w:footnoteReference w:id="33"/>
      </w:r>
      <w:r w:rsidR="007802A1">
        <w:t xml:space="preserve"> and intellectual disabilities;</w:t>
      </w:r>
    </w:p>
    <w:p w14:paraId="7A1AFDDD" w14:textId="77777777" w:rsidR="007802A1" w:rsidRDefault="00676BE5" w:rsidP="007802A1">
      <w:pPr>
        <w:pStyle w:val="Bullet1"/>
      </w:pPr>
      <w:r>
        <w:t xml:space="preserve">unsatisfactory </w:t>
      </w:r>
      <w:r w:rsidR="007802A1">
        <w:t>seclusion practices and conditions; and</w:t>
      </w:r>
    </w:p>
    <w:p w14:paraId="7889F175" w14:textId="77777777" w:rsidR="007802A1" w:rsidRDefault="00676BE5" w:rsidP="007802A1">
      <w:pPr>
        <w:pStyle w:val="Bullet1"/>
      </w:pPr>
      <w:r>
        <w:t xml:space="preserve">unduly </w:t>
      </w:r>
      <w:r w:rsidR="007802A1">
        <w:t>restrictive practices.</w:t>
      </w:r>
    </w:p>
    <w:p w14:paraId="5F00FE2D" w14:textId="56FE2712" w:rsidR="007802A1" w:rsidRDefault="00676BE5" w:rsidP="002733A7">
      <w:pPr>
        <w:pStyle w:val="BodyText"/>
      </w:pPr>
      <w:r>
        <w:t>I identified</w:t>
      </w:r>
      <w:r w:rsidR="007802A1">
        <w:t xml:space="preserve"> concerns about the mixing of different categories of service users</w:t>
      </w:r>
      <w:r w:rsidR="009A5311">
        <w:t xml:space="preserve"> (tangata whaiora)</w:t>
      </w:r>
      <w:r w:rsidR="007802A1">
        <w:t>. I found that this</w:t>
      </w:r>
      <w:r w:rsidR="007802A1" w:rsidRPr="008968AD">
        <w:t xml:space="preserve"> </w:t>
      </w:r>
      <w:r w:rsidR="007802A1">
        <w:t xml:space="preserve">practice </w:t>
      </w:r>
      <w:r w:rsidR="007802A1" w:rsidRPr="008968AD">
        <w:t>compromised care and limited opportunities for recovery.</w:t>
      </w:r>
      <w:r w:rsidR="00A740A6">
        <w:t xml:space="preserve"> </w:t>
      </w:r>
      <w:r w:rsidR="007802A1">
        <w:t xml:space="preserve">I also found that individuals </w:t>
      </w:r>
      <w:r w:rsidR="00A740A6">
        <w:t xml:space="preserve">with high and complex needs and/or an intellectual disability </w:t>
      </w:r>
      <w:r w:rsidR="009A5311">
        <w:t xml:space="preserve">who </w:t>
      </w:r>
      <w:r w:rsidR="00A740A6">
        <w:t xml:space="preserve">were </w:t>
      </w:r>
      <w:r w:rsidR="007802A1">
        <w:t>clinically ready for discharge</w:t>
      </w:r>
      <w:r>
        <w:t xml:space="preserve"> </w:t>
      </w:r>
      <w:r w:rsidR="007802A1">
        <w:t>were unable to be discharged due to a lack of available supported accommodation in the community.</w:t>
      </w:r>
      <w:r w:rsidR="00A740A6">
        <w:t xml:space="preserve"> </w:t>
      </w:r>
      <w:r w:rsidR="007802A1">
        <w:t xml:space="preserve">Acute mental health services are not intended to be, nor are they well suited for, long-term accommodation. </w:t>
      </w:r>
    </w:p>
    <w:p w14:paraId="4423FB1C" w14:textId="77777777" w:rsidR="007802A1" w:rsidRDefault="00676BE5" w:rsidP="007802A1">
      <w:pPr>
        <w:pStyle w:val="BodyText"/>
      </w:pPr>
      <w:r>
        <w:t>I</w:t>
      </w:r>
      <w:r w:rsidR="007802A1">
        <w:t xml:space="preserve"> found that many service users were being secluded in unsatisfactory conditions.</w:t>
      </w:r>
      <w:r w:rsidR="00A740A6">
        <w:t xml:space="preserve"> </w:t>
      </w:r>
      <w:r>
        <w:t>P</w:t>
      </w:r>
      <w:r w:rsidR="007802A1">
        <w:t>rogress on eliminating the use of seclusion</w:t>
      </w:r>
      <w:r w:rsidR="007802A1" w:rsidRPr="00320C80">
        <w:t xml:space="preserve"> is slow</w:t>
      </w:r>
      <w:r w:rsidR="007802A1">
        <w:t xml:space="preserve"> and inspections have not consistently found a </w:t>
      </w:r>
      <w:r w:rsidR="007802A1" w:rsidRPr="00320C80">
        <w:t xml:space="preserve">material </w:t>
      </w:r>
      <w:r w:rsidR="007802A1">
        <w:t xml:space="preserve">reduction </w:t>
      </w:r>
      <w:r w:rsidR="007802A1" w:rsidRPr="00320C80">
        <w:t>i</w:t>
      </w:r>
      <w:r w:rsidR="007802A1">
        <w:t>n</w:t>
      </w:r>
      <w:r w:rsidR="007802A1" w:rsidRPr="00320C80">
        <w:t xml:space="preserve"> the rate of seclusion. </w:t>
      </w:r>
      <w:r>
        <w:t>S</w:t>
      </w:r>
      <w:r w:rsidR="007802A1" w:rsidRPr="00320C80">
        <w:t xml:space="preserve">ome facilities have </w:t>
      </w:r>
      <w:r>
        <w:t>taken steps</w:t>
      </w:r>
      <w:r w:rsidR="007802A1" w:rsidRPr="00320C80">
        <w:t xml:space="preserve">, </w:t>
      </w:r>
      <w:r>
        <w:t xml:space="preserve">while </w:t>
      </w:r>
      <w:r w:rsidR="007802A1" w:rsidRPr="00320C80">
        <w:t xml:space="preserve">others have provided </w:t>
      </w:r>
      <w:r w:rsidR="007802A1">
        <w:t xml:space="preserve">information demonstrating a commitment to eliminating the use of seclusion. However, seclusion remains at concerning levels in many facilities, particularly for Māori. </w:t>
      </w:r>
    </w:p>
    <w:p w14:paraId="33653731" w14:textId="77777777" w:rsidR="007802A1" w:rsidRDefault="003C1FEF">
      <w:pPr>
        <w:pStyle w:val="BodyText"/>
      </w:pPr>
      <w:r>
        <w:t xml:space="preserve">I also </w:t>
      </w:r>
      <w:r w:rsidR="007802A1">
        <w:t>found that many of the regimes in mental health facilities are unduly restrictive</w:t>
      </w:r>
      <w:r w:rsidR="00EF427E">
        <w:t>,</w:t>
      </w:r>
      <w:r w:rsidR="007802A1">
        <w:t xml:space="preserve"> </w:t>
      </w:r>
      <w:r w:rsidR="00EF427E">
        <w:t xml:space="preserve">including </w:t>
      </w:r>
      <w:r w:rsidR="007F248B">
        <w:t xml:space="preserve">dependence on staff to provide access to phones, </w:t>
      </w:r>
      <w:r w:rsidR="007802A1">
        <w:t>limited access to hot drinks and snacks, and restricted access to activities areas and courtyards. I consider that the response to these risks needs to be tailored to an individual, rather than putting undue restrictions in place for all service users.</w:t>
      </w:r>
    </w:p>
    <w:tbl>
      <w:tblPr>
        <w:tblStyle w:val="TableBox"/>
        <w:tblW w:w="9297" w:type="dxa"/>
        <w:tblLayout w:type="fixed"/>
        <w:tblCellMar>
          <w:bottom w:w="0" w:type="dxa"/>
        </w:tblCellMar>
        <w:tblLook w:val="04A0" w:firstRow="1" w:lastRow="0" w:firstColumn="1" w:lastColumn="0" w:noHBand="0" w:noVBand="1"/>
        <w:tblCaption w:val="Box to emphasise text"/>
      </w:tblPr>
      <w:tblGrid>
        <w:gridCol w:w="9297"/>
      </w:tblGrid>
      <w:tr w:rsidR="003C1FEF" w14:paraId="288CC954" w14:textId="77777777" w:rsidTr="00943BA7">
        <w:tc>
          <w:tcPr>
            <w:tcW w:w="9514" w:type="dxa"/>
          </w:tcPr>
          <w:p w14:paraId="4D031A5B" w14:textId="77777777" w:rsidR="003C1FEF" w:rsidRDefault="003C1FEF" w:rsidP="00943BA7">
            <w:pPr>
              <w:pStyle w:val="Headingboxtexttop"/>
              <w:tabs>
                <w:tab w:val="num" w:pos="567"/>
              </w:tabs>
            </w:pPr>
            <w:r>
              <w:t>Mental health facilities during COVID-19</w:t>
            </w:r>
            <w:r>
              <w:rPr>
                <w:rStyle w:val="FootnoteReference"/>
              </w:rPr>
              <w:footnoteReference w:id="34"/>
            </w:r>
          </w:p>
          <w:p w14:paraId="0B1700CF" w14:textId="77777777" w:rsidR="003C1FEF" w:rsidRDefault="003C1FEF" w:rsidP="003C1FEF">
            <w:pPr>
              <w:pStyle w:val="Boxsmalltext"/>
              <w:tabs>
                <w:tab w:val="num" w:pos="567"/>
              </w:tabs>
            </w:pPr>
            <w:r>
              <w:t>I found that managers</w:t>
            </w:r>
            <w:r w:rsidRPr="00B337D9">
              <w:t xml:space="preserve"> and staff </w:t>
            </w:r>
            <w:r>
              <w:t xml:space="preserve">at all mental health </w:t>
            </w:r>
            <w:r w:rsidRPr="009803FF">
              <w:t xml:space="preserve">facilities </w:t>
            </w:r>
            <w:r w:rsidR="006B1331" w:rsidRPr="009803FF">
              <w:t xml:space="preserve">inspected </w:t>
            </w:r>
            <w:r w:rsidRPr="009803FF">
              <w:t xml:space="preserve">appeared dedicated to the welfare of the service users in their care. Service users were seen to be treated </w:t>
            </w:r>
            <w:r w:rsidRPr="00B337D9">
              <w:t>with dignity a</w:t>
            </w:r>
            <w:r>
              <w:t xml:space="preserve">nd respect, and were able to </w:t>
            </w:r>
            <w:r w:rsidRPr="00B337D9">
              <w:t xml:space="preserve">maintain contact </w:t>
            </w:r>
            <w:r>
              <w:t xml:space="preserve">with </w:t>
            </w:r>
            <w:r w:rsidRPr="00B337D9">
              <w:t>whānau.</w:t>
            </w:r>
            <w:r>
              <w:t xml:space="preserve"> Measures were put in place to ensure that their staff and service users were well informed about COVID-19 and any new protocols required as a result of the pandemic. </w:t>
            </w:r>
          </w:p>
          <w:p w14:paraId="0C86C052" w14:textId="77777777" w:rsidR="003C1FEF" w:rsidRDefault="003C1FEF" w:rsidP="003C1FEF">
            <w:pPr>
              <w:pStyle w:val="Boxsmalltext"/>
              <w:tabs>
                <w:tab w:val="num" w:pos="567"/>
              </w:tabs>
            </w:pPr>
            <w:r>
              <w:t xml:space="preserve">Overall, my findings were positive. However, I made specific recommendations for improvements in three of the facilities, particularly around complaints processes for service users. </w:t>
            </w:r>
          </w:p>
        </w:tc>
      </w:tr>
    </w:tbl>
    <w:p w14:paraId="3C14768E" w14:textId="77777777" w:rsidR="00045276" w:rsidRPr="00045276" w:rsidRDefault="00045276" w:rsidP="00045276">
      <w:pPr>
        <w:pStyle w:val="Whitespace"/>
      </w:pPr>
    </w:p>
    <w:p w14:paraId="7814F3A8" w14:textId="77777777" w:rsidR="007F248B" w:rsidRPr="00526E3F" w:rsidRDefault="007F248B" w:rsidP="002733A7">
      <w:pPr>
        <w:pStyle w:val="Heading4"/>
      </w:pPr>
      <w:r w:rsidRPr="00526E3F">
        <w:t xml:space="preserve">Aged </w:t>
      </w:r>
      <w:r>
        <w:t xml:space="preserve">Residential </w:t>
      </w:r>
      <w:r w:rsidRPr="00526E3F">
        <w:t>Care Facilities</w:t>
      </w:r>
    </w:p>
    <w:p w14:paraId="56D47E93" w14:textId="77777777" w:rsidR="00994FE2" w:rsidRDefault="00994FE2" w:rsidP="00425C28">
      <w:pPr>
        <w:pStyle w:val="BodyText"/>
      </w:pPr>
      <w:r>
        <w:t xml:space="preserve">In 2019/20, I completed the first </w:t>
      </w:r>
      <w:r w:rsidR="00425C28" w:rsidRPr="00004ECB">
        <w:t xml:space="preserve">year </w:t>
      </w:r>
      <w:r>
        <w:t xml:space="preserve">of </w:t>
      </w:r>
      <w:r w:rsidR="00425C28" w:rsidRPr="00004ECB">
        <w:t>a three</w:t>
      </w:r>
      <w:r>
        <w:t>-</w:t>
      </w:r>
      <w:r w:rsidR="00425C28" w:rsidRPr="00004ECB">
        <w:t xml:space="preserve">year </w:t>
      </w:r>
      <w:r>
        <w:t>work programme</w:t>
      </w:r>
      <w:r w:rsidR="00425C28" w:rsidRPr="00004ECB">
        <w:t xml:space="preserve"> to set up OPCAT inspections for </w:t>
      </w:r>
      <w:r>
        <w:t xml:space="preserve">privately-run </w:t>
      </w:r>
      <w:r w:rsidR="00425C28" w:rsidRPr="00004ECB">
        <w:t xml:space="preserve">aged care facilities. </w:t>
      </w:r>
      <w:r>
        <w:t>I</w:t>
      </w:r>
      <w:r w:rsidR="00425C28" w:rsidRPr="00004ECB">
        <w:t xml:space="preserve"> have streamed the work required into </w:t>
      </w:r>
      <w:r>
        <w:t>five</w:t>
      </w:r>
      <w:r w:rsidR="00425C28" w:rsidRPr="00004ECB">
        <w:t xml:space="preserve"> key areas: planning, information gathering, capacity building, development of inspection criteria and methodology, and carrying out inspections. </w:t>
      </w:r>
    </w:p>
    <w:p w14:paraId="3108A1B3" w14:textId="77777777" w:rsidR="00994FE2" w:rsidRDefault="00994FE2" w:rsidP="00425C28">
      <w:pPr>
        <w:pStyle w:val="BodyText"/>
      </w:pPr>
      <w:r>
        <w:t>I</w:t>
      </w:r>
      <w:r w:rsidR="00425C28" w:rsidRPr="00004ECB">
        <w:t xml:space="preserve"> engaged with a large range of stakeholders within the sector to understand their perspectives and expectations, </w:t>
      </w:r>
      <w:r>
        <w:t xml:space="preserve">recruited my first new team to work in this area, carried out </w:t>
      </w:r>
      <w:r w:rsidR="00425C28" w:rsidRPr="00004ECB">
        <w:t xml:space="preserve">orientation visits, and commenced work on the development of </w:t>
      </w:r>
      <w:r>
        <w:t xml:space="preserve">my </w:t>
      </w:r>
      <w:r w:rsidR="00425C28" w:rsidRPr="00004ECB">
        <w:t xml:space="preserve">inspection criteria and methodology. </w:t>
      </w:r>
    </w:p>
    <w:p w14:paraId="333010C4" w14:textId="493317D9" w:rsidR="007F248B" w:rsidRDefault="007F248B" w:rsidP="002733A7">
      <w:pPr>
        <w:pStyle w:val="BodyText"/>
      </w:pPr>
      <w:r w:rsidRPr="00995A22">
        <w:t xml:space="preserve">I conducted 17 orientation visits to secure units in privately-run aged care facilities to help inform the development of </w:t>
      </w:r>
      <w:hyperlink r:id="rId24" w:history="1">
        <w:r w:rsidR="006B1331">
          <w:t>my</w:t>
        </w:r>
        <w:r w:rsidR="006B1331" w:rsidRPr="00995A22">
          <w:t xml:space="preserve"> aged care inspections programme</w:t>
        </w:r>
      </w:hyperlink>
      <w:r w:rsidRPr="00995A22">
        <w:t xml:space="preserve">. </w:t>
      </w:r>
      <w:r>
        <w:t>I</w:t>
      </w:r>
      <w:r w:rsidRPr="00995A22">
        <w:t xml:space="preserve"> visit</w:t>
      </w:r>
      <w:r>
        <w:t>ed</w:t>
      </w:r>
      <w:r w:rsidRPr="00995A22">
        <w:t xml:space="preserve"> a range of facilities across New Zealand</w:t>
      </w:r>
      <w:r w:rsidR="00676BE5">
        <w:t>. These orientation visits</w:t>
      </w:r>
      <w:r>
        <w:t xml:space="preserve"> provided a </w:t>
      </w:r>
      <w:r w:rsidRPr="00995A22">
        <w:t xml:space="preserve">greater understanding of </w:t>
      </w:r>
      <w:r w:rsidR="00676BE5">
        <w:t xml:space="preserve">the </w:t>
      </w:r>
      <w:r w:rsidRPr="00995A22">
        <w:t xml:space="preserve">facilities that provide specialised </w:t>
      </w:r>
      <w:r>
        <w:t xml:space="preserve">secure </w:t>
      </w:r>
      <w:r w:rsidRPr="00995A22">
        <w:t xml:space="preserve">dementia and psychogeriatric care, </w:t>
      </w:r>
      <w:r w:rsidR="00676BE5">
        <w:t xml:space="preserve">including their </w:t>
      </w:r>
      <w:r>
        <w:t xml:space="preserve">size </w:t>
      </w:r>
      <w:r w:rsidRPr="00995A22">
        <w:t>and ownership structures</w:t>
      </w:r>
      <w:r w:rsidR="00676BE5">
        <w:t>.</w:t>
      </w:r>
      <w:r w:rsidR="00772131">
        <w:t xml:space="preserve"> </w:t>
      </w:r>
      <w:r>
        <w:t>I will continue to conduct o</w:t>
      </w:r>
      <w:r w:rsidRPr="00995A22">
        <w:t xml:space="preserve">rientation visits </w:t>
      </w:r>
      <w:r>
        <w:t xml:space="preserve">during 2020/21 and </w:t>
      </w:r>
      <w:r w:rsidRPr="00995A22">
        <w:t xml:space="preserve">expect </w:t>
      </w:r>
      <w:r w:rsidR="00B96B35">
        <w:t>inspections of</w:t>
      </w:r>
      <w:r w:rsidRPr="00995A22">
        <w:t xml:space="preserve"> </w:t>
      </w:r>
      <w:r>
        <w:t xml:space="preserve">privately-run aged care </w:t>
      </w:r>
      <w:r w:rsidR="00B96B35">
        <w:t>facilities</w:t>
      </w:r>
      <w:r w:rsidR="00B96B35" w:rsidRPr="00995A22">
        <w:t xml:space="preserve"> </w:t>
      </w:r>
      <w:r>
        <w:t xml:space="preserve">to commence </w:t>
      </w:r>
      <w:r w:rsidR="00676BE5">
        <w:t>the following year</w:t>
      </w:r>
      <w:r w:rsidRPr="00995A22">
        <w:t>.</w:t>
      </w:r>
    </w:p>
    <w:p w14:paraId="560006A5" w14:textId="77777777" w:rsidR="009F4E4B" w:rsidRDefault="009F4E4B" w:rsidP="002733A7">
      <w:pPr>
        <w:pStyle w:val="BodyText"/>
      </w:pPr>
      <w:r>
        <w:t>M</w:t>
      </w:r>
      <w:r w:rsidRPr="00925FBB">
        <w:t>ore</w:t>
      </w:r>
      <w:r>
        <w:t xml:space="preserve"> information</w:t>
      </w:r>
      <w:r w:rsidRPr="00925FBB">
        <w:t xml:space="preserve"> about my designation to inspect privately-run as well as public secure aged care facilities, </w:t>
      </w:r>
      <w:r w:rsidR="008A3F66">
        <w:t xml:space="preserve">and </w:t>
      </w:r>
      <w:r w:rsidRPr="00925FBB">
        <w:t>the development of my planned programme</w:t>
      </w:r>
      <w:r>
        <w:t xml:space="preserve"> is available on my website</w:t>
      </w:r>
      <w:r w:rsidRPr="00925FBB">
        <w:t>.</w:t>
      </w:r>
      <w:r w:rsidRPr="000A0549">
        <w:rPr>
          <w:rStyle w:val="FootnoteReference"/>
        </w:rPr>
        <w:footnoteReference w:id="35"/>
      </w:r>
    </w:p>
    <w:tbl>
      <w:tblPr>
        <w:tblStyle w:val="TableBox"/>
        <w:tblW w:w="9297" w:type="dxa"/>
        <w:tblLayout w:type="fixed"/>
        <w:tblCellMar>
          <w:bottom w:w="0" w:type="dxa"/>
        </w:tblCellMar>
        <w:tblLook w:val="04A0" w:firstRow="1" w:lastRow="0" w:firstColumn="1" w:lastColumn="0" w:noHBand="0" w:noVBand="1"/>
        <w:tblCaption w:val="Box to emphasise text"/>
      </w:tblPr>
      <w:tblGrid>
        <w:gridCol w:w="9297"/>
      </w:tblGrid>
      <w:tr w:rsidR="006B1331" w14:paraId="2D4BD561" w14:textId="77777777" w:rsidTr="00943BA7">
        <w:tc>
          <w:tcPr>
            <w:tcW w:w="9514" w:type="dxa"/>
          </w:tcPr>
          <w:p w14:paraId="5A0BC0CE" w14:textId="77777777" w:rsidR="006B1331" w:rsidRDefault="006B1331" w:rsidP="00943BA7">
            <w:pPr>
              <w:pStyle w:val="Headingboxtexttop"/>
              <w:tabs>
                <w:tab w:val="num" w:pos="567"/>
              </w:tabs>
            </w:pPr>
            <w:r>
              <w:t>Aged care facilities during COVID-19</w:t>
            </w:r>
            <w:r>
              <w:rPr>
                <w:rStyle w:val="FootnoteReference"/>
              </w:rPr>
              <w:footnoteReference w:id="36"/>
            </w:r>
          </w:p>
          <w:p w14:paraId="0FF08903" w14:textId="77777777" w:rsidR="00994FE2" w:rsidRDefault="00994FE2" w:rsidP="006B1331">
            <w:pPr>
              <w:pStyle w:val="Boxsmalltext"/>
              <w:tabs>
                <w:tab w:val="num" w:pos="567"/>
              </w:tabs>
            </w:pPr>
            <w:r w:rsidRPr="00004ECB">
              <w:t xml:space="preserve">While </w:t>
            </w:r>
            <w:r>
              <w:t>I was</w:t>
            </w:r>
            <w:r w:rsidRPr="00004ECB">
              <w:t xml:space="preserve"> not </w:t>
            </w:r>
            <w:r w:rsidR="00D265BE">
              <w:t xml:space="preserve">originally </w:t>
            </w:r>
            <w:r w:rsidRPr="00004ECB">
              <w:t xml:space="preserve">planning to undertake formal inspections </w:t>
            </w:r>
            <w:r>
              <w:t>of aged care facilities</w:t>
            </w:r>
            <w:r w:rsidRPr="00004ECB">
              <w:t xml:space="preserve"> until 1 July 2021, between April and June 2020 </w:t>
            </w:r>
            <w:r>
              <w:t>I</w:t>
            </w:r>
            <w:r w:rsidRPr="00004ECB">
              <w:t xml:space="preserve"> </w:t>
            </w:r>
            <w:r w:rsidR="00D265BE">
              <w:t xml:space="preserve">responded to the need to carry </w:t>
            </w:r>
            <w:r w:rsidRPr="00004ECB">
              <w:t xml:space="preserve">out </w:t>
            </w:r>
            <w:r>
              <w:t>12 COVID-19 focused inspections</w:t>
            </w:r>
            <w:r w:rsidRPr="00004ECB">
              <w:t xml:space="preserve">, at </w:t>
            </w:r>
            <w:r>
              <w:t>all alert levels</w:t>
            </w:r>
            <w:r w:rsidRPr="00004ECB">
              <w:t xml:space="preserve">. </w:t>
            </w:r>
          </w:p>
          <w:p w14:paraId="19C4FA54" w14:textId="77777777" w:rsidR="006B1331" w:rsidRDefault="006B1331" w:rsidP="006B1331">
            <w:pPr>
              <w:pStyle w:val="Boxsmalltext"/>
              <w:tabs>
                <w:tab w:val="num" w:pos="567"/>
              </w:tabs>
            </w:pPr>
            <w:r>
              <w:t>My report on inspections conducted during lockdown in Alert levels 3 and 4,</w:t>
            </w:r>
            <w:r w:rsidRPr="006B1331">
              <w:rPr>
                <w:rStyle w:val="FootnoteReference"/>
              </w:rPr>
              <w:footnoteReference w:id="37"/>
            </w:r>
            <w:r>
              <w:t xml:space="preserve"> outlined key findings, suggestions, and recommendations in relation to COVID-19 inspections of six secure aged care facilities.</w:t>
            </w:r>
            <w:r w:rsidRPr="006B1331">
              <w:rPr>
                <w:rStyle w:val="FootnoteReference"/>
              </w:rPr>
              <w:footnoteReference w:id="38"/>
            </w:r>
          </w:p>
          <w:p w14:paraId="34C431DF" w14:textId="77777777" w:rsidR="006B1331" w:rsidRDefault="006B1331" w:rsidP="006B1331">
            <w:pPr>
              <w:pStyle w:val="Boxsmalltext"/>
              <w:tabs>
                <w:tab w:val="num" w:pos="567"/>
              </w:tabs>
            </w:pPr>
            <w:r>
              <w:t xml:space="preserve">As expected, the focus of all facilities was on their residents’ wellbeing. It was clear from these inspections that this was a challenging time, however, the facilities were taking steps to keep residents safe. Overall, managers and staff were committed to minimising the impact that COVID-19 was having on residents. </w:t>
            </w:r>
          </w:p>
          <w:p w14:paraId="65BA0B2E" w14:textId="77777777" w:rsidR="006B1331" w:rsidRDefault="006B1331" w:rsidP="006B1331">
            <w:pPr>
              <w:pStyle w:val="Boxsmalltext"/>
              <w:tabs>
                <w:tab w:val="num" w:pos="567"/>
              </w:tabs>
            </w:pPr>
            <w:r w:rsidRPr="006B1331">
              <w:t xml:space="preserve">The COVID-19 lockdown was a challenging and distressing time for many secure residents in aged-care, and it was important to ensure that their rights, ability to comprehend information, and protective measures, were upheld. </w:t>
            </w:r>
            <w:r>
              <w:t>I identified</w:t>
            </w:r>
            <w:r w:rsidRPr="006B1331">
              <w:t xml:space="preserve"> some improvements that could be made.</w:t>
            </w:r>
            <w:r>
              <w:t xml:space="preserve"> Particular issues noted at individual facilities included the need for a clear definition of ‘bubbles’, consistent use of PPE, accessible information for residents and improvements to complaints processes.</w:t>
            </w:r>
          </w:p>
        </w:tc>
      </w:tr>
    </w:tbl>
    <w:p w14:paraId="5145B2C5" w14:textId="77777777" w:rsidR="006B1331" w:rsidRDefault="006B1331" w:rsidP="006B1331">
      <w:pPr>
        <w:pStyle w:val="Whitespace"/>
      </w:pPr>
    </w:p>
    <w:p w14:paraId="79E802CF" w14:textId="4826B8B2" w:rsidR="009A41E1" w:rsidRPr="00400647" w:rsidRDefault="005B795D" w:rsidP="009A41E1">
      <w:pPr>
        <w:pStyle w:val="BodyText"/>
      </w:pPr>
      <w:hyperlink w:anchor="Contents" w:history="1">
        <w:r w:rsidR="009A41E1" w:rsidRPr="00F5248A">
          <w:rPr>
            <w:rStyle w:val="Hyperlink"/>
          </w:rPr>
          <w:t>Back to contents</w:t>
        </w:r>
      </w:hyperlink>
    </w:p>
    <w:p w14:paraId="54C0B7D5" w14:textId="77777777" w:rsidR="008A5CA1" w:rsidRDefault="008A5CA1" w:rsidP="004465BA">
      <w:pPr>
        <w:pStyle w:val="Heading2"/>
      </w:pPr>
      <w:bookmarkStart w:id="69" w:name="_Ensure_official_information"/>
      <w:bookmarkStart w:id="70" w:name="_Ref54687177"/>
      <w:bookmarkEnd w:id="69"/>
      <w:r w:rsidRPr="008A5CA1">
        <w:t>Ensure official information is increasingly available and not unlawfully refused</w:t>
      </w:r>
      <w:bookmarkEnd w:id="70"/>
    </w:p>
    <w:p w14:paraId="0059514E" w14:textId="10886ED7" w:rsidR="00CE5FA6" w:rsidRDefault="00CE5FA6" w:rsidP="004465BA">
      <w:pPr>
        <w:pStyle w:val="BodyText"/>
      </w:pPr>
      <w:bookmarkStart w:id="71" w:name="_Ref336351669"/>
      <w:r w:rsidRPr="00E510F1">
        <w:t>In this section</w:t>
      </w:r>
      <w:r w:rsidR="009A5311">
        <w:t>,</w:t>
      </w:r>
      <w:r w:rsidRPr="00E510F1">
        <w:t xml:space="preserve"> </w:t>
      </w:r>
      <w:r w:rsidR="00BD3AD6">
        <w:t>I</w:t>
      </w:r>
      <w:r w:rsidRPr="00E510F1">
        <w:t xml:space="preserve"> give an overview of </w:t>
      </w:r>
      <w:r w:rsidR="002534D7">
        <w:t>my</w:t>
      </w:r>
      <w:r w:rsidR="002534D7" w:rsidRPr="00E510F1">
        <w:t xml:space="preserve"> </w:t>
      </w:r>
      <w:r>
        <w:t xml:space="preserve">complaint handling </w:t>
      </w:r>
      <w:r w:rsidRPr="00E510F1">
        <w:t>work under the Official Information Act 1982 (OIA) and the Local Government Official Information and Meetings Act 1987 (LGOIMA). Detailed sta</w:t>
      </w:r>
      <w:r>
        <w:t xml:space="preserve">tistics can be found in </w:t>
      </w:r>
      <w:hyperlink w:anchor="_Analysis,_statistics_and" w:history="1">
        <w:r w:rsidRPr="00FC58E9">
          <w:rPr>
            <w:rStyle w:val="Hyperlink"/>
          </w:rPr>
          <w:t>Part 7</w:t>
        </w:r>
      </w:hyperlink>
      <w:r>
        <w:t>.</w:t>
      </w:r>
    </w:p>
    <w:p w14:paraId="7D90D887" w14:textId="77777777" w:rsidR="0007114F" w:rsidRPr="001310D4" w:rsidRDefault="0007114F" w:rsidP="0007114F">
      <w:pPr>
        <w:pStyle w:val="BodyText"/>
        <w:keepLines/>
      </w:pPr>
      <w:r w:rsidRPr="00B21E93">
        <w:t xml:space="preserve">The OIA and LGOIMA give the public the ability to request official information held by Ministers of the Crown and </w:t>
      </w:r>
      <w:r>
        <w:t>public sector</w:t>
      </w:r>
      <w:r w:rsidRPr="00B21E93">
        <w:t xml:space="preserve"> agencies. </w:t>
      </w:r>
      <w:r w:rsidRPr="001310D4">
        <w:t>Making official inf</w:t>
      </w:r>
      <w:r>
        <w:t>ormation increasingly available,</w:t>
      </w:r>
      <w:r w:rsidRPr="001310D4">
        <w:t xml:space="preserve"> and assuring the public that access is not denied unnecessarily, will lead to greater transparency and accountability within the </w:t>
      </w:r>
      <w:r>
        <w:t>public sector</w:t>
      </w:r>
      <w:r w:rsidRPr="001310D4">
        <w:t>, and facilitate public participation in the making and administration of laws and policies.</w:t>
      </w:r>
    </w:p>
    <w:p w14:paraId="38CF9FEA" w14:textId="77777777" w:rsidR="0007114F" w:rsidRDefault="0007114F" w:rsidP="008C573B">
      <w:pPr>
        <w:pStyle w:val="BodyText"/>
        <w:keepLines/>
      </w:pPr>
      <w:r>
        <w:t>Under both Acts, I independently investigate and review complaints about decisions made by public sector agencies on official information requests. I also monitor agencies’ official information practices, resources, and systems.</w:t>
      </w:r>
      <w:r w:rsidR="008C573B">
        <w:rPr>
          <w:rStyle w:val="FootnoteReference"/>
        </w:rPr>
        <w:footnoteReference w:id="39"/>
      </w:r>
      <w:r>
        <w:t xml:space="preserve"> This </w:t>
      </w:r>
      <w:r w:rsidR="008C573B">
        <w:t xml:space="preserve">serves to </w:t>
      </w:r>
      <w:r>
        <w:t>both</w:t>
      </w:r>
      <w:r w:rsidRPr="00AF1AC6">
        <w:t xml:space="preserve"> </w:t>
      </w:r>
      <w:r w:rsidRPr="001310D4">
        <w:t xml:space="preserve">enhance public trust and confidence in </w:t>
      </w:r>
      <w:r>
        <w:t>government</w:t>
      </w:r>
      <w:r w:rsidRPr="001310D4">
        <w:t xml:space="preserve"> and increase the availability of official information</w:t>
      </w:r>
      <w:r>
        <w:t>. In this context, I:</w:t>
      </w:r>
      <w:r w:rsidRPr="001310D4">
        <w:t xml:space="preserve"> </w:t>
      </w:r>
    </w:p>
    <w:p w14:paraId="1036B964" w14:textId="77777777" w:rsidR="0007114F" w:rsidRDefault="0007114F" w:rsidP="00045276">
      <w:pPr>
        <w:pStyle w:val="Bullet1"/>
      </w:pPr>
      <w:r>
        <w:t>provide resolution-oriented and impartial complaint handling;</w:t>
      </w:r>
    </w:p>
    <w:p w14:paraId="1E72DB97" w14:textId="77777777" w:rsidR="0007114F" w:rsidRDefault="0007114F" w:rsidP="00045276">
      <w:pPr>
        <w:pStyle w:val="Bullet1"/>
      </w:pPr>
      <w:r>
        <w:t xml:space="preserve">undertake interventions and investigations to identify where official information practices, resources, and systems are vulnerable; </w:t>
      </w:r>
    </w:p>
    <w:p w14:paraId="375EF46A" w14:textId="77777777" w:rsidR="0007114F" w:rsidRDefault="0007114F" w:rsidP="00045276">
      <w:pPr>
        <w:pStyle w:val="Bullet1"/>
      </w:pPr>
      <w:r>
        <w:t xml:space="preserve">broker resolutions, form opinions, and make recommendations; </w:t>
      </w:r>
    </w:p>
    <w:p w14:paraId="50D36810" w14:textId="77777777" w:rsidR="0007114F" w:rsidRDefault="0007114F" w:rsidP="00045276">
      <w:pPr>
        <w:pStyle w:val="Bullet1"/>
      </w:pPr>
      <w:r>
        <w:t>provide advice to agencies and support them to resolve complaints; and</w:t>
      </w:r>
    </w:p>
    <w:p w14:paraId="594C1AAF" w14:textId="77777777" w:rsidR="0007114F" w:rsidRDefault="0007114F" w:rsidP="00045276">
      <w:pPr>
        <w:pStyle w:val="Bullet1"/>
      </w:pPr>
      <w:r w:rsidRPr="00B21E93">
        <w:t xml:space="preserve">report on and monitor the implementation of </w:t>
      </w:r>
      <w:r>
        <w:t>my</w:t>
      </w:r>
      <w:r w:rsidRPr="00B21E93">
        <w:t xml:space="preserve"> </w:t>
      </w:r>
      <w:r>
        <w:t xml:space="preserve">suggestions and </w:t>
      </w:r>
      <w:r w:rsidRPr="00B21E93">
        <w:t>recommendations</w:t>
      </w:r>
      <w:r>
        <w:t xml:space="preserve">. </w:t>
      </w:r>
    </w:p>
    <w:p w14:paraId="57A8827D" w14:textId="77777777" w:rsidR="008C573B" w:rsidRDefault="008C573B" w:rsidP="008C573B">
      <w:pPr>
        <w:pStyle w:val="BodyText"/>
      </w:pPr>
      <w:r>
        <w:t>I also publish official information complaints data concerning both central and local government, and report on the outcome of key complaints and investigations to assist in improving official information practice across the public sector</w:t>
      </w:r>
      <w:r w:rsidRPr="00B21E93">
        <w:t>.</w:t>
      </w:r>
    </w:p>
    <w:tbl>
      <w:tblPr>
        <w:tblStyle w:val="TableBox"/>
        <w:tblW w:w="9297" w:type="dxa"/>
        <w:tblLayout w:type="fixed"/>
        <w:tblCellMar>
          <w:bottom w:w="0" w:type="dxa"/>
        </w:tblCellMar>
        <w:tblLook w:val="04A0" w:firstRow="1" w:lastRow="0" w:firstColumn="1" w:lastColumn="0" w:noHBand="0" w:noVBand="1"/>
        <w:tblCaption w:val="Box to emphasise text"/>
      </w:tblPr>
      <w:tblGrid>
        <w:gridCol w:w="9297"/>
      </w:tblGrid>
      <w:tr w:rsidR="007F02F4" w14:paraId="58CD2BD6" w14:textId="77777777" w:rsidTr="001636BD">
        <w:tc>
          <w:tcPr>
            <w:tcW w:w="9514" w:type="dxa"/>
          </w:tcPr>
          <w:p w14:paraId="76A2EA38" w14:textId="77777777" w:rsidR="007F02F4" w:rsidRDefault="007F02F4" w:rsidP="00F95200">
            <w:pPr>
              <w:pStyle w:val="Headingboxtexttop"/>
            </w:pPr>
            <w:r w:rsidRPr="007F02F4">
              <w:t>Request for Police Commissioner’s letter to the Minister about Deputy Commissioner (496725)</w:t>
            </w:r>
          </w:p>
          <w:p w14:paraId="63006D5D" w14:textId="77777777" w:rsidR="007F02F4" w:rsidRPr="007F02F4" w:rsidRDefault="007F02F4" w:rsidP="00F95200">
            <w:pPr>
              <w:pStyle w:val="Boxsmalltext"/>
            </w:pPr>
            <w:r w:rsidRPr="007F02F4">
              <w:t>The Minister of Police wrote to the Police Commissioner to ask how he intended to respond to the Independent Police Conduct Authority’s (IPCA</w:t>
            </w:r>
            <w:r w:rsidR="008C573B">
              <w:t>’s</w:t>
            </w:r>
            <w:r w:rsidRPr="007F02F4">
              <w:t xml:space="preserve">) findings on complaints of bullying against the Deputy Police Commissioner. A journalist requested a copy of the Commissioner’s response which the Minister released with two paragraphs redacted under section 9(2)(a) of the OIA. </w:t>
            </w:r>
          </w:p>
          <w:p w14:paraId="22706EEA" w14:textId="77777777" w:rsidR="007F02F4" w:rsidRPr="007F02F4" w:rsidRDefault="007F02F4" w:rsidP="00F95200">
            <w:pPr>
              <w:pStyle w:val="Boxsmalltext"/>
            </w:pPr>
            <w:r w:rsidRPr="007F02F4">
              <w:t xml:space="preserve">Section 9(2)(a) of the OIA applies where withholding is necessary to maintain the privacy of natural persons and is subject to a public interest test. This means the information must be disclosed if the public interest in release outweighs the interest in withholding. </w:t>
            </w:r>
          </w:p>
          <w:p w14:paraId="4E5BD096" w14:textId="77777777" w:rsidR="007F02F4" w:rsidRPr="007F02F4" w:rsidRDefault="007F02F4" w:rsidP="00F95200">
            <w:pPr>
              <w:pStyle w:val="Boxsmalltext"/>
            </w:pPr>
            <w:r w:rsidRPr="007F02F4">
              <w:t>I considered the redacted paragraphs and consulted the Privacy Commissioner before forming the provisional opinion that the Minister should not have withheld any information. The information at issue was directly relevant to the Police’s accountability and there was a strong public interest in the steps taken to address IPCA’s findings with the Deputy Commissioner.</w:t>
            </w:r>
          </w:p>
          <w:p w14:paraId="335DF292" w14:textId="77777777" w:rsidR="007F02F4" w:rsidRPr="007F02F4" w:rsidRDefault="007F02F4" w:rsidP="00F95200">
            <w:pPr>
              <w:pStyle w:val="Boxsmalltext"/>
            </w:pPr>
            <w:r w:rsidRPr="007F02F4">
              <w:t xml:space="preserve">The Minister accepted my provisional opinion and agreed to release the letter in full. I formed the final opinion that ‘the public interest in this information is such that it should be released’. </w:t>
            </w:r>
          </w:p>
          <w:p w14:paraId="362F89FB" w14:textId="5D10F057" w:rsidR="007F02F4" w:rsidRDefault="007F02F4" w:rsidP="00F95200">
            <w:pPr>
              <w:pStyle w:val="Boxsmalltext"/>
            </w:pPr>
            <w:r w:rsidRPr="007F02F4">
              <w:t xml:space="preserve">Read the full opinion at </w:t>
            </w:r>
            <w:hyperlink r:id="rId25" w:history="1">
              <w:r w:rsidRPr="007F02F4">
                <w:rPr>
                  <w:rStyle w:val="Hyperlink"/>
                </w:rPr>
                <w:t>www.ombudsman.parliament.nz</w:t>
              </w:r>
            </w:hyperlink>
            <w:r w:rsidRPr="007F02F4">
              <w:t>.</w:t>
            </w:r>
          </w:p>
        </w:tc>
      </w:tr>
    </w:tbl>
    <w:p w14:paraId="52179FC9" w14:textId="77777777" w:rsidR="007F02F4" w:rsidRDefault="007F02F4">
      <w:pPr>
        <w:pStyle w:val="Whitespace"/>
      </w:pPr>
    </w:p>
    <w:p w14:paraId="6F59C333" w14:textId="77777777" w:rsidR="001563D3" w:rsidRPr="00E510F1" w:rsidRDefault="001563D3" w:rsidP="004465BA">
      <w:pPr>
        <w:pStyle w:val="Heading3"/>
      </w:pPr>
      <w:r>
        <w:t>C</w:t>
      </w:r>
      <w:r w:rsidRPr="00E510F1">
        <w:t xml:space="preserve">omplaints </w:t>
      </w:r>
    </w:p>
    <w:p w14:paraId="61A26BEB" w14:textId="77777777" w:rsidR="002344E7" w:rsidRPr="001563D3" w:rsidRDefault="002344E7" w:rsidP="002344E7">
      <w:pPr>
        <w:pStyle w:val="BodyText"/>
      </w:pPr>
      <w:r>
        <w:t>I</w:t>
      </w:r>
      <w:r w:rsidRPr="009608F1">
        <w:t xml:space="preserve"> treat matters as formal </w:t>
      </w:r>
      <w:r w:rsidRPr="00B433FF">
        <w:rPr>
          <w:rStyle w:val="Quotationwithinthesentence"/>
          <w:i w:val="0"/>
        </w:rPr>
        <w:t>complaints</w:t>
      </w:r>
      <w:r w:rsidRPr="009608F1">
        <w:t xml:space="preserve"> once they have been put in writing.</w:t>
      </w:r>
      <w:r>
        <w:rPr>
          <w:rStyle w:val="FootnoteReference"/>
        </w:rPr>
        <w:footnoteReference w:id="40"/>
      </w:r>
      <w:r w:rsidRPr="009608F1">
        <w:t xml:space="preserve"> However</w:t>
      </w:r>
      <w:r w:rsidRPr="00DC3E96">
        <w:t xml:space="preserve">, </w:t>
      </w:r>
      <w:r>
        <w:t>I receive</w:t>
      </w:r>
      <w:r w:rsidRPr="009608F1">
        <w:t xml:space="preserve"> a large number of enquiries from members of the public, mainly over the telephone, prior to a complaint being made. While these matters </w:t>
      </w:r>
      <w:r>
        <w:t xml:space="preserve">are termed </w:t>
      </w:r>
      <w:r w:rsidRPr="00B433FF">
        <w:rPr>
          <w:rStyle w:val="Quotationwithinthesentence"/>
          <w:i w:val="0"/>
        </w:rPr>
        <w:t>‘other contacts</w:t>
      </w:r>
      <w:r>
        <w:rPr>
          <w:rStyle w:val="Quotationwithinthesentence"/>
          <w:i w:val="0"/>
        </w:rPr>
        <w:t>,</w:t>
      </w:r>
      <w:r w:rsidRPr="00B433FF">
        <w:rPr>
          <w:rStyle w:val="Quotationwithinthesentence"/>
          <w:i w:val="0"/>
        </w:rPr>
        <w:t>’</w:t>
      </w:r>
      <w:r w:rsidRPr="009608F1">
        <w:t xml:space="preserve"> </w:t>
      </w:r>
      <w:r>
        <w:t xml:space="preserve">I spend </w:t>
      </w:r>
      <w:r w:rsidRPr="009608F1">
        <w:t>a significant amount of time</w:t>
      </w:r>
      <w:r>
        <w:t xml:space="preserve"> responding to them with</w:t>
      </w:r>
      <w:r w:rsidRPr="009608F1">
        <w:t xml:space="preserve"> advice and assistanc</w:t>
      </w:r>
      <w:r>
        <w:t>e.</w:t>
      </w:r>
    </w:p>
    <w:p w14:paraId="2F1301E5" w14:textId="77777777" w:rsidR="00CE0DA4" w:rsidRDefault="002344E7" w:rsidP="009023B1">
      <w:pPr>
        <w:pStyle w:val="BodyText"/>
      </w:pPr>
      <w:r>
        <w:t>Official information complaints have remained steady</w:t>
      </w:r>
      <w:r w:rsidR="008C573B">
        <w:t xml:space="preserve"> at historically high levels</w:t>
      </w:r>
      <w:r>
        <w:t xml:space="preserve"> over </w:t>
      </w:r>
      <w:r w:rsidR="008C573B">
        <w:t>the last three years</w:t>
      </w:r>
      <w:r>
        <w:t>.</w:t>
      </w:r>
      <w:r w:rsidR="008C573B">
        <w:rPr>
          <w:rStyle w:val="FootnoteReference"/>
        </w:rPr>
        <w:footnoteReference w:id="41"/>
      </w:r>
      <w:r>
        <w:t xml:space="preserve"> </w:t>
      </w:r>
      <w:r w:rsidR="009023B1">
        <w:t>This year I saw a 10 percent increase in other contacts about official information</w:t>
      </w:r>
      <w:r w:rsidR="00B96B35">
        <w:t>.</w:t>
      </w:r>
      <w:r>
        <w:t xml:space="preserve"> I have </w:t>
      </w:r>
      <w:r w:rsidR="00CE0DA4">
        <w:t xml:space="preserve">adapted </w:t>
      </w:r>
      <w:r w:rsidR="00F55DBB">
        <w:t xml:space="preserve">to the </w:t>
      </w:r>
      <w:r w:rsidR="008C573B">
        <w:t>continued high volume of work</w:t>
      </w:r>
      <w:r w:rsidR="00CE0DA4">
        <w:t xml:space="preserve"> with </w:t>
      </w:r>
      <w:r>
        <w:t>a mixed approach of reactivity in an environment of fluidity, and proactivity</w:t>
      </w:r>
      <w:r w:rsidR="00CE0DA4">
        <w:t xml:space="preserve"> with </w:t>
      </w:r>
      <w:r>
        <w:t>engage</w:t>
      </w:r>
      <w:r w:rsidR="00CE0DA4">
        <w:t>ment</w:t>
      </w:r>
      <w:r>
        <w:t xml:space="preserve"> on emerging issues. </w:t>
      </w:r>
    </w:p>
    <w:p w14:paraId="073C7AC6" w14:textId="014A2552" w:rsidR="009023B1" w:rsidRDefault="009023B1" w:rsidP="009023B1">
      <w:pPr>
        <w:pStyle w:val="BodyText"/>
      </w:pPr>
      <w:r>
        <w:t>I r</w:t>
      </w:r>
      <w:r w:rsidRPr="00D161FF">
        <w:t>eceived 1,329 OIA complaints</w:t>
      </w:r>
      <w:r>
        <w:t>,</w:t>
      </w:r>
      <w:r w:rsidRPr="00D161FF">
        <w:t xml:space="preserve"> 354 LGOIMA complaints</w:t>
      </w:r>
      <w:r w:rsidR="00676BE5">
        <w:t>,</w:t>
      </w:r>
      <w:r>
        <w:t xml:space="preserve"> and 442 </w:t>
      </w:r>
      <w:r w:rsidR="009A5311">
        <w:t xml:space="preserve">official information related </w:t>
      </w:r>
      <w:r>
        <w:t>other contacts.</w:t>
      </w:r>
      <w:r w:rsidR="00CF6E5B">
        <w:t xml:space="preserve"> </w:t>
      </w:r>
      <w:r w:rsidR="005A6613">
        <w:t>Sixty-five</w:t>
      </w:r>
      <w:r w:rsidR="00CF6E5B">
        <w:t xml:space="preserve"> percent of official information complaints were received from the general public. The next highest group to make complaints were the media, </w:t>
      </w:r>
      <w:r w:rsidR="008C573B">
        <w:t xml:space="preserve">at </w:t>
      </w:r>
      <w:r w:rsidR="00CF6E5B">
        <w:t>18 percent.</w:t>
      </w:r>
      <w:r w:rsidR="00CE0DA4">
        <w:t xml:space="preserve"> </w:t>
      </w:r>
      <w:r>
        <w:t xml:space="preserve">Approximately 75 percent of official information </w:t>
      </w:r>
      <w:r w:rsidR="00CF6E5B">
        <w:t>complaints</w:t>
      </w:r>
      <w:r>
        <w:t xml:space="preserve"> </w:t>
      </w:r>
      <w:r w:rsidR="00CF6E5B">
        <w:t xml:space="preserve">were about </w:t>
      </w:r>
      <w:r w:rsidR="00676BE5">
        <w:t>a refusal</w:t>
      </w:r>
      <w:r w:rsidR="00CF6E5B">
        <w:t xml:space="preserve"> or a delay in making a decision on an information request. A breakdown of the nature of official information complaints is available in</w:t>
      </w:r>
      <w:r w:rsidR="00EA33F0">
        <w:t xml:space="preserve"> </w:t>
      </w:r>
      <w:hyperlink w:anchor="_Analysis,_statistics_and" w:history="1">
        <w:r w:rsidR="00492923" w:rsidRPr="00CE79D3">
          <w:rPr>
            <w:rStyle w:val="Hyperlink"/>
          </w:rPr>
          <w:t>Part 7</w:t>
        </w:r>
      </w:hyperlink>
      <w:r w:rsidR="00CF6E5B">
        <w:t>, table</w:t>
      </w:r>
      <w:r w:rsidR="00EB0310">
        <w:t>s</w:t>
      </w:r>
      <w:r w:rsidR="00CF6E5B">
        <w:t xml:space="preserve"> </w:t>
      </w:r>
      <w:r w:rsidR="00A458CB">
        <w:t xml:space="preserve">12 </w:t>
      </w:r>
      <w:r w:rsidR="00CF6E5B">
        <w:t xml:space="preserve">and </w:t>
      </w:r>
      <w:r w:rsidR="00A458CB">
        <w:t>19</w:t>
      </w:r>
      <w:r w:rsidR="00727948">
        <w:t>.</w:t>
      </w:r>
    </w:p>
    <w:p w14:paraId="363EA378" w14:textId="77777777" w:rsidR="009023B1" w:rsidRDefault="009023B1" w:rsidP="009023B1">
      <w:pPr>
        <w:pStyle w:val="BodyText"/>
      </w:pPr>
      <w:r>
        <w:t>I</w:t>
      </w:r>
      <w:r w:rsidRPr="00E510F1">
        <w:t xml:space="preserve"> completed </w:t>
      </w:r>
      <w:r w:rsidRPr="005E798D">
        <w:t>1,</w:t>
      </w:r>
      <w:r>
        <w:t>371</w:t>
      </w:r>
      <w:r w:rsidRPr="005E798D">
        <w:t xml:space="preserve"> OIA and 3</w:t>
      </w:r>
      <w:r>
        <w:t>53</w:t>
      </w:r>
      <w:r w:rsidRPr="005E798D">
        <w:t xml:space="preserve"> LGOIMA compl</w:t>
      </w:r>
      <w:r w:rsidRPr="00E510F1">
        <w:t>aints</w:t>
      </w:r>
      <w:r w:rsidR="00492923">
        <w:t>.</w:t>
      </w:r>
    </w:p>
    <w:p w14:paraId="1C120C83" w14:textId="77777777" w:rsidR="001563D3" w:rsidRPr="00E510F1" w:rsidRDefault="001563D3" w:rsidP="004465BA">
      <w:pPr>
        <w:pStyle w:val="Heading3"/>
      </w:pPr>
      <w:r>
        <w:t>A</w:t>
      </w:r>
      <w:r w:rsidRPr="00E510F1">
        <w:t>gencies</w:t>
      </w:r>
    </w:p>
    <w:p w14:paraId="7B76AFDD" w14:textId="3D6EAF03" w:rsidR="001563D3" w:rsidRDefault="001563D3" w:rsidP="008C573B">
      <w:pPr>
        <w:pStyle w:val="BodyText"/>
      </w:pPr>
      <w:r w:rsidRPr="00E510F1">
        <w:t xml:space="preserve">This year, </w:t>
      </w:r>
      <w:r w:rsidR="00944721">
        <w:t>3</w:t>
      </w:r>
      <w:r w:rsidR="008C573B">
        <w:t>0</w:t>
      </w:r>
      <w:r w:rsidR="00944721">
        <w:t xml:space="preserve"> percent of </w:t>
      </w:r>
      <w:r w:rsidR="008C573B">
        <w:t xml:space="preserve">official information </w:t>
      </w:r>
      <w:r w:rsidRPr="00E510F1">
        <w:t>complaints were made against government departments</w:t>
      </w:r>
      <w:r w:rsidR="008C573B">
        <w:t>,</w:t>
      </w:r>
      <w:r>
        <w:t xml:space="preserve"> and </w:t>
      </w:r>
      <w:r w:rsidR="008C573B">
        <w:t>41</w:t>
      </w:r>
      <w:r w:rsidR="00944721">
        <w:t xml:space="preserve"> percent </w:t>
      </w:r>
      <w:r>
        <w:t xml:space="preserve">against other </w:t>
      </w:r>
      <w:r w:rsidR="00727948">
        <w:t xml:space="preserve">public </w:t>
      </w:r>
      <w:r>
        <w:t>sector agencies</w:t>
      </w:r>
      <w:r w:rsidR="008C573B">
        <w:t xml:space="preserve">, 21 percent against local government agencies, and </w:t>
      </w:r>
      <w:r w:rsidR="00973B2C">
        <w:t>eight</w:t>
      </w:r>
      <w:r w:rsidR="008C573B">
        <w:t xml:space="preserve"> percent against Ministers.</w:t>
      </w:r>
      <w:r w:rsidR="00944721">
        <w:t xml:space="preserve"> </w:t>
      </w:r>
    </w:p>
    <w:p w14:paraId="1345ACEB" w14:textId="77777777" w:rsidR="001563D3" w:rsidRPr="00662DBD" w:rsidRDefault="002B248A" w:rsidP="004465BA">
      <w:pPr>
        <w:pStyle w:val="Heading3"/>
      </w:pPr>
      <w:r>
        <w:t>O</w:t>
      </w:r>
      <w:r w:rsidR="001563D3">
        <w:t>utcomes</w:t>
      </w:r>
    </w:p>
    <w:p w14:paraId="7307821E" w14:textId="77777777" w:rsidR="0065478D" w:rsidRDefault="0065478D" w:rsidP="00F2478D">
      <w:pPr>
        <w:pStyle w:val="BodyText"/>
      </w:pPr>
      <w:r>
        <w:t xml:space="preserve">In recent years I have </w:t>
      </w:r>
      <w:r w:rsidR="00B96B35">
        <w:t xml:space="preserve">placed </w:t>
      </w:r>
      <w:r>
        <w:t xml:space="preserve">a greater focus on resolution and preliminary </w:t>
      </w:r>
      <w:r w:rsidR="00772131">
        <w:t>inquiries</w:t>
      </w:r>
      <w:r>
        <w:t xml:space="preserve">. Taking these steps early in the complaints process provide for efficient and effective action where the matter can be </w:t>
      </w:r>
      <w:r w:rsidR="00EE1C89">
        <w:t>addressed</w:t>
      </w:r>
      <w:r>
        <w:t xml:space="preserve"> without the need for </w:t>
      </w:r>
      <w:r w:rsidR="00EE1C89">
        <w:t>a formal investigation.</w:t>
      </w:r>
    </w:p>
    <w:p w14:paraId="0217B56F" w14:textId="71FB2852" w:rsidR="00394720" w:rsidRPr="00052072" w:rsidRDefault="001563D3" w:rsidP="00394720">
      <w:pPr>
        <w:pStyle w:val="BodyText"/>
        <w:rPr>
          <w:rStyle w:val="Hyperlink"/>
          <w:color w:val="1E1E1E"/>
          <w:u w:val="none"/>
        </w:rPr>
      </w:pPr>
      <w:r w:rsidRPr="00662DBD">
        <w:t xml:space="preserve">In </w:t>
      </w:r>
      <w:r w:rsidR="00F2478D" w:rsidRPr="00B67A6C">
        <w:t>20</w:t>
      </w:r>
      <w:r w:rsidR="00F2478D">
        <w:t>19</w:t>
      </w:r>
      <w:r w:rsidRPr="00B67A6C">
        <w:t>/</w:t>
      </w:r>
      <w:r w:rsidR="00F2478D">
        <w:t>20</w:t>
      </w:r>
      <w:r w:rsidRPr="00662DBD">
        <w:t xml:space="preserve">, </w:t>
      </w:r>
      <w:r w:rsidR="000F0F46">
        <w:t>I</w:t>
      </w:r>
      <w:r w:rsidRPr="00662DBD">
        <w:t xml:space="preserve"> resolved</w:t>
      </w:r>
      <w:r w:rsidR="00547D4C">
        <w:rPr>
          <w:rStyle w:val="FootnoteReference"/>
        </w:rPr>
        <w:footnoteReference w:id="42"/>
      </w:r>
      <w:r w:rsidRPr="00662DBD">
        <w:t xml:space="preserve"> </w:t>
      </w:r>
      <w:r w:rsidR="00535CF5">
        <w:t xml:space="preserve">42 </w:t>
      </w:r>
      <w:r>
        <w:t>percent</w:t>
      </w:r>
      <w:r w:rsidRPr="00662DBD">
        <w:t xml:space="preserve"> of official information complaints</w:t>
      </w:r>
      <w:r w:rsidR="00F2478D">
        <w:t xml:space="preserve"> </w:t>
      </w:r>
      <w:r w:rsidR="00CE0DA4">
        <w:t xml:space="preserve">that would otherwise have been subject to a full investigation. </w:t>
      </w:r>
      <w:r w:rsidR="000222B7">
        <w:t xml:space="preserve">Through the resolution </w:t>
      </w:r>
      <w:r w:rsidR="00727948">
        <w:t>and investigati</w:t>
      </w:r>
      <w:r w:rsidR="008C573B">
        <w:t>on</w:t>
      </w:r>
      <w:r w:rsidR="00727948">
        <w:t xml:space="preserve"> </w:t>
      </w:r>
      <w:r w:rsidR="000222B7">
        <w:t xml:space="preserve">process, </w:t>
      </w:r>
      <w:r w:rsidR="00394720">
        <w:t>I</w:t>
      </w:r>
      <w:r w:rsidR="00394720" w:rsidRPr="00E6255C">
        <w:t xml:space="preserve"> obtained </w:t>
      </w:r>
      <w:r w:rsidR="00394720">
        <w:t xml:space="preserve">755 </w:t>
      </w:r>
      <w:r w:rsidR="00394720" w:rsidRPr="00E6255C">
        <w:t xml:space="preserve">remedies </w:t>
      </w:r>
      <w:r w:rsidR="00EE1C89">
        <w:t>this year</w:t>
      </w:r>
      <w:r w:rsidR="00394720">
        <w:t>.</w:t>
      </w:r>
      <w:r w:rsidR="00940DED">
        <w:t xml:space="preserve"> This </w:t>
      </w:r>
      <w:r w:rsidR="0091341B">
        <w:t xml:space="preserve">represents </w:t>
      </w:r>
      <w:r w:rsidR="00940DED">
        <w:t>a 19 percent increase from 2018/19.</w:t>
      </w:r>
      <w:r w:rsidR="00085939">
        <w:rPr>
          <w:rStyle w:val="FootnoteReference"/>
        </w:rPr>
        <w:footnoteReference w:id="43"/>
      </w:r>
      <w:r w:rsidR="00F95200">
        <w:t xml:space="preserve"> </w:t>
      </w:r>
      <w:r w:rsidR="00EE1C89">
        <w:t xml:space="preserve">The majority of these remedies were a change of the decision or an omission being rectified. A </w:t>
      </w:r>
      <w:r w:rsidR="00B40169">
        <w:t xml:space="preserve">full </w:t>
      </w:r>
      <w:r w:rsidR="00EE1C89">
        <w:t xml:space="preserve">breakdown is provided in </w:t>
      </w:r>
      <w:hyperlink w:anchor="_Analysis,_statistics_and" w:history="1">
        <w:r w:rsidR="00492923" w:rsidRPr="00CE79D3">
          <w:rPr>
            <w:rStyle w:val="Hyperlink"/>
          </w:rPr>
          <w:t>Part 7</w:t>
        </w:r>
      </w:hyperlink>
      <w:r w:rsidR="00492923" w:rsidRPr="009608F1">
        <w:t>.</w:t>
      </w:r>
    </w:p>
    <w:p w14:paraId="6298129A" w14:textId="77777777" w:rsidR="006C33E2" w:rsidRDefault="00DE540B" w:rsidP="004465BA">
      <w:pPr>
        <w:pStyle w:val="BodyText"/>
      </w:pPr>
      <w:r>
        <w:t>However, a focus on resolution</w:t>
      </w:r>
      <w:r w:rsidR="00F2478D">
        <w:t xml:space="preserve"> does not limit my ability to identify administrative deficiency where </w:t>
      </w:r>
      <w:r w:rsidR="00B40169">
        <w:t>it</w:t>
      </w:r>
      <w:r w:rsidR="00F2478D">
        <w:t xml:space="preserve"> is occurring.</w:t>
      </w:r>
      <w:r w:rsidR="00B40169">
        <w:t xml:space="preserve"> I formed a final opinion on o</w:t>
      </w:r>
      <w:r w:rsidR="006C33E2">
        <w:t xml:space="preserve">ne quarter of all official information complaints </w:t>
      </w:r>
      <w:r w:rsidR="00B40169">
        <w:t>received</w:t>
      </w:r>
      <w:r w:rsidR="006C33E2">
        <w:t xml:space="preserve">. </w:t>
      </w:r>
      <w:r w:rsidR="00EE1C89">
        <w:t>Two-thirds (</w:t>
      </w:r>
      <w:r w:rsidR="006C33E2">
        <w:t>67 percent</w:t>
      </w:r>
      <w:r w:rsidR="00EE1C89">
        <w:t>)</w:t>
      </w:r>
      <w:r w:rsidR="006C33E2">
        <w:t xml:space="preserve"> of these opinions identified that no administrative deficiency was made by the agency. </w:t>
      </w:r>
    </w:p>
    <w:p w14:paraId="7F0E8F63" w14:textId="77777777" w:rsidR="00F12D3E" w:rsidRDefault="00DE540B" w:rsidP="002733A7">
      <w:pPr>
        <w:pStyle w:val="BodyText"/>
      </w:pPr>
      <w:r>
        <w:t>In t</w:t>
      </w:r>
      <w:r w:rsidR="006C33E2">
        <w:t xml:space="preserve">he </w:t>
      </w:r>
      <w:r w:rsidR="00A049FF">
        <w:t xml:space="preserve">majority of the </w:t>
      </w:r>
      <w:r>
        <w:t xml:space="preserve">139 </w:t>
      </w:r>
      <w:r w:rsidR="006C33E2">
        <w:t xml:space="preserve">cases where I identified a deficiency, </w:t>
      </w:r>
      <w:r>
        <w:t xml:space="preserve">this was </w:t>
      </w:r>
      <w:r w:rsidR="00A049FF">
        <w:t xml:space="preserve">due to an unjustified refusal of official information (61 percent) or delay (25 percent). </w:t>
      </w:r>
      <w:r w:rsidR="006C33E2">
        <w:t xml:space="preserve">I </w:t>
      </w:r>
      <w:r>
        <w:t>made 96</w:t>
      </w:r>
      <w:r w:rsidR="006C33E2">
        <w:t xml:space="preserve"> recommendations</w:t>
      </w:r>
      <w:r>
        <w:t xml:space="preserve">, all of which </w:t>
      </w:r>
      <w:r w:rsidR="00F12D3E">
        <w:t>were accepted</w:t>
      </w:r>
      <w:r w:rsidR="00AE3531">
        <w:t>.</w:t>
      </w:r>
    </w:p>
    <w:tbl>
      <w:tblPr>
        <w:tblStyle w:val="TableBox"/>
        <w:tblW w:w="9297" w:type="dxa"/>
        <w:tblLayout w:type="fixed"/>
        <w:tblCellMar>
          <w:bottom w:w="0" w:type="dxa"/>
        </w:tblCellMar>
        <w:tblLook w:val="04A0" w:firstRow="1" w:lastRow="0" w:firstColumn="1" w:lastColumn="0" w:noHBand="0" w:noVBand="1"/>
        <w:tblCaption w:val="Box to emphasise text"/>
      </w:tblPr>
      <w:tblGrid>
        <w:gridCol w:w="9297"/>
      </w:tblGrid>
      <w:tr w:rsidR="004C6450" w14:paraId="61EE67DD" w14:textId="77777777" w:rsidTr="001636BD">
        <w:tc>
          <w:tcPr>
            <w:tcW w:w="9514" w:type="dxa"/>
          </w:tcPr>
          <w:p w14:paraId="6C9FB9F4" w14:textId="77777777" w:rsidR="004C6450" w:rsidRDefault="004C6450" w:rsidP="00F95200">
            <w:pPr>
              <w:pStyle w:val="Headingboxtexttop"/>
            </w:pPr>
            <w:r w:rsidRPr="004C6450">
              <w:t>Request for Associate Minister’s letter to the Minister of Transport regarding the Let’s Get Wellington Moving indicative package (507227, 509750)</w:t>
            </w:r>
          </w:p>
          <w:p w14:paraId="46ADC28C" w14:textId="77777777" w:rsidR="004C6450" w:rsidRPr="004C6450" w:rsidRDefault="004C6450" w:rsidP="00BC2467">
            <w:pPr>
              <w:pStyle w:val="Tablebodytext"/>
            </w:pPr>
            <w:r w:rsidRPr="004C6450">
              <w:t xml:space="preserve">The Associate Minister of Transport sent a letter to the Minister of Transport during pre-consultation on the Let’s Get Wellington Moving (LGWM) indicative package draft Cabinet paper. </w:t>
            </w:r>
          </w:p>
          <w:p w14:paraId="130D46E9" w14:textId="77777777" w:rsidR="004C6450" w:rsidRPr="004C6450" w:rsidRDefault="004C6450" w:rsidP="00BC2467">
            <w:pPr>
              <w:pStyle w:val="Tablebodytext"/>
            </w:pPr>
            <w:r w:rsidRPr="004C6450">
              <w:t xml:space="preserve">Both Ministers refused requests for this letter on the basis that withholding was necessary to maintain: </w:t>
            </w:r>
          </w:p>
          <w:p w14:paraId="7F660825" w14:textId="77777777" w:rsidR="004C6450" w:rsidRPr="004C6450" w:rsidRDefault="004C6450" w:rsidP="00BC2467">
            <w:pPr>
              <w:pStyle w:val="TableBullet1"/>
            </w:pPr>
            <w:r w:rsidRPr="004C6450">
              <w:t>the constitutional convention protecting collective ministerial responsibility (section 9(2)(f)(ii) of the OIA); and</w:t>
            </w:r>
          </w:p>
          <w:p w14:paraId="085379CB" w14:textId="77777777" w:rsidR="004C6450" w:rsidRPr="004C6450" w:rsidRDefault="004C6450" w:rsidP="00BC2467">
            <w:pPr>
              <w:pStyle w:val="TableBullet1"/>
            </w:pPr>
            <w:r w:rsidRPr="004C6450">
              <w:t>the effective conduct of public affairs through the free and frank expression of opinions between Ministers of the Crown (section 9(2)(g)(i) of the OIA).</w:t>
            </w:r>
          </w:p>
          <w:p w14:paraId="05740816" w14:textId="77777777" w:rsidR="004C6450" w:rsidRPr="004C6450" w:rsidRDefault="004C6450" w:rsidP="00BC2467">
            <w:pPr>
              <w:pStyle w:val="Tablebodytext"/>
            </w:pPr>
            <w:r w:rsidRPr="004C6450">
              <w:t xml:space="preserve">While I formed the opinion that the Ministers were entitled to withhold a copy of the letter pursuant to section 9(2)(g)(i) of the OIA, I considered that there was a public interest in disclosure that warranted the release of some information. </w:t>
            </w:r>
          </w:p>
          <w:p w14:paraId="4F66F554" w14:textId="77777777" w:rsidR="004C6450" w:rsidRPr="004C6450" w:rsidRDefault="004C6450" w:rsidP="00BC2467">
            <w:pPr>
              <w:pStyle w:val="Tablebodytext"/>
            </w:pPr>
            <w:r w:rsidRPr="004C6450">
              <w:t>I outlined the specific information from and about the letter which I considered should be released to satisfy the public interest in this case. As the Ministers agreed to release a proposed statement, it was not necessary for me to make any recommendations.</w:t>
            </w:r>
          </w:p>
          <w:p w14:paraId="3BDE8057" w14:textId="4B46C39B" w:rsidR="004C6450" w:rsidRDefault="004C6450" w:rsidP="00BC2467">
            <w:pPr>
              <w:pStyle w:val="Tablebodytext"/>
            </w:pPr>
            <w:r w:rsidRPr="004C6450">
              <w:t xml:space="preserve">Read the full opinion at </w:t>
            </w:r>
            <w:hyperlink r:id="rId26" w:history="1">
              <w:r w:rsidRPr="004C6450">
                <w:rPr>
                  <w:rStyle w:val="Hyperlink"/>
                </w:rPr>
                <w:t>www.ombudsman.parliament.nz</w:t>
              </w:r>
            </w:hyperlink>
            <w:r w:rsidRPr="004C6450">
              <w:t>.</w:t>
            </w:r>
          </w:p>
        </w:tc>
      </w:tr>
    </w:tbl>
    <w:p w14:paraId="12137675" w14:textId="77777777" w:rsidR="004C6450" w:rsidRDefault="004C6450">
      <w:pPr>
        <w:pStyle w:val="Whitespace"/>
      </w:pPr>
    </w:p>
    <w:p w14:paraId="0FB432EF" w14:textId="77777777" w:rsidR="0032702B" w:rsidRPr="001C5E58" w:rsidRDefault="00F9266C" w:rsidP="0032702B">
      <w:pPr>
        <w:pStyle w:val="Heading3"/>
      </w:pPr>
      <w:bookmarkStart w:id="72" w:name="_Official_information_practice_1"/>
      <w:bookmarkStart w:id="73" w:name="_Complaint_timeliness_and_1"/>
      <w:bookmarkStart w:id="74" w:name="_Timeliness_and_clearance"/>
      <w:bookmarkStart w:id="75" w:name="_Office_performance"/>
      <w:bookmarkEnd w:id="72"/>
      <w:bookmarkEnd w:id="73"/>
      <w:bookmarkEnd w:id="74"/>
      <w:bookmarkEnd w:id="75"/>
      <w:r>
        <w:t>Office performance</w:t>
      </w:r>
    </w:p>
    <w:p w14:paraId="0F12B8CB" w14:textId="4964E473" w:rsidR="0032702B" w:rsidRDefault="006F50C2" w:rsidP="00BC2467">
      <w:pPr>
        <w:pStyle w:val="BodyText"/>
        <w:keepNext/>
      </w:pPr>
      <w:r>
        <w:t>I</w:t>
      </w:r>
      <w:r w:rsidR="00207392">
        <w:t xml:space="preserve"> report</w:t>
      </w:r>
      <w:r w:rsidR="0032702B">
        <w:t xml:space="preserve"> timeliness </w:t>
      </w:r>
      <w:r w:rsidR="006B0613">
        <w:t>and clearance rates</w:t>
      </w:r>
      <w:r w:rsidR="00207392">
        <w:t xml:space="preserve"> across all complaint types—OIA, LGOIMA and Ombudsmen Act</w:t>
      </w:r>
      <w:r w:rsidR="008F66CF">
        <w:t xml:space="preserve">. </w:t>
      </w:r>
      <w:r w:rsidR="00940DED">
        <w:t xml:space="preserve">I completed 70 percent of </w:t>
      </w:r>
      <w:r w:rsidR="00DE540B">
        <w:t xml:space="preserve">all </w:t>
      </w:r>
      <w:r w:rsidR="00940DED">
        <w:t xml:space="preserve">complaints within three months, 85 percent within six months, and 95 percent within 12 months. </w:t>
      </w:r>
      <w:r w:rsidR="00943DFD">
        <w:t xml:space="preserve">Of open cases (complaints and other contacts) as </w:t>
      </w:r>
      <w:r w:rsidR="00940DED">
        <w:t xml:space="preserve">at 30 June 2020, only 4 percent were over 12 months old. </w:t>
      </w:r>
    </w:p>
    <w:p w14:paraId="5C47FF8A" w14:textId="77777777" w:rsidR="0007114F" w:rsidRDefault="006D7187" w:rsidP="00492923">
      <w:pPr>
        <w:pStyle w:val="BodyText"/>
      </w:pPr>
      <w:bookmarkStart w:id="76" w:name="_Quality_assurance"/>
      <w:bookmarkEnd w:id="76"/>
      <w:r>
        <w:t>I</w:t>
      </w:r>
      <w:r w:rsidR="005C7057" w:rsidRPr="00E55B34">
        <w:t xml:space="preserve"> performed formal quality assurance </w:t>
      </w:r>
      <w:r w:rsidR="00B40169">
        <w:t xml:space="preserve">checks </w:t>
      </w:r>
      <w:r w:rsidR="005C7057" w:rsidRPr="00E55B34">
        <w:t xml:space="preserve">across a random sample of all </w:t>
      </w:r>
      <w:r w:rsidR="00B40169">
        <w:t xml:space="preserve">completed </w:t>
      </w:r>
      <w:r w:rsidR="005C7057" w:rsidRPr="00E55B34">
        <w:t xml:space="preserve">complaints and other contacts </w:t>
      </w:r>
      <w:r w:rsidR="00EB0310">
        <w:t>(OIA, LGOIMA, and Ombudsmen Act)</w:t>
      </w:r>
      <w:r w:rsidR="005C7057">
        <w:t xml:space="preserve">. </w:t>
      </w:r>
      <w:r w:rsidR="00DE540B">
        <w:t>Eighty-two</w:t>
      </w:r>
      <w:r w:rsidR="005C7057">
        <w:t xml:space="preserve"> percent </w:t>
      </w:r>
      <w:r w:rsidR="005C7057" w:rsidRPr="00E55B34">
        <w:t xml:space="preserve">of the complaints and other contacts reviewed met internal quality standards. </w:t>
      </w:r>
      <w:r w:rsidR="00B40169">
        <w:t xml:space="preserve">In addition to </w:t>
      </w:r>
      <w:r w:rsidR="005C7057">
        <w:t>quality sampling</w:t>
      </w:r>
      <w:r w:rsidR="005C7057" w:rsidRPr="001C5E58">
        <w:t xml:space="preserve">, </w:t>
      </w:r>
      <w:r>
        <w:t>I</w:t>
      </w:r>
      <w:r w:rsidR="005C7057" w:rsidRPr="001C5E58">
        <w:t xml:space="preserve"> </w:t>
      </w:r>
      <w:r w:rsidR="005C7057">
        <w:t xml:space="preserve">also </w:t>
      </w:r>
      <w:r w:rsidR="005C7057" w:rsidRPr="001C5E58">
        <w:t>ensure quality through</w:t>
      </w:r>
      <w:r w:rsidR="00B40169">
        <w:t xml:space="preserve"> </w:t>
      </w:r>
      <w:r w:rsidR="00971954">
        <w:t>peer</w:t>
      </w:r>
      <w:r w:rsidR="00971954" w:rsidRPr="001C5E58">
        <w:t xml:space="preserve"> </w:t>
      </w:r>
      <w:r w:rsidR="005C7057" w:rsidRPr="001C5E58">
        <w:t>review and</w:t>
      </w:r>
      <w:r w:rsidR="00971954">
        <w:t xml:space="preserve"> a robust</w:t>
      </w:r>
      <w:r w:rsidR="005C7057" w:rsidRPr="001C5E58">
        <w:t xml:space="preserve"> in-house training programme. </w:t>
      </w:r>
      <w:bookmarkStart w:id="77" w:name="_Official_information_practice"/>
      <w:bookmarkEnd w:id="77"/>
    </w:p>
    <w:p w14:paraId="51232906" w14:textId="77777777" w:rsidR="00BC247D" w:rsidRDefault="00BC247D" w:rsidP="00BC2467">
      <w:pPr>
        <w:pStyle w:val="Heading3"/>
      </w:pPr>
      <w:r>
        <w:t>Official information practices</w:t>
      </w:r>
    </w:p>
    <w:p w14:paraId="4CE9A77E" w14:textId="77777777" w:rsidR="00BC247D" w:rsidRPr="008B5FF3" w:rsidRDefault="00BC247D" w:rsidP="00BC247D">
      <w:pPr>
        <w:pStyle w:val="BodyText"/>
        <w:rPr>
          <w:szCs w:val="24"/>
        </w:rPr>
      </w:pPr>
      <w:r>
        <w:rPr>
          <w:szCs w:val="24"/>
        </w:rPr>
        <w:t>My proactive</w:t>
      </w:r>
      <w:r w:rsidRPr="008B5FF3">
        <w:rPr>
          <w:szCs w:val="24"/>
        </w:rPr>
        <w:t xml:space="preserve"> </w:t>
      </w:r>
      <w:r>
        <w:rPr>
          <w:szCs w:val="24"/>
        </w:rPr>
        <w:t xml:space="preserve">investigations to </w:t>
      </w:r>
      <w:r w:rsidRPr="008B5FF3">
        <w:rPr>
          <w:szCs w:val="24"/>
        </w:rPr>
        <w:t xml:space="preserve">review public sector agencies’ </w:t>
      </w:r>
      <w:r>
        <w:rPr>
          <w:szCs w:val="24"/>
        </w:rPr>
        <w:t>official information practices look at f</w:t>
      </w:r>
      <w:r w:rsidRPr="008B5FF3">
        <w:rPr>
          <w:szCs w:val="24"/>
        </w:rPr>
        <w:t>ive key area</w:t>
      </w:r>
      <w:r>
        <w:rPr>
          <w:szCs w:val="24"/>
        </w:rPr>
        <w:t>s that</w:t>
      </w:r>
      <w:r w:rsidRPr="008B5FF3">
        <w:rPr>
          <w:szCs w:val="24"/>
        </w:rPr>
        <w:t xml:space="preserve"> have a significant impact on </w:t>
      </w:r>
      <w:r w:rsidR="001E135A">
        <w:rPr>
          <w:szCs w:val="24"/>
        </w:rPr>
        <w:t xml:space="preserve">legal </w:t>
      </w:r>
      <w:r w:rsidRPr="008B5FF3">
        <w:rPr>
          <w:szCs w:val="24"/>
        </w:rPr>
        <w:t>compli</w:t>
      </w:r>
      <w:r>
        <w:rPr>
          <w:szCs w:val="24"/>
        </w:rPr>
        <w:t>ance and practice.</w:t>
      </w:r>
      <w:r w:rsidRPr="008B5FF3">
        <w:rPr>
          <w:szCs w:val="24"/>
        </w:rPr>
        <w:t xml:space="preserve"> These </w:t>
      </w:r>
      <w:r>
        <w:rPr>
          <w:szCs w:val="24"/>
        </w:rPr>
        <w:t>are</w:t>
      </w:r>
      <w:r w:rsidRPr="008B5FF3">
        <w:rPr>
          <w:szCs w:val="24"/>
        </w:rPr>
        <w:t>:</w:t>
      </w:r>
    </w:p>
    <w:p w14:paraId="3ACB5E39" w14:textId="77777777" w:rsidR="00BC247D" w:rsidRPr="00B42CB6" w:rsidRDefault="00BC247D" w:rsidP="00BC247D">
      <w:pPr>
        <w:pStyle w:val="Bullet1"/>
        <w:spacing w:line="259" w:lineRule="auto"/>
        <w:rPr>
          <w:szCs w:val="24"/>
        </w:rPr>
      </w:pPr>
      <w:r>
        <w:rPr>
          <w:szCs w:val="24"/>
        </w:rPr>
        <w:t>l</w:t>
      </w:r>
      <w:r w:rsidRPr="00B42CB6">
        <w:rPr>
          <w:szCs w:val="24"/>
        </w:rPr>
        <w:t>eadership and culture;</w:t>
      </w:r>
    </w:p>
    <w:p w14:paraId="26EA7531" w14:textId="77777777" w:rsidR="00BC247D" w:rsidRPr="00B42CB6" w:rsidRDefault="00BC247D" w:rsidP="00BC247D">
      <w:pPr>
        <w:pStyle w:val="Bullet1"/>
        <w:spacing w:line="259" w:lineRule="auto"/>
        <w:rPr>
          <w:szCs w:val="24"/>
        </w:rPr>
      </w:pPr>
      <w:r>
        <w:rPr>
          <w:szCs w:val="24"/>
        </w:rPr>
        <w:t>o</w:t>
      </w:r>
      <w:r w:rsidRPr="00B42CB6">
        <w:rPr>
          <w:szCs w:val="24"/>
        </w:rPr>
        <w:t>rganisation structure, staffing</w:t>
      </w:r>
      <w:r>
        <w:rPr>
          <w:szCs w:val="24"/>
        </w:rPr>
        <w:t>,</w:t>
      </w:r>
      <w:r w:rsidRPr="00B42CB6">
        <w:rPr>
          <w:szCs w:val="24"/>
        </w:rPr>
        <w:t xml:space="preserve"> and capability;</w:t>
      </w:r>
    </w:p>
    <w:p w14:paraId="0B9EB365" w14:textId="77777777" w:rsidR="00BC247D" w:rsidRPr="00B42CB6" w:rsidRDefault="00BC247D" w:rsidP="00BC247D">
      <w:pPr>
        <w:pStyle w:val="Bullet1"/>
        <w:spacing w:line="259" w:lineRule="auto"/>
        <w:rPr>
          <w:szCs w:val="24"/>
        </w:rPr>
      </w:pPr>
      <w:r>
        <w:rPr>
          <w:szCs w:val="24"/>
        </w:rPr>
        <w:t>i</w:t>
      </w:r>
      <w:r w:rsidRPr="00B42CB6">
        <w:rPr>
          <w:szCs w:val="24"/>
        </w:rPr>
        <w:t>nternal policies, procedures</w:t>
      </w:r>
      <w:r>
        <w:rPr>
          <w:szCs w:val="24"/>
        </w:rPr>
        <w:t>,</w:t>
      </w:r>
      <w:r w:rsidRPr="00B42CB6">
        <w:rPr>
          <w:szCs w:val="24"/>
        </w:rPr>
        <w:t xml:space="preserve"> and resources;</w:t>
      </w:r>
    </w:p>
    <w:p w14:paraId="6254CDF4" w14:textId="77777777" w:rsidR="00BC247D" w:rsidRPr="00B42CB6" w:rsidRDefault="00BC247D" w:rsidP="00BC247D">
      <w:pPr>
        <w:pStyle w:val="Bullet1"/>
        <w:spacing w:line="259" w:lineRule="auto"/>
        <w:rPr>
          <w:szCs w:val="24"/>
        </w:rPr>
      </w:pPr>
      <w:r>
        <w:rPr>
          <w:szCs w:val="24"/>
        </w:rPr>
        <w:t>c</w:t>
      </w:r>
      <w:r w:rsidRPr="00B42CB6">
        <w:rPr>
          <w:szCs w:val="24"/>
        </w:rPr>
        <w:t>urrent practices; and</w:t>
      </w:r>
    </w:p>
    <w:p w14:paraId="6A6E068B" w14:textId="77777777" w:rsidR="00BC247D" w:rsidRPr="004D4016" w:rsidRDefault="00BC247D" w:rsidP="00BC247D">
      <w:pPr>
        <w:pStyle w:val="Bullet1"/>
        <w:spacing w:line="259" w:lineRule="auto"/>
        <w:rPr>
          <w:szCs w:val="24"/>
        </w:rPr>
      </w:pPr>
      <w:r>
        <w:rPr>
          <w:szCs w:val="24"/>
        </w:rPr>
        <w:t>p</w:t>
      </w:r>
      <w:r w:rsidRPr="00B42CB6">
        <w:rPr>
          <w:szCs w:val="24"/>
        </w:rPr>
        <w:t>erformance monitoring and learning.</w:t>
      </w:r>
    </w:p>
    <w:p w14:paraId="19FDFAD5" w14:textId="045E80EF" w:rsidR="00BC247D" w:rsidRDefault="001E135A" w:rsidP="00BC247D">
      <w:pPr>
        <w:pStyle w:val="BodyText"/>
      </w:pPr>
      <w:r>
        <w:t>During 2019/20</w:t>
      </w:r>
      <w:r w:rsidR="00085939">
        <w:t>,</w:t>
      </w:r>
      <w:r>
        <w:t xml:space="preserve"> </w:t>
      </w:r>
      <w:r w:rsidR="00BC247D">
        <w:t>I continue</w:t>
      </w:r>
      <w:r>
        <w:t>d</w:t>
      </w:r>
      <w:r w:rsidR="00BC247D">
        <w:t xml:space="preserve"> to place a strong focus on the official information practices of local government. LGOIMA is an important tool for fostering transparency and accountability. Without access to information held by local authorities and public meetings, the ability to participate in the democratic process </w:t>
      </w:r>
      <w:r>
        <w:t>can be</w:t>
      </w:r>
      <w:r w:rsidR="006D6F8D">
        <w:t xml:space="preserve"> </w:t>
      </w:r>
      <w:r w:rsidR="00BC247D">
        <w:t>constrained. An effective official information regime sits at the very heart of local government practice and should be closely connected with a council’s governance and community engagement functions.</w:t>
      </w:r>
    </w:p>
    <w:p w14:paraId="3F8C8C47" w14:textId="140208AC" w:rsidR="00BC247D" w:rsidRDefault="00BC247D" w:rsidP="00BC247D">
      <w:pPr>
        <w:pStyle w:val="BodyText"/>
      </w:pPr>
      <w:r>
        <w:t xml:space="preserve">This year I finalised investigations into the official information practices of </w:t>
      </w:r>
      <w:hyperlink r:id="rId27" w:history="1">
        <w:r w:rsidRPr="00727948">
          <w:rPr>
            <w:rStyle w:val="Hyperlink"/>
          </w:rPr>
          <w:t>Christchurch City Council</w:t>
        </w:r>
      </w:hyperlink>
      <w:r>
        <w:t xml:space="preserve">, </w:t>
      </w:r>
      <w:hyperlink r:id="rId28" w:history="1">
        <w:r w:rsidRPr="00727948">
          <w:rPr>
            <w:rStyle w:val="Hyperlink"/>
          </w:rPr>
          <w:t>Auckland Council</w:t>
        </w:r>
      </w:hyperlink>
      <w:r>
        <w:t xml:space="preserve">, and the </w:t>
      </w:r>
      <w:hyperlink r:id="rId29" w:history="1">
        <w:r w:rsidRPr="00727948">
          <w:rPr>
            <w:rStyle w:val="Hyperlink"/>
          </w:rPr>
          <w:t>Far North District Council</w:t>
        </w:r>
      </w:hyperlink>
      <w:r>
        <w:t xml:space="preserve">. </w:t>
      </w:r>
    </w:p>
    <w:tbl>
      <w:tblPr>
        <w:tblStyle w:val="TableBox"/>
        <w:tblW w:w="9297" w:type="dxa"/>
        <w:tblLayout w:type="fixed"/>
        <w:tblCellMar>
          <w:bottom w:w="0" w:type="dxa"/>
        </w:tblCellMar>
        <w:tblLook w:val="04A0" w:firstRow="1" w:lastRow="0" w:firstColumn="1" w:lastColumn="0" w:noHBand="0" w:noVBand="1"/>
        <w:tblCaption w:val="Box to emphasise text"/>
      </w:tblPr>
      <w:tblGrid>
        <w:gridCol w:w="9297"/>
      </w:tblGrid>
      <w:tr w:rsidR="00BC247D" w14:paraId="7A8A1028" w14:textId="77777777" w:rsidTr="00492923">
        <w:trPr>
          <w:cantSplit/>
        </w:trPr>
        <w:tc>
          <w:tcPr>
            <w:tcW w:w="9514" w:type="dxa"/>
          </w:tcPr>
          <w:p w14:paraId="0DEE63E7" w14:textId="77777777" w:rsidR="00BC247D" w:rsidRDefault="00BC247D" w:rsidP="00F55DBB">
            <w:pPr>
              <w:pStyle w:val="Headingboxtexttop"/>
              <w:tabs>
                <w:tab w:val="num" w:pos="567"/>
              </w:tabs>
            </w:pPr>
            <w:r w:rsidRPr="005013AD">
              <w:t xml:space="preserve">Investigation into Christchurch City Council </w:t>
            </w:r>
          </w:p>
          <w:p w14:paraId="0D7B3BCF" w14:textId="77777777" w:rsidR="00BC247D" w:rsidRPr="005013AD" w:rsidRDefault="00BC247D" w:rsidP="00F55DBB">
            <w:pPr>
              <w:pStyle w:val="Boxsmalltext"/>
            </w:pPr>
            <w:r w:rsidRPr="005013AD">
              <w:t>My investigation into Christchurch City Council</w:t>
            </w:r>
            <w:r>
              <w:t>’s official information practices, between October 2018 and August 2019,</w:t>
            </w:r>
            <w:r w:rsidRPr="005013AD">
              <w:t xml:space="preserve"> identified serious concerns about the Council’s leadership and culture</w:t>
            </w:r>
            <w:r>
              <w:t>.</w:t>
            </w:r>
            <w:r w:rsidRPr="005013AD">
              <w:t xml:space="preserve"> </w:t>
            </w:r>
          </w:p>
          <w:p w14:paraId="4BB23217" w14:textId="77777777" w:rsidR="00BC247D" w:rsidRPr="005013AD" w:rsidRDefault="00BC247D" w:rsidP="00F55DBB">
            <w:pPr>
              <w:pStyle w:val="Boxsmalltext"/>
            </w:pPr>
            <w:r w:rsidRPr="005013AD">
              <w:t xml:space="preserve">The effective creation, management and recovery of information is essential for both the operation of </w:t>
            </w:r>
            <w:r>
              <w:t>LGOIMA</w:t>
            </w:r>
            <w:r w:rsidRPr="005013AD">
              <w:t xml:space="preserve"> and a healthy culture of openness and transparency within an organisation. As an indication of a council’s internal culture I would expect to see regular, clear statements from senior leaders to staff reflecting a commitment to the principles and purposes of </w:t>
            </w:r>
            <w:r>
              <w:t>LGOIMA</w:t>
            </w:r>
            <w:r w:rsidRPr="005013AD">
              <w:t xml:space="preserve">. I would also expect to see </w:t>
            </w:r>
            <w:r w:rsidR="001E135A">
              <w:t>senior leaders</w:t>
            </w:r>
            <w:r w:rsidRPr="005013AD">
              <w:t xml:space="preserve"> role model behaviours that show a clear commitment to transparency. Where explicit messaging is supported by action, a culture of openness will follow.</w:t>
            </w:r>
          </w:p>
          <w:p w14:paraId="0E38778C" w14:textId="77777777" w:rsidR="00BC247D" w:rsidRPr="005013AD" w:rsidRDefault="001E135A" w:rsidP="00F55DBB">
            <w:pPr>
              <w:pStyle w:val="Boxsmalltext"/>
            </w:pPr>
            <w:r>
              <w:t>During my investigation, a</w:t>
            </w:r>
            <w:r w:rsidR="00BC247D" w:rsidRPr="005013AD">
              <w:t xml:space="preserve"> number of Council staff raised concerns about the behaviour of some members of the then Executive Leadership Team, and alleged methods to control certain types of information in order to keep negative information about the Council from the public. These methods allegedly included manipulating or removing information from reports, project reporting not occurring, </w:t>
            </w:r>
            <w:r w:rsidR="00BC247D">
              <w:t xml:space="preserve">and </w:t>
            </w:r>
            <w:r w:rsidR="00BC247D" w:rsidRPr="005013AD">
              <w:t xml:space="preserve">staff being told not to record information or to keep information in draft form. This led to a perception amongst staff that some members of the then </w:t>
            </w:r>
            <w:r>
              <w:t>E</w:t>
            </w:r>
            <w:r w:rsidR="00BC247D" w:rsidRPr="005013AD">
              <w:t xml:space="preserve">xecutive </w:t>
            </w:r>
            <w:r>
              <w:t>L</w:t>
            </w:r>
            <w:r w:rsidR="00BC247D" w:rsidRPr="005013AD">
              <w:t xml:space="preserve">eadership </w:t>
            </w:r>
            <w:r>
              <w:t>T</w:t>
            </w:r>
            <w:r w:rsidR="00BC247D" w:rsidRPr="005013AD">
              <w:t xml:space="preserve">eam were not supportive of openness and transparency. </w:t>
            </w:r>
          </w:p>
          <w:p w14:paraId="274EEB83" w14:textId="77777777" w:rsidR="00BC247D" w:rsidRPr="005013AD" w:rsidRDefault="001E135A" w:rsidP="00F55DBB">
            <w:pPr>
              <w:pStyle w:val="Boxsmalltext"/>
            </w:pPr>
            <w:r>
              <w:t xml:space="preserve">I formed the opinion that the previous Chief Executive’s failure to take appropriate and adequate action in relation to concerns expressed by staff was unreasonable. </w:t>
            </w:r>
            <w:r w:rsidR="00BC247D" w:rsidRPr="005013AD">
              <w:t xml:space="preserve">I made one recommendation and 39 suggested action points. I recommended that the </w:t>
            </w:r>
            <w:r w:rsidR="00BC247D">
              <w:t xml:space="preserve">new </w:t>
            </w:r>
            <w:r w:rsidR="00BC247D" w:rsidRPr="005013AD">
              <w:t xml:space="preserve">Chief Executive review the practice of the Executive Leadership Team’s involvement in controlling the flow of information to elected members and the public and ensure an approach is adopted that is consistent with the purposes of </w:t>
            </w:r>
            <w:r w:rsidR="00BC247D">
              <w:t>LGOIMA</w:t>
            </w:r>
            <w:r w:rsidR="00BC247D" w:rsidRPr="005013AD">
              <w:t xml:space="preserve">, in particular openness and transparency. </w:t>
            </w:r>
          </w:p>
          <w:p w14:paraId="19ADB62B" w14:textId="77777777" w:rsidR="00BC247D" w:rsidRPr="005013AD" w:rsidRDefault="00BC247D" w:rsidP="00F55DBB">
            <w:pPr>
              <w:pStyle w:val="Boxsmalltext"/>
            </w:pPr>
            <w:r w:rsidRPr="005013AD">
              <w:t>In response to the report, the Council acted swiftly and provided a draft improvement plan addressing the recommendation and accepting all 39 suggested actions to improve its practices, with corresponding timeframes. At the time the report was published, some of my action points had been completed.</w:t>
            </w:r>
          </w:p>
          <w:p w14:paraId="38323E3A" w14:textId="77777777" w:rsidR="00BC247D" w:rsidRDefault="00BC247D" w:rsidP="001E135A">
            <w:pPr>
              <w:pStyle w:val="Boxsmalltext"/>
            </w:pPr>
            <w:r w:rsidRPr="005013AD">
              <w:t xml:space="preserve">I continue to follow up with the </w:t>
            </w:r>
            <w:r w:rsidR="001E135A">
              <w:t>C</w:t>
            </w:r>
            <w:r w:rsidRPr="005013AD">
              <w:t>ouncil to monitor their progress against the remaining action points and I am encouraged with the progress the Council is making.</w:t>
            </w:r>
          </w:p>
        </w:tc>
      </w:tr>
    </w:tbl>
    <w:p w14:paraId="1D9ACD9D" w14:textId="77777777" w:rsidR="00045276" w:rsidRPr="00045276" w:rsidRDefault="00045276" w:rsidP="00045276">
      <w:pPr>
        <w:pStyle w:val="Whitespace"/>
      </w:pPr>
    </w:p>
    <w:p w14:paraId="56CEB5E8" w14:textId="77777777" w:rsidR="00BC247D" w:rsidRPr="0019249F" w:rsidRDefault="00BC247D" w:rsidP="00BC2467">
      <w:pPr>
        <w:pStyle w:val="Heading3"/>
      </w:pPr>
      <w:r w:rsidRPr="0019249F">
        <w:t xml:space="preserve">Revisiting </w:t>
      </w:r>
      <w:r w:rsidRPr="00020A63">
        <w:rPr>
          <w:rStyle w:val="Italics"/>
        </w:rPr>
        <w:t>Not a Game of Hide and Seek</w:t>
      </w:r>
    </w:p>
    <w:p w14:paraId="5325761F" w14:textId="3E9CFC59" w:rsidR="00BC247D" w:rsidRDefault="00BA7FCB" w:rsidP="00BC247D">
      <w:pPr>
        <w:pStyle w:val="BodyText"/>
      </w:pPr>
      <w:r w:rsidRPr="00BA7FCB">
        <w:rPr>
          <w:color w:val="auto"/>
        </w:rPr>
        <w:t xml:space="preserve">When I took up Office five years ago, former Chief Ombudsman Dame Beverley Wakem had just released </w:t>
      </w:r>
      <w:r w:rsidRPr="00BA7FCB">
        <w:rPr>
          <w:i/>
          <w:iCs/>
          <w:color w:val="auto"/>
        </w:rPr>
        <w:t>Not a Game of Hide and Seek</w:t>
      </w:r>
      <w:r w:rsidRPr="00BA7FCB">
        <w:rPr>
          <w:color w:val="auto"/>
        </w:rPr>
        <w:t xml:space="preserve">, the report of her investigation into state sector handling of official information.  As I complete my first term as Ombudsman, I decided it would be timely to consider what progress has been made </w:t>
      </w:r>
      <w:r w:rsidR="00BC247D">
        <w:t xml:space="preserve">since that report was published, and I therefore announced my follow-up to </w:t>
      </w:r>
      <w:r w:rsidR="00BC247D">
        <w:rPr>
          <w:i/>
          <w:iCs/>
        </w:rPr>
        <w:t>Not a Game of Hide and Seek</w:t>
      </w:r>
      <w:r w:rsidR="00BC247D">
        <w:t xml:space="preserve"> in December 2019. My intention was to </w:t>
      </w:r>
      <w:r w:rsidR="001E135A">
        <w:t xml:space="preserve">investigate </w:t>
      </w:r>
      <w:r w:rsidR="00BC247D">
        <w:t>the official information policies and practices of the 12 agencies</w:t>
      </w:r>
      <w:r w:rsidR="00492923">
        <w:rPr>
          <w:rStyle w:val="FootnoteReference"/>
        </w:rPr>
        <w:footnoteReference w:id="44"/>
      </w:r>
      <w:r w:rsidR="00BC247D">
        <w:t xml:space="preserve"> which were the focus of the initial investigation and to produce a final </w:t>
      </w:r>
      <w:r w:rsidR="006F1256">
        <w:t xml:space="preserve">summary </w:t>
      </w:r>
      <w:r w:rsidR="00BC247D">
        <w:t xml:space="preserve">report, and </w:t>
      </w:r>
      <w:r w:rsidR="00085939">
        <w:t xml:space="preserve">12 </w:t>
      </w:r>
      <w:r w:rsidR="00BC247D">
        <w:t xml:space="preserve">individual reports by the end of </w:t>
      </w:r>
      <w:r w:rsidR="006F1256">
        <w:t xml:space="preserve">my first term </w:t>
      </w:r>
      <w:r w:rsidR="00E65E96">
        <w:t xml:space="preserve">in </w:t>
      </w:r>
      <w:r w:rsidR="00BC247D">
        <w:t>the 2020 calendar year.</w:t>
      </w:r>
    </w:p>
    <w:p w14:paraId="5F31723B" w14:textId="6FD9CFC3" w:rsidR="00BC247D" w:rsidRDefault="00D44A06" w:rsidP="00BC247D">
      <w:pPr>
        <w:pStyle w:val="BodyText"/>
      </w:pPr>
      <w:r>
        <w:t>M</w:t>
      </w:r>
      <w:r w:rsidR="00BC247D">
        <w:t xml:space="preserve">y intended timeframe for the completion of </w:t>
      </w:r>
      <w:r>
        <w:t xml:space="preserve">these </w:t>
      </w:r>
      <w:r w:rsidR="00BC247D">
        <w:t>investigation</w:t>
      </w:r>
      <w:r>
        <w:t>s</w:t>
      </w:r>
      <w:r w:rsidR="00BC247D">
        <w:t xml:space="preserve"> </w:t>
      </w:r>
      <w:r>
        <w:t>was</w:t>
      </w:r>
      <w:r w:rsidR="00BC247D">
        <w:t xml:space="preserve"> impacted by the COVID-19 pandemic</w:t>
      </w:r>
      <w:r>
        <w:t>. However</w:t>
      </w:r>
      <w:r w:rsidR="00BC247D">
        <w:t>, it has also offered</w:t>
      </w:r>
      <w:r w:rsidR="006F1256">
        <w:t xml:space="preserve"> me</w:t>
      </w:r>
      <w:r w:rsidR="00BC247D">
        <w:t xml:space="preserve"> a</w:t>
      </w:r>
      <w:r>
        <w:t xml:space="preserve"> unique</w:t>
      </w:r>
      <w:r w:rsidR="00BC247D">
        <w:t xml:space="preserve"> opportunity to</w:t>
      </w:r>
      <w:r w:rsidR="006F1256">
        <w:t xml:space="preserve"> further inform my inquiries by</w:t>
      </w:r>
      <w:r w:rsidR="00BC247D">
        <w:t xml:space="preserve"> explor</w:t>
      </w:r>
      <w:r w:rsidR="006F1256">
        <w:t>ing</w:t>
      </w:r>
      <w:r w:rsidR="00BC247D">
        <w:t xml:space="preserve"> the resilience of central government </w:t>
      </w:r>
      <w:r w:rsidR="006F1256">
        <w:t xml:space="preserve">agency </w:t>
      </w:r>
      <w:r w:rsidR="00BC247D">
        <w:t>practices in relation to the OIA</w:t>
      </w:r>
      <w:r w:rsidR="006F1256">
        <w:t xml:space="preserve"> when they are under pressure or unusual circumstances. I decided to </w:t>
      </w:r>
      <w:r>
        <w:t xml:space="preserve">focus on the position agencies were in just prior to lockdown and </w:t>
      </w:r>
      <w:r w:rsidR="006F1256">
        <w:t xml:space="preserve">then review </w:t>
      </w:r>
      <w:r>
        <w:t>how the</w:t>
      </w:r>
      <w:r w:rsidR="006F1256">
        <w:t>ir systems, policies and practices</w:t>
      </w:r>
      <w:r>
        <w:t xml:space="preserve"> have fared since</w:t>
      </w:r>
      <w:r w:rsidR="00BC247D">
        <w:t>.</w:t>
      </w:r>
      <w:r w:rsidR="006F1256">
        <w:t xml:space="preserve"> As a result I did not complete my systemic investigation, nor the 12 individual agency investigations at 30 June 2020. Rather, I have deliberately chosen to extend these investigations into the new reporting year to enable me to report to Parliament </w:t>
      </w:r>
      <w:r w:rsidR="00D92EEE">
        <w:t>with this additional information.</w:t>
      </w:r>
    </w:p>
    <w:p w14:paraId="06F81BA7" w14:textId="13577BFB" w:rsidR="0007114F" w:rsidRDefault="00BC247D" w:rsidP="0007114F">
      <w:pPr>
        <w:pStyle w:val="BodyText"/>
      </w:pPr>
      <w:r>
        <w:t xml:space="preserve">The focus of </w:t>
      </w:r>
      <w:r w:rsidR="00D44A06">
        <w:t>the</w:t>
      </w:r>
      <w:r>
        <w:t xml:space="preserve"> investigation</w:t>
      </w:r>
      <w:r w:rsidR="00D44A06">
        <w:t>s</w:t>
      </w:r>
      <w:r>
        <w:t xml:space="preserve"> </w:t>
      </w:r>
      <w:r w:rsidR="00D92EEE">
        <w:t xml:space="preserve">will now </w:t>
      </w:r>
      <w:r>
        <w:t xml:space="preserve">include an assessment of </w:t>
      </w:r>
      <w:r w:rsidR="00D44A06">
        <w:t>how the</w:t>
      </w:r>
      <w:r>
        <w:t xml:space="preserve"> agencies have been able to adapt their </w:t>
      </w:r>
      <w:r w:rsidR="0053267B">
        <w:t xml:space="preserve">established </w:t>
      </w:r>
      <w:r>
        <w:t>processes and practices during the different stages of the COVID-19 pandemic response</w:t>
      </w:r>
      <w:r w:rsidR="0053267B">
        <w:t>, and to explore in this context what are the key factors to ensure resilient arrangements for responding to official information requests</w:t>
      </w:r>
      <w:r>
        <w:t>.</w:t>
      </w:r>
      <w:r w:rsidRPr="00BC247D">
        <w:t xml:space="preserve"> </w:t>
      </w:r>
    </w:p>
    <w:p w14:paraId="77497D74" w14:textId="77777777" w:rsidR="00D95A00" w:rsidRDefault="00D95A00" w:rsidP="00D95A00">
      <w:pPr>
        <w:pStyle w:val="BodyText"/>
      </w:pPr>
      <w:r>
        <w:t xml:space="preserve">It is still my intention to provide 12 individual reports to the agencies involved and </w:t>
      </w:r>
      <w:r w:rsidR="0053267B">
        <w:t xml:space="preserve">produce </w:t>
      </w:r>
      <w:r>
        <w:t xml:space="preserve">an omnibus report, but the timeframe has shifted to June 2021. </w:t>
      </w:r>
      <w:r w:rsidR="0053267B">
        <w:t>My</w:t>
      </w:r>
      <w:r>
        <w:t xml:space="preserve"> intention is to highlight good practices, identify any vulnerabilities and </w:t>
      </w:r>
      <w:r w:rsidR="0053267B">
        <w:t xml:space="preserve">help </w:t>
      </w:r>
      <w:r>
        <w:t>overall lift official information practices across the public sector by recommending where agencies ought to improve their current arrangements to enable them to maintain resilience and compliance should a pandemic or natural disaster occur at some point in the future.</w:t>
      </w:r>
    </w:p>
    <w:p w14:paraId="595EB649" w14:textId="2D137A2A" w:rsidR="008A5CA1" w:rsidRDefault="005B795D" w:rsidP="00527D8D">
      <w:pPr>
        <w:pStyle w:val="BodyText"/>
      </w:pPr>
      <w:hyperlink w:anchor="Contents" w:history="1">
        <w:r w:rsidR="008A5CA1" w:rsidRPr="00F5248A">
          <w:rPr>
            <w:rStyle w:val="Hyperlink"/>
          </w:rPr>
          <w:t>Back to contents</w:t>
        </w:r>
      </w:hyperlink>
      <w:bookmarkStart w:id="78" w:name="_Official_information_decisions"/>
      <w:bookmarkEnd w:id="71"/>
      <w:bookmarkEnd w:id="78"/>
    </w:p>
    <w:p w14:paraId="21840522" w14:textId="77777777" w:rsidR="008A5CA1" w:rsidRDefault="008A5CA1" w:rsidP="000D1DDC">
      <w:pPr>
        <w:pStyle w:val="Heading2"/>
      </w:pPr>
      <w:bookmarkStart w:id="79" w:name="_Identify_flawed_public"/>
      <w:bookmarkStart w:id="80" w:name="_Ref54687184"/>
      <w:bookmarkEnd w:id="79"/>
      <w:r w:rsidRPr="008A5CA1">
        <w:t>Identify flawed public sector decision</w:t>
      </w:r>
      <w:r w:rsidR="00B42CB2">
        <w:t xml:space="preserve"> </w:t>
      </w:r>
      <w:r w:rsidRPr="008A5CA1">
        <w:t>making and processes and how to resolve them</w:t>
      </w:r>
      <w:bookmarkEnd w:id="80"/>
    </w:p>
    <w:p w14:paraId="60C5B16E" w14:textId="442BB673" w:rsidR="00CE5FA6" w:rsidRDefault="00CE5FA6" w:rsidP="000D1DDC">
      <w:pPr>
        <w:pStyle w:val="BodyText"/>
        <w:keepNext/>
      </w:pPr>
      <w:r w:rsidRPr="009608F1">
        <w:t xml:space="preserve">In this section </w:t>
      </w:r>
      <w:r w:rsidR="003F50BD">
        <w:t>I</w:t>
      </w:r>
      <w:r w:rsidRPr="009608F1">
        <w:t xml:space="preserve"> give an overview of </w:t>
      </w:r>
      <w:r w:rsidR="00E93806">
        <w:t>my</w:t>
      </w:r>
      <w:r w:rsidR="00E93806" w:rsidRPr="009608F1">
        <w:t xml:space="preserve"> </w:t>
      </w:r>
      <w:r w:rsidRPr="009608F1">
        <w:t xml:space="preserve">complaints handling </w:t>
      </w:r>
      <w:r>
        <w:t xml:space="preserve">and systemic improvement </w:t>
      </w:r>
      <w:r w:rsidRPr="009608F1">
        <w:t>work under the Ombudsmen Act (OA), including responding to oth</w:t>
      </w:r>
      <w:r>
        <w:t>er</w:t>
      </w:r>
      <w:r w:rsidR="00997367">
        <w:t xml:space="preserve"> contacts. Detailed statistics </w:t>
      </w:r>
      <w:r w:rsidRPr="009608F1">
        <w:t xml:space="preserve">can be found in </w:t>
      </w:r>
      <w:hyperlink w:anchor="_Analysis,_statistics_and" w:history="1">
        <w:r w:rsidRPr="00CE79D3">
          <w:rPr>
            <w:rStyle w:val="Hyperlink"/>
          </w:rPr>
          <w:t>Part 7</w:t>
        </w:r>
      </w:hyperlink>
      <w:r w:rsidRPr="009608F1">
        <w:t>.</w:t>
      </w:r>
    </w:p>
    <w:p w14:paraId="1B34BF20" w14:textId="77777777" w:rsidR="0007114F" w:rsidRDefault="0007114F" w:rsidP="00BC2467">
      <w:pPr>
        <w:pStyle w:val="BodyText"/>
      </w:pPr>
      <w:r>
        <w:t>Under t</w:t>
      </w:r>
      <w:r w:rsidRPr="000B2CDE">
        <w:t xml:space="preserve">he </w:t>
      </w:r>
      <w:r>
        <w:t>OA,</w:t>
      </w:r>
      <w:r w:rsidRPr="000B2CDE">
        <w:t xml:space="preserve"> </w:t>
      </w:r>
      <w:r>
        <w:t>I can</w:t>
      </w:r>
      <w:r w:rsidRPr="000B2CDE">
        <w:t xml:space="preserve"> investigate </w:t>
      </w:r>
      <w:r>
        <w:t>public sector agencies’</w:t>
      </w:r>
      <w:r w:rsidRPr="000B2CDE">
        <w:t xml:space="preserve"> administrative conduct </w:t>
      </w:r>
      <w:r w:rsidR="000851C5">
        <w:t>by way of</w:t>
      </w:r>
      <w:r>
        <w:t xml:space="preserve"> a complaint or on my own initiative. My i</w:t>
      </w:r>
      <w:r w:rsidRPr="00D13B97">
        <w:t>ndependent oversight assist</w:t>
      </w:r>
      <w:r>
        <w:t>s</w:t>
      </w:r>
      <w:r w:rsidRPr="00D13B97">
        <w:t xml:space="preserve"> </w:t>
      </w:r>
      <w:r>
        <w:t>public sector</w:t>
      </w:r>
      <w:r w:rsidRPr="00D13B97">
        <w:t xml:space="preserve"> agencies to identify and correct administrative deficiencies</w:t>
      </w:r>
      <w:r>
        <w:t>, including when significant or systemic issues are identified</w:t>
      </w:r>
      <w:r w:rsidRPr="00D13B97">
        <w:t xml:space="preserve">. In doing so, </w:t>
      </w:r>
      <w:r>
        <w:t>I</w:t>
      </w:r>
      <w:r w:rsidRPr="00D13B97">
        <w:t xml:space="preserve"> provide</w:t>
      </w:r>
      <w:r>
        <w:t xml:space="preserve"> a </w:t>
      </w:r>
      <w:r w:rsidRPr="00D13B97">
        <w:t>means of improving administration and decision making over time</w:t>
      </w:r>
      <w:r>
        <w:t>.</w:t>
      </w:r>
      <w:r w:rsidR="000851C5">
        <w:t xml:space="preserve"> </w:t>
      </w:r>
      <w:r>
        <w:t>In this context, I:</w:t>
      </w:r>
      <w:r w:rsidRPr="001310D4">
        <w:t xml:space="preserve"> </w:t>
      </w:r>
    </w:p>
    <w:p w14:paraId="5194F342" w14:textId="77777777" w:rsidR="0007114F" w:rsidRDefault="0007114F" w:rsidP="00045276">
      <w:pPr>
        <w:pStyle w:val="Bullet1"/>
      </w:pPr>
      <w:r>
        <w:t>provide resolution-oriented and impartial complaint handling;</w:t>
      </w:r>
    </w:p>
    <w:p w14:paraId="5A451380" w14:textId="77777777" w:rsidR="0007114F" w:rsidRDefault="0007114F" w:rsidP="00045276">
      <w:pPr>
        <w:pStyle w:val="Bullet1"/>
      </w:pPr>
      <w:r>
        <w:t xml:space="preserve">undertake interventions and investigations to identify where </w:t>
      </w:r>
      <w:r w:rsidR="0026105E">
        <w:t>administrative</w:t>
      </w:r>
      <w:r>
        <w:t xml:space="preserve"> practices, resources, and systems are vulnerable; </w:t>
      </w:r>
    </w:p>
    <w:p w14:paraId="2709FE40" w14:textId="77777777" w:rsidR="0007114F" w:rsidRDefault="0007114F" w:rsidP="00045276">
      <w:pPr>
        <w:pStyle w:val="Bullet1"/>
      </w:pPr>
      <w:r>
        <w:t xml:space="preserve">broker resolutions, form opinions, and make recommendations; </w:t>
      </w:r>
    </w:p>
    <w:p w14:paraId="456BB48B" w14:textId="77777777" w:rsidR="0007114F" w:rsidRDefault="0007114F" w:rsidP="00045276">
      <w:pPr>
        <w:pStyle w:val="Bullet1"/>
      </w:pPr>
      <w:r>
        <w:t>provide advice to agencies and support them to resolve complaints; and</w:t>
      </w:r>
    </w:p>
    <w:p w14:paraId="4FFA036C" w14:textId="77777777" w:rsidR="0007114F" w:rsidRDefault="0007114F" w:rsidP="00045276">
      <w:pPr>
        <w:pStyle w:val="Bullet1"/>
      </w:pPr>
      <w:r w:rsidRPr="00B21E93">
        <w:t xml:space="preserve">report on and monitor the implementation of </w:t>
      </w:r>
      <w:r>
        <w:t>my</w:t>
      </w:r>
      <w:r w:rsidRPr="00B21E93">
        <w:t xml:space="preserve"> </w:t>
      </w:r>
      <w:r>
        <w:t xml:space="preserve">suggestions and </w:t>
      </w:r>
      <w:r w:rsidRPr="00B21E93">
        <w:t>recommendations</w:t>
      </w:r>
      <w:r>
        <w:t xml:space="preserve">. </w:t>
      </w:r>
    </w:p>
    <w:p w14:paraId="456238A6" w14:textId="77777777" w:rsidR="00CE5FA6" w:rsidRDefault="000803D9" w:rsidP="004465BA">
      <w:pPr>
        <w:pStyle w:val="BodyText"/>
      </w:pPr>
      <w:r>
        <w:t>I</w:t>
      </w:r>
      <w:r w:rsidR="00CE5FA6">
        <w:t xml:space="preserve"> continue to report on the outcome of key complaints and investigations to assist in improving administrative practice across the public sector</w:t>
      </w:r>
      <w:r w:rsidR="00CE5FA6" w:rsidRPr="00B21E93">
        <w:t>.</w:t>
      </w:r>
    </w:p>
    <w:tbl>
      <w:tblPr>
        <w:tblStyle w:val="TableBox"/>
        <w:tblW w:w="9297" w:type="dxa"/>
        <w:tblLayout w:type="fixed"/>
        <w:tblCellMar>
          <w:bottom w:w="0" w:type="dxa"/>
        </w:tblCellMar>
        <w:tblLook w:val="04A0" w:firstRow="1" w:lastRow="0" w:firstColumn="1" w:lastColumn="0" w:noHBand="0" w:noVBand="1"/>
        <w:tblCaption w:val="Box to emphasise text"/>
      </w:tblPr>
      <w:tblGrid>
        <w:gridCol w:w="9297"/>
      </w:tblGrid>
      <w:tr w:rsidR="00E0319B" w14:paraId="13783ABF" w14:textId="77777777" w:rsidTr="001636BD">
        <w:tc>
          <w:tcPr>
            <w:tcW w:w="9514" w:type="dxa"/>
          </w:tcPr>
          <w:p w14:paraId="64242027" w14:textId="76EB5727" w:rsidR="00E0319B" w:rsidRDefault="00E0319B" w:rsidP="001636BD">
            <w:pPr>
              <w:pStyle w:val="Headingboxtexttop"/>
              <w:tabs>
                <w:tab w:val="num" w:pos="567"/>
              </w:tabs>
            </w:pPr>
            <w:r w:rsidRPr="00E0319B">
              <w:t>Decision not to return bear skin specimen</w:t>
            </w:r>
            <w:r>
              <w:t xml:space="preserve"> (517937)</w:t>
            </w:r>
          </w:p>
          <w:p w14:paraId="58F26EEE" w14:textId="407F3DDE" w:rsidR="00E0319B" w:rsidRPr="00E0319B" w:rsidRDefault="00E0319B" w:rsidP="00BC2467">
            <w:pPr>
              <w:pStyle w:val="Tablebodytext"/>
            </w:pPr>
            <w:r w:rsidRPr="00E0319B">
              <w:t xml:space="preserve">The complainant arrived in New Zealand with a bear skin from </w:t>
            </w:r>
            <w:r w:rsidR="004F6183">
              <w:t>overseas</w:t>
            </w:r>
            <w:r w:rsidRPr="00E0319B">
              <w:t xml:space="preserve">. As they did not have the required permit, the specimen had to be surrendered under the Trade in Endangered Species Act 1989 (TIES). </w:t>
            </w:r>
          </w:p>
          <w:p w14:paraId="6796767A" w14:textId="77777777" w:rsidR="00E0319B" w:rsidRPr="00E0319B" w:rsidRDefault="00E0319B" w:rsidP="00BC2467">
            <w:pPr>
              <w:pStyle w:val="Tablebodytext"/>
            </w:pPr>
            <w:r w:rsidRPr="00E0319B">
              <w:t xml:space="preserve">My investigation considered whether the Department of Conservation gave reasonable consideration to exercising its discretion under section 42 of TIES in determining how to appropriately deal with the specimen. </w:t>
            </w:r>
          </w:p>
          <w:p w14:paraId="124C143E" w14:textId="6C7543AA" w:rsidR="00E0319B" w:rsidRPr="00E0319B" w:rsidRDefault="00E0319B" w:rsidP="00BC2467">
            <w:pPr>
              <w:pStyle w:val="Tablebodytext"/>
            </w:pPr>
            <w:r w:rsidRPr="00E0319B">
              <w:t>I considered that the legislation governing the importing of such specimens makes it clear that a permit must be presented with the specimen upon arrival in New Zealand. The legislation gives the Department some discretion in determining how to appropriately deal with a specimen. However, the Department explained why it did not consider it appropriate in this instance to either return the specimen to the complainant’s family or retain it for educational or identification purposes</w:t>
            </w:r>
            <w:r w:rsidR="003C3875">
              <w:t xml:space="preserve">. </w:t>
            </w:r>
          </w:p>
          <w:p w14:paraId="0BB153E9" w14:textId="77777777" w:rsidR="00E0319B" w:rsidRDefault="00E0319B" w:rsidP="00BC2467">
            <w:pPr>
              <w:pStyle w:val="Tablebodytext"/>
            </w:pPr>
            <w:r w:rsidRPr="00E0319B">
              <w:t>The Chief Ombudsman therefore formed the opinion that the Department did not act unreasonably in determining how to deal with the specimen.</w:t>
            </w:r>
          </w:p>
          <w:p w14:paraId="2CECCCC4" w14:textId="5C033C3B" w:rsidR="00E0319B" w:rsidRDefault="00F95200" w:rsidP="00BC2467">
            <w:pPr>
              <w:pStyle w:val="Tablebodytext"/>
            </w:pPr>
            <w:r w:rsidRPr="007F02F4">
              <w:t xml:space="preserve">Read the full </w:t>
            </w:r>
            <w:r>
              <w:t>case note</w:t>
            </w:r>
            <w:r w:rsidRPr="007F02F4">
              <w:t xml:space="preserve"> at </w:t>
            </w:r>
            <w:hyperlink r:id="rId30" w:history="1">
              <w:r w:rsidRPr="00E36674">
                <w:rPr>
                  <w:rStyle w:val="Hyperlink"/>
                </w:rPr>
                <w:t>www.ombudsman.parliament.nz.</w:t>
              </w:r>
            </w:hyperlink>
          </w:p>
        </w:tc>
      </w:tr>
    </w:tbl>
    <w:p w14:paraId="06726611" w14:textId="77777777" w:rsidR="00E0319B" w:rsidRDefault="00E0319B">
      <w:pPr>
        <w:pStyle w:val="Whitespace"/>
      </w:pPr>
    </w:p>
    <w:p w14:paraId="6DC241E3" w14:textId="77777777" w:rsidR="0007114F" w:rsidRPr="000A0549" w:rsidRDefault="0007114F" w:rsidP="0007114F">
      <w:pPr>
        <w:pStyle w:val="Heading3"/>
        <w:spacing w:before="240"/>
      </w:pPr>
      <w:bookmarkStart w:id="81" w:name="_Incoming_complaint_management"/>
      <w:bookmarkStart w:id="82" w:name="_Ref56504712"/>
      <w:bookmarkEnd w:id="81"/>
      <w:r w:rsidRPr="000A0549">
        <w:t>Incoming complaint management</w:t>
      </w:r>
      <w:r w:rsidR="000851C5">
        <w:t xml:space="preserve"> during </w:t>
      </w:r>
      <w:r w:rsidR="008C0345">
        <w:t xml:space="preserve">the </w:t>
      </w:r>
      <w:r w:rsidR="000851C5">
        <w:t>pandemic</w:t>
      </w:r>
      <w:bookmarkEnd w:id="82"/>
    </w:p>
    <w:p w14:paraId="506685A5" w14:textId="77777777" w:rsidR="0007114F" w:rsidRDefault="0007114F" w:rsidP="0007114F">
      <w:pPr>
        <w:pStyle w:val="BodyText"/>
      </w:pPr>
      <w:r>
        <w:t xml:space="preserve">In addition to my standard assessment criteria, </w:t>
      </w:r>
      <w:r w:rsidR="00FB7C07">
        <w:t xml:space="preserve">during the pandemic </w:t>
      </w:r>
      <w:r>
        <w:t xml:space="preserve">I </w:t>
      </w:r>
      <w:r w:rsidR="00FB7C07">
        <w:t xml:space="preserve">have </w:t>
      </w:r>
      <w:r>
        <w:t>utilised a triage checklist to assist in the prioritisation and allocation of complaints where:</w:t>
      </w:r>
    </w:p>
    <w:p w14:paraId="0821DF3D" w14:textId="77777777" w:rsidR="0007114F" w:rsidRDefault="0007114F" w:rsidP="0007114F">
      <w:pPr>
        <w:pStyle w:val="Bullet1"/>
      </w:pPr>
      <w:r>
        <w:t xml:space="preserve">there </w:t>
      </w:r>
      <w:r w:rsidR="00FB7C07">
        <w:t xml:space="preserve">are </w:t>
      </w:r>
      <w:r>
        <w:t>significant health and safety issues;</w:t>
      </w:r>
    </w:p>
    <w:p w14:paraId="167DE7E7" w14:textId="77777777" w:rsidR="0007114F" w:rsidRDefault="0007114F" w:rsidP="0007114F">
      <w:pPr>
        <w:pStyle w:val="Bullet1"/>
      </w:pPr>
      <w:r>
        <w:t xml:space="preserve">the complainant </w:t>
      </w:r>
      <w:r w:rsidR="00FB7C07">
        <w:t>is</w:t>
      </w:r>
      <w:r>
        <w:t xml:space="preserve"> in a vulnerable situation; or</w:t>
      </w:r>
    </w:p>
    <w:p w14:paraId="773639FE" w14:textId="77777777" w:rsidR="0007114F" w:rsidRDefault="0007114F" w:rsidP="0007114F">
      <w:pPr>
        <w:pStyle w:val="Bullet1"/>
      </w:pPr>
      <w:r>
        <w:t>the matter ha</w:t>
      </w:r>
      <w:r w:rsidR="00FB7C07">
        <w:t>s</w:t>
      </w:r>
      <w:r>
        <w:t xml:space="preserve"> an imminent deadline or pressing urgency.</w:t>
      </w:r>
    </w:p>
    <w:p w14:paraId="765BC480" w14:textId="59639BB4" w:rsidR="0007114F" w:rsidRPr="007A588F" w:rsidRDefault="00FB7C07" w:rsidP="0007114F">
      <w:pPr>
        <w:pStyle w:val="BodyText"/>
        <w:rPr>
          <w:szCs w:val="24"/>
        </w:rPr>
      </w:pPr>
      <w:r>
        <w:rPr>
          <w:szCs w:val="24"/>
        </w:rPr>
        <w:t>During the second half of 2019/20, i</w:t>
      </w:r>
      <w:r w:rsidR="0007114F" w:rsidRPr="007A588F">
        <w:rPr>
          <w:szCs w:val="24"/>
        </w:rPr>
        <w:t>ncoming complaints were monitored to identify themes</w:t>
      </w:r>
      <w:r>
        <w:rPr>
          <w:szCs w:val="24"/>
        </w:rPr>
        <w:t>,</w:t>
      </w:r>
      <w:r w:rsidR="0007114F" w:rsidRPr="007A588F">
        <w:rPr>
          <w:szCs w:val="24"/>
        </w:rPr>
        <w:t xml:space="preserve"> trends</w:t>
      </w:r>
      <w:r w:rsidR="00A458CB">
        <w:rPr>
          <w:szCs w:val="24"/>
        </w:rPr>
        <w:t>,</w:t>
      </w:r>
      <w:r w:rsidR="00492923">
        <w:rPr>
          <w:szCs w:val="24"/>
        </w:rPr>
        <w:t xml:space="preserve"> </w:t>
      </w:r>
      <w:r>
        <w:rPr>
          <w:szCs w:val="24"/>
        </w:rPr>
        <w:t>and</w:t>
      </w:r>
      <w:r w:rsidR="0007114F">
        <w:rPr>
          <w:szCs w:val="24"/>
        </w:rPr>
        <w:t xml:space="preserve"> new and emerging issues related to COVID-19</w:t>
      </w:r>
      <w:r w:rsidR="0007114F" w:rsidRPr="007A588F">
        <w:rPr>
          <w:szCs w:val="24"/>
        </w:rPr>
        <w:t xml:space="preserve">. As a practical measure, similar types of enquiries and complaints were managed together </w:t>
      </w:r>
      <w:r w:rsidR="0007114F" w:rsidRPr="003B5836">
        <w:rPr>
          <w:szCs w:val="24"/>
        </w:rPr>
        <w:t xml:space="preserve">to </w:t>
      </w:r>
      <w:r w:rsidR="007831C2">
        <w:rPr>
          <w:szCs w:val="24"/>
        </w:rPr>
        <w:t>accommodate</w:t>
      </w:r>
      <w:r w:rsidR="007831C2" w:rsidRPr="003B5836">
        <w:rPr>
          <w:szCs w:val="24"/>
        </w:rPr>
        <w:t xml:space="preserve"> </w:t>
      </w:r>
      <w:r w:rsidR="0007114F" w:rsidRPr="003B5836">
        <w:rPr>
          <w:szCs w:val="24"/>
        </w:rPr>
        <w:t>resource constraints on public sector agencies as well as to ensure consistent and timely consideration of the matters raised. This approach enabled me to quickly build common areas of knowledge and experience</w:t>
      </w:r>
      <w:r>
        <w:rPr>
          <w:szCs w:val="24"/>
        </w:rPr>
        <w:t xml:space="preserve"> in new and developing areas of government activity</w:t>
      </w:r>
      <w:r w:rsidR="0007114F" w:rsidRPr="007A588F">
        <w:rPr>
          <w:szCs w:val="24"/>
        </w:rPr>
        <w:t>, which in turn increased my ability to resolve or finalise complaints quickly.</w:t>
      </w:r>
    </w:p>
    <w:p w14:paraId="398E4CD3" w14:textId="77777777" w:rsidR="0007114F" w:rsidRPr="003B5836" w:rsidRDefault="0007114F" w:rsidP="0007114F">
      <w:pPr>
        <w:pStyle w:val="BodyText"/>
        <w:rPr>
          <w:szCs w:val="24"/>
        </w:rPr>
      </w:pPr>
      <w:r w:rsidRPr="003B5836">
        <w:rPr>
          <w:szCs w:val="24"/>
        </w:rPr>
        <w:t xml:space="preserve">Between March and June 2020, I received 466 COVID-19 specific complaints and other contacts. These cases can be broken down to 46 percent Ombudsmen Act (OA) complaints, 12 percent official information complaints, and 42 percent other contacts. </w:t>
      </w:r>
    </w:p>
    <w:p w14:paraId="23260AE7" w14:textId="77777777" w:rsidR="0007114F" w:rsidRPr="007A588F" w:rsidRDefault="0007114F" w:rsidP="0007114F">
      <w:pPr>
        <w:pStyle w:val="BodyText"/>
        <w:rPr>
          <w:szCs w:val="24"/>
        </w:rPr>
      </w:pPr>
      <w:r w:rsidRPr="003100BE">
        <w:rPr>
          <w:szCs w:val="24"/>
        </w:rPr>
        <w:t xml:space="preserve">Almost half of the COVID-19 OA complaints </w:t>
      </w:r>
      <w:r>
        <w:rPr>
          <w:szCs w:val="24"/>
        </w:rPr>
        <w:t>concerned</w:t>
      </w:r>
      <w:r w:rsidRPr="003100BE">
        <w:rPr>
          <w:szCs w:val="24"/>
        </w:rPr>
        <w:t xml:space="preserve"> border exceptions (21 percent</w:t>
      </w:r>
      <w:r>
        <w:rPr>
          <w:szCs w:val="24"/>
        </w:rPr>
        <w:t>)</w:t>
      </w:r>
      <w:r w:rsidRPr="003100BE">
        <w:rPr>
          <w:szCs w:val="24"/>
        </w:rPr>
        <w:t>, managed isolation and quarantine (19 percent), and prisons (seven percent</w:t>
      </w:r>
      <w:r w:rsidRPr="007A588F">
        <w:rPr>
          <w:szCs w:val="24"/>
        </w:rPr>
        <w:t>). I</w:t>
      </w:r>
      <w:r>
        <w:rPr>
          <w:szCs w:val="24"/>
        </w:rPr>
        <w:t xml:space="preserve"> continue to </w:t>
      </w:r>
      <w:r w:rsidRPr="007A588F">
        <w:rPr>
          <w:szCs w:val="24"/>
        </w:rPr>
        <w:t>analys</w:t>
      </w:r>
      <w:r>
        <w:rPr>
          <w:szCs w:val="24"/>
        </w:rPr>
        <w:t>e</w:t>
      </w:r>
      <w:r w:rsidRPr="007A588F">
        <w:rPr>
          <w:szCs w:val="24"/>
        </w:rPr>
        <w:t xml:space="preserve"> the data on incoming COVID-19 complaints to inform ongoing work in these areas and to elicit learnings for potential major events in the future. </w:t>
      </w:r>
    </w:p>
    <w:p w14:paraId="057D0801" w14:textId="32E678CA" w:rsidR="0007114F" w:rsidRPr="00ED3538" w:rsidRDefault="0007114F" w:rsidP="0007114F">
      <w:pPr>
        <w:pStyle w:val="BodyText"/>
        <w:rPr>
          <w:szCs w:val="24"/>
        </w:rPr>
      </w:pPr>
      <w:r w:rsidRPr="007A588F">
        <w:rPr>
          <w:szCs w:val="24"/>
        </w:rPr>
        <w:t xml:space="preserve">Border exception complaints are when people outside </w:t>
      </w:r>
      <w:r w:rsidR="00492923">
        <w:rPr>
          <w:szCs w:val="24"/>
        </w:rPr>
        <w:t>New Zealand</w:t>
      </w:r>
      <w:r w:rsidRPr="007A588F">
        <w:rPr>
          <w:szCs w:val="24"/>
        </w:rPr>
        <w:t xml:space="preserve"> </w:t>
      </w:r>
      <w:r w:rsidR="00943CD9">
        <w:rPr>
          <w:szCs w:val="24"/>
        </w:rPr>
        <w:t>are</w:t>
      </w:r>
      <w:r w:rsidR="00943CD9" w:rsidRPr="007A588F">
        <w:rPr>
          <w:szCs w:val="24"/>
        </w:rPr>
        <w:t xml:space="preserve"> </w:t>
      </w:r>
      <w:r w:rsidRPr="007A588F">
        <w:rPr>
          <w:szCs w:val="24"/>
        </w:rPr>
        <w:t xml:space="preserve">refused entry </w:t>
      </w:r>
      <w:r w:rsidRPr="003B5836">
        <w:rPr>
          <w:szCs w:val="24"/>
        </w:rPr>
        <w:t xml:space="preserve">because of New Zealand’s </w:t>
      </w:r>
      <w:r w:rsidR="00943CD9">
        <w:rPr>
          <w:szCs w:val="24"/>
        </w:rPr>
        <w:t xml:space="preserve">current </w:t>
      </w:r>
      <w:r w:rsidRPr="003B5836">
        <w:rPr>
          <w:szCs w:val="24"/>
        </w:rPr>
        <w:t xml:space="preserve">border closure. </w:t>
      </w:r>
      <w:r w:rsidR="00943CD9">
        <w:rPr>
          <w:szCs w:val="24"/>
        </w:rPr>
        <w:t>C</w:t>
      </w:r>
      <w:r w:rsidRPr="003B5836">
        <w:rPr>
          <w:szCs w:val="24"/>
        </w:rPr>
        <w:t xml:space="preserve">omplaints </w:t>
      </w:r>
      <w:r w:rsidR="00943CD9">
        <w:rPr>
          <w:szCs w:val="24"/>
        </w:rPr>
        <w:t xml:space="preserve">in this area </w:t>
      </w:r>
      <w:r w:rsidR="007831C2">
        <w:rPr>
          <w:szCs w:val="24"/>
        </w:rPr>
        <w:t xml:space="preserve">alleged </w:t>
      </w:r>
      <w:r w:rsidRPr="003B5836">
        <w:rPr>
          <w:szCs w:val="24"/>
        </w:rPr>
        <w:t>a general inconsistency and lack of clarity in the criteria being applied</w:t>
      </w:r>
      <w:r w:rsidR="00943CD9">
        <w:rPr>
          <w:szCs w:val="24"/>
        </w:rPr>
        <w:t xml:space="preserve"> to the consideration of entry applications</w:t>
      </w:r>
      <w:r w:rsidRPr="003B5836">
        <w:rPr>
          <w:szCs w:val="24"/>
        </w:rPr>
        <w:t xml:space="preserve">. </w:t>
      </w:r>
      <w:r w:rsidR="009854C6">
        <w:rPr>
          <w:color w:val="auto"/>
        </w:rPr>
        <w:t>In</w:t>
      </w:r>
      <w:r w:rsidR="00ED5900">
        <w:rPr>
          <w:color w:val="auto"/>
        </w:rPr>
        <w:t xml:space="preserve"> my</w:t>
      </w:r>
      <w:r w:rsidR="000851C5" w:rsidRPr="00BC2467">
        <w:rPr>
          <w:color w:val="auto"/>
        </w:rPr>
        <w:t xml:space="preserve"> investigations of the complaints, I acknowledged the high threshold set by the Government for exceptions</w:t>
      </w:r>
      <w:r w:rsidR="00943CD9">
        <w:rPr>
          <w:color w:val="auto"/>
        </w:rPr>
        <w:t xml:space="preserve"> to the border closure</w:t>
      </w:r>
      <w:r w:rsidR="000851C5" w:rsidRPr="00BC2467">
        <w:rPr>
          <w:color w:val="auto"/>
        </w:rPr>
        <w:t xml:space="preserve">, and </w:t>
      </w:r>
      <w:r w:rsidR="00943CD9">
        <w:rPr>
          <w:color w:val="auto"/>
        </w:rPr>
        <w:t xml:space="preserve">efforts taken by Immigration New Zealand in liaison with my staff to </w:t>
      </w:r>
      <w:r w:rsidR="000851C5" w:rsidRPr="00BC2467">
        <w:rPr>
          <w:color w:val="auto"/>
        </w:rPr>
        <w:t xml:space="preserve">strengthen internal checks to ensure fairness in applications. </w:t>
      </w:r>
      <w:r w:rsidRPr="009923A4">
        <w:rPr>
          <w:szCs w:val="24"/>
        </w:rPr>
        <w:t>However, I have continue</w:t>
      </w:r>
      <w:r>
        <w:rPr>
          <w:szCs w:val="24"/>
        </w:rPr>
        <w:t>d</w:t>
      </w:r>
      <w:r w:rsidRPr="009923A4">
        <w:rPr>
          <w:szCs w:val="24"/>
        </w:rPr>
        <w:t xml:space="preserve"> to monito</w:t>
      </w:r>
      <w:r w:rsidRPr="005E1C5F">
        <w:rPr>
          <w:szCs w:val="24"/>
        </w:rPr>
        <w:t>r for signs that wider action may be warranted.</w:t>
      </w:r>
    </w:p>
    <w:p w14:paraId="28A8B7CD" w14:textId="77777777" w:rsidR="0007114F" w:rsidRPr="00ED3538" w:rsidRDefault="0007114F" w:rsidP="0007114F">
      <w:pPr>
        <w:pStyle w:val="BodyText"/>
        <w:rPr>
          <w:szCs w:val="24"/>
        </w:rPr>
      </w:pPr>
      <w:r w:rsidRPr="00ED3538">
        <w:rPr>
          <w:szCs w:val="24"/>
        </w:rPr>
        <w:t xml:space="preserve">Managed isolation and quarantine (MIQ) complaints related generally to the refusal of applications for (usually humanitarian) exemptions from the requirement to remain in MIQ for 14 days. During the time these decisions were made by the Ministry of Health, I engaged directly with the Director-General of Health about the clarity of the criteria being used and the options available for review. </w:t>
      </w:r>
      <w:r w:rsidR="00943BA7">
        <w:rPr>
          <w:szCs w:val="24"/>
        </w:rPr>
        <w:t xml:space="preserve">As well as progressing the individual complaints, I </w:t>
      </w:r>
      <w:r w:rsidRPr="00ED3538">
        <w:rPr>
          <w:szCs w:val="24"/>
        </w:rPr>
        <w:t xml:space="preserve">worked </w:t>
      </w:r>
      <w:r w:rsidR="00943BA7">
        <w:rPr>
          <w:szCs w:val="24"/>
        </w:rPr>
        <w:t>with the Ministry on</w:t>
      </w:r>
      <w:r w:rsidRPr="00ED3538">
        <w:rPr>
          <w:szCs w:val="24"/>
        </w:rPr>
        <w:t xml:space="preserve"> a systemic resolution </w:t>
      </w:r>
      <w:r w:rsidR="00943BA7">
        <w:rPr>
          <w:szCs w:val="24"/>
        </w:rPr>
        <w:t>to enhance its processes</w:t>
      </w:r>
      <w:r w:rsidRPr="00ED3538">
        <w:rPr>
          <w:szCs w:val="24"/>
        </w:rPr>
        <w:t xml:space="preserve">. </w:t>
      </w:r>
      <w:r w:rsidR="005F3F99">
        <w:t xml:space="preserve">As a result of my intervention, the Ministry clarified information for the public about the managed isolation exemption process, and set up an expedited system for complaint resolution. </w:t>
      </w:r>
      <w:r w:rsidRPr="00ED3538">
        <w:rPr>
          <w:szCs w:val="24"/>
        </w:rPr>
        <w:t xml:space="preserve">I </w:t>
      </w:r>
      <w:r>
        <w:rPr>
          <w:szCs w:val="24"/>
        </w:rPr>
        <w:t xml:space="preserve">have </w:t>
      </w:r>
      <w:r w:rsidRPr="00ED3538">
        <w:rPr>
          <w:szCs w:val="24"/>
        </w:rPr>
        <w:t>continued regular engagement with the Ministry of Business, Innovation, and Employment (MBIE) on the issue since it assumed responsibility for managing these applications.</w:t>
      </w:r>
    </w:p>
    <w:p w14:paraId="6B9FF81B" w14:textId="77777777" w:rsidR="0007114F" w:rsidRDefault="0007114F" w:rsidP="0007114F">
      <w:pPr>
        <w:pStyle w:val="BodyText"/>
      </w:pPr>
      <w:r>
        <w:t xml:space="preserve">COVID-19 complaints about prisons aligns with the </w:t>
      </w:r>
      <w:r w:rsidR="00C139C7">
        <w:t xml:space="preserve">significant </w:t>
      </w:r>
      <w:r>
        <w:t xml:space="preserve">proportion of complaints </w:t>
      </w:r>
      <w:r w:rsidR="00C139C7">
        <w:t xml:space="preserve">I </w:t>
      </w:r>
      <w:r>
        <w:t xml:space="preserve">receive </w:t>
      </w:r>
      <w:r w:rsidR="00C139C7">
        <w:t>from</w:t>
      </w:r>
      <w:r>
        <w:t xml:space="preserve"> prisoners. </w:t>
      </w:r>
      <w:r w:rsidR="00C139C7">
        <w:t>I</w:t>
      </w:r>
      <w:r>
        <w:t xml:space="preserve">n addition to </w:t>
      </w:r>
      <w:r w:rsidR="00C139C7">
        <w:t xml:space="preserve">undertaking OPCAT </w:t>
      </w:r>
      <w:r>
        <w:t xml:space="preserve">inspections, </w:t>
      </w:r>
      <w:r w:rsidRPr="00C34890">
        <w:rPr>
          <w:szCs w:val="24"/>
        </w:rPr>
        <w:t>I monitor</w:t>
      </w:r>
      <w:r>
        <w:rPr>
          <w:szCs w:val="24"/>
        </w:rPr>
        <w:t>ed</w:t>
      </w:r>
      <w:r w:rsidRPr="00C34890">
        <w:rPr>
          <w:szCs w:val="24"/>
        </w:rPr>
        <w:t xml:space="preserve"> the impact of the COVID-19 response on people in the prison system more generally</w:t>
      </w:r>
      <w:r w:rsidR="00C139C7">
        <w:rPr>
          <w:szCs w:val="24"/>
        </w:rPr>
        <w:t>, both through the complaints I received and general systemic monitoring (discussed in more detail below)</w:t>
      </w:r>
      <w:r w:rsidR="00492923">
        <w:rPr>
          <w:szCs w:val="24"/>
        </w:rPr>
        <w:t>.</w:t>
      </w:r>
    </w:p>
    <w:p w14:paraId="72FE0C55" w14:textId="77777777" w:rsidR="008A5CA1" w:rsidRDefault="008A5CA1" w:rsidP="004465BA">
      <w:pPr>
        <w:pStyle w:val="Heading3"/>
      </w:pPr>
      <w:r>
        <w:t>Complaints</w:t>
      </w:r>
    </w:p>
    <w:p w14:paraId="172C01B5" w14:textId="17B2362F" w:rsidR="00E0319B" w:rsidRDefault="00A2653B" w:rsidP="00E0319B">
      <w:pPr>
        <w:pStyle w:val="BodyText"/>
      </w:pPr>
      <w:r>
        <w:t>I</w:t>
      </w:r>
      <w:r w:rsidRPr="009608F1">
        <w:t xml:space="preserve"> received a total of </w:t>
      </w:r>
      <w:r>
        <w:t>8,325</w:t>
      </w:r>
      <w:r w:rsidRPr="00371028">
        <w:t xml:space="preserve"> OA complaints and other contacts in </w:t>
      </w:r>
      <w:r w:rsidRPr="00A73532">
        <w:t>20</w:t>
      </w:r>
      <w:r>
        <w:t>19</w:t>
      </w:r>
      <w:r w:rsidRPr="00A73532">
        <w:t>/</w:t>
      </w:r>
      <w:r>
        <w:t xml:space="preserve">20. This is an </w:t>
      </w:r>
      <w:r w:rsidR="00C139C7">
        <w:t xml:space="preserve">overall </w:t>
      </w:r>
      <w:r>
        <w:t>increase of 11 percent from last year</w:t>
      </w:r>
      <w:r w:rsidRPr="00371028">
        <w:t xml:space="preserve">. </w:t>
      </w:r>
      <w:r>
        <w:t>These cases were</w:t>
      </w:r>
      <w:r w:rsidRPr="00371028">
        <w:t xml:space="preserve"> made up of</w:t>
      </w:r>
      <w:r>
        <w:t xml:space="preserve"> 2,811 complaints (19 percent increase) and 5</w:t>
      </w:r>
      <w:r w:rsidR="00E93806">
        <w:t>,</w:t>
      </w:r>
      <w:r>
        <w:t xml:space="preserve">514 </w:t>
      </w:r>
      <w:r w:rsidR="00E93806">
        <w:t xml:space="preserve">other contacts </w:t>
      </w:r>
      <w:r>
        <w:t>(</w:t>
      </w:r>
      <w:r w:rsidR="007831C2">
        <w:t>eight</w:t>
      </w:r>
      <w:r>
        <w:t xml:space="preserve"> percent increase).</w:t>
      </w:r>
      <w:r w:rsidRPr="009713B2">
        <w:t xml:space="preserve"> </w:t>
      </w:r>
      <w:r w:rsidR="00C139C7">
        <w:t>Eighty-five</w:t>
      </w:r>
      <w:r>
        <w:t xml:space="preserve"> percent of complaints were received from the general public and 12 percent</w:t>
      </w:r>
      <w:r w:rsidR="00E93806">
        <w:t xml:space="preserve"> were</w:t>
      </w:r>
      <w:r>
        <w:t xml:space="preserve"> from </w:t>
      </w:r>
      <w:r w:rsidR="00E93806">
        <w:t>prisoners</w:t>
      </w:r>
      <w:r w:rsidR="00492923">
        <w:t xml:space="preserve"> </w:t>
      </w:r>
      <w:r w:rsidR="00C139C7">
        <w:t>(</w:t>
      </w:r>
      <w:r w:rsidR="00492923">
        <w:t>c</w:t>
      </w:r>
      <w:r>
        <w:t xml:space="preserve">omparatively, </w:t>
      </w:r>
      <w:r w:rsidR="00E93806">
        <w:t>37 percent of oth</w:t>
      </w:r>
      <w:r w:rsidR="00492923">
        <w:t>er contacts were from prisoners</w:t>
      </w:r>
      <w:r w:rsidR="00C139C7">
        <w:t>)</w:t>
      </w:r>
      <w:r w:rsidR="00492923">
        <w:t>.</w:t>
      </w:r>
      <w:r w:rsidR="00B07F20" w:rsidRPr="00B07F20">
        <w:t xml:space="preserve"> </w:t>
      </w:r>
      <w:r w:rsidR="00B07F20" w:rsidRPr="006D43BF">
        <w:t>This reflects the intent of the legislation, which is to provide recourse for people personally affected by the administrative conduct of public sector agencies.</w:t>
      </w:r>
      <w:r w:rsidR="00597880">
        <w:t xml:space="preserve"> I have adapted </w:t>
      </w:r>
      <w:r w:rsidR="00C139C7">
        <w:t xml:space="preserve">to the significant </w:t>
      </w:r>
      <w:r w:rsidR="00597880">
        <w:t xml:space="preserve">increase in complaints and other contacts with proactive and reactive action in an evolving environment </w:t>
      </w:r>
      <w:r w:rsidR="00F55DBB">
        <w:t>and</w:t>
      </w:r>
      <w:r w:rsidR="00597880">
        <w:t xml:space="preserve"> </w:t>
      </w:r>
      <w:r w:rsidR="00C139C7">
        <w:t xml:space="preserve">in the context of newly </w:t>
      </w:r>
      <w:r w:rsidR="00597880">
        <w:t>emerging issues.</w:t>
      </w:r>
      <w:r w:rsidR="00E0319B" w:rsidRPr="00E0319B">
        <w:t xml:space="preserve"> </w:t>
      </w:r>
    </w:p>
    <w:p w14:paraId="0E4A34BB" w14:textId="77777777" w:rsidR="00E0319B" w:rsidRPr="00A73532" w:rsidRDefault="00E0319B" w:rsidP="00E0319B">
      <w:pPr>
        <w:pStyle w:val="BodyText"/>
      </w:pPr>
      <w:r>
        <w:t>In 2019/20, I</w:t>
      </w:r>
      <w:r w:rsidRPr="00A73532">
        <w:t xml:space="preserve"> completed a total of </w:t>
      </w:r>
      <w:r>
        <w:t>8</w:t>
      </w:r>
      <w:r w:rsidRPr="00A73532">
        <w:t>,</w:t>
      </w:r>
      <w:r>
        <w:t>178</w:t>
      </w:r>
      <w:r w:rsidRPr="00A73532">
        <w:t xml:space="preserve"> OA </w:t>
      </w:r>
      <w:r>
        <w:t>cases,</w:t>
      </w:r>
      <w:r w:rsidRPr="00A73532">
        <w:t xml:space="preserve"> </w:t>
      </w:r>
      <w:r>
        <w:t xml:space="preserve">comprising of </w:t>
      </w:r>
      <w:r w:rsidRPr="00A73532">
        <w:t>2,</w:t>
      </w:r>
      <w:r>
        <w:t>66</w:t>
      </w:r>
      <w:r w:rsidRPr="00A73532">
        <w:t>5 complaints and</w:t>
      </w:r>
      <w:r>
        <w:t xml:space="preserve"> </w:t>
      </w:r>
      <w:r w:rsidRPr="00A73532">
        <w:t>5,</w:t>
      </w:r>
      <w:r>
        <w:t>513</w:t>
      </w:r>
      <w:r w:rsidRPr="00A73532">
        <w:t xml:space="preserve"> other contacts.</w:t>
      </w:r>
      <w:r w:rsidRPr="00513EA7">
        <w:t xml:space="preserve"> </w:t>
      </w:r>
      <w:r w:rsidR="00C139C7">
        <w:t>This represents a 10 percent increase in OA cases completed as compared to 2018/19.</w:t>
      </w:r>
    </w:p>
    <w:p w14:paraId="4FD59158" w14:textId="77777777" w:rsidR="00E0319B" w:rsidRPr="009608F1" w:rsidRDefault="00E0319B" w:rsidP="00E0319B">
      <w:pPr>
        <w:pStyle w:val="Heading3"/>
      </w:pPr>
      <w:r>
        <w:t>A</w:t>
      </w:r>
      <w:r w:rsidRPr="009608F1">
        <w:t xml:space="preserve">gencies </w:t>
      </w:r>
    </w:p>
    <w:p w14:paraId="4F35CBA3" w14:textId="4EB4A05E" w:rsidR="00E0319B" w:rsidRPr="006D43BF" w:rsidRDefault="00E0319B" w:rsidP="00E0319B">
      <w:pPr>
        <w:pStyle w:val="BodyText"/>
      </w:pPr>
      <w:r>
        <w:t>Fifty percent of OA complaints</w:t>
      </w:r>
      <w:r w:rsidRPr="006D43BF">
        <w:t xml:space="preserve"> were made against central government </w:t>
      </w:r>
      <w:r w:rsidR="006A4856">
        <w:t>agencies</w:t>
      </w:r>
      <w:r w:rsidRPr="006D43BF">
        <w:t xml:space="preserve">. Other </w:t>
      </w:r>
      <w:r>
        <w:t>public</w:t>
      </w:r>
      <w:r w:rsidRPr="006D43BF">
        <w:t xml:space="preserve"> sector agencies accounted for 2</w:t>
      </w:r>
      <w:r>
        <w:t>4</w:t>
      </w:r>
      <w:r w:rsidRPr="006D43BF">
        <w:t xml:space="preserve"> percent of OA complaints and 1</w:t>
      </w:r>
      <w:r>
        <w:t>6</w:t>
      </w:r>
      <w:r w:rsidRPr="006D43BF">
        <w:t xml:space="preserve"> percent were made against local government agencies. These figures </w:t>
      </w:r>
      <w:r>
        <w:t>continue to be consistent year on year.</w:t>
      </w:r>
    </w:p>
    <w:p w14:paraId="5DD210EB" w14:textId="032A9734" w:rsidR="00E0319B" w:rsidRPr="006D43BF" w:rsidRDefault="00E0319B" w:rsidP="00E0319B">
      <w:pPr>
        <w:pStyle w:val="BodyText"/>
      </w:pPr>
      <w:r w:rsidRPr="006D43BF">
        <w:t>The agencies generating significant numbers of complaints tend to be ones that interact with, and impact upon, large numbers of people.</w:t>
      </w:r>
      <w:r>
        <w:t xml:space="preserve"> These agencies have been consistently the highest complained about over the years. </w:t>
      </w:r>
      <w:hyperlink w:anchor="_Analysis,_statistics_and" w:history="1">
        <w:r w:rsidRPr="00CE79D3">
          <w:rPr>
            <w:rStyle w:val="Hyperlink"/>
          </w:rPr>
          <w:t>Part 7</w:t>
        </w:r>
      </w:hyperlink>
      <w:r w:rsidRPr="002733A7">
        <w:t xml:space="preserve"> </w:t>
      </w:r>
      <w:r>
        <w:t xml:space="preserve">includes a breakdown of agencies that received </w:t>
      </w:r>
      <w:r w:rsidR="006A4856">
        <w:t xml:space="preserve">15 </w:t>
      </w:r>
      <w:r>
        <w:t>or more complaints within the reporting year.</w:t>
      </w:r>
    </w:p>
    <w:p w14:paraId="5EDFE601" w14:textId="77777777" w:rsidR="00E0319B" w:rsidRDefault="00E0319B" w:rsidP="00E0319B">
      <w:pPr>
        <w:pStyle w:val="BodyText"/>
      </w:pPr>
      <w:r>
        <w:t xml:space="preserve">In line with the high proportion of other contacts received from prisoners, 42 percent of other contacts </w:t>
      </w:r>
      <w:r w:rsidRPr="00FD2137">
        <w:t xml:space="preserve">concerned the Department of Corrections. </w:t>
      </w:r>
    </w:p>
    <w:p w14:paraId="4E879E03" w14:textId="77777777" w:rsidR="00E0319B" w:rsidRPr="009608F1" w:rsidRDefault="00E0319B" w:rsidP="00E0319B">
      <w:pPr>
        <w:pStyle w:val="Heading3"/>
      </w:pPr>
      <w:r>
        <w:t>O</w:t>
      </w:r>
      <w:r w:rsidRPr="009608F1">
        <w:t>utcomes</w:t>
      </w:r>
    </w:p>
    <w:p w14:paraId="43C5B746" w14:textId="77777777" w:rsidR="00E0319B" w:rsidRPr="009608F1" w:rsidRDefault="00E0319B" w:rsidP="00E0319B">
      <w:pPr>
        <w:pStyle w:val="Heading4"/>
        <w:widowControl w:val="0"/>
      </w:pPr>
      <w:r w:rsidRPr="009608F1">
        <w:t>Other contacts</w:t>
      </w:r>
    </w:p>
    <w:p w14:paraId="1314DEA3" w14:textId="77777777" w:rsidR="00E0319B" w:rsidRDefault="00E0319B" w:rsidP="00E0319B">
      <w:pPr>
        <w:pStyle w:val="BodyText"/>
        <w:keepNext/>
        <w:keepLines/>
        <w:widowControl w:val="0"/>
      </w:pPr>
      <w:r>
        <w:t xml:space="preserve">If I am contacted prior to a complaint being made in writing, this is my first opportunity to consider the best course of action for the individual. Of all of the other contacts I received, 76 percent of them related to OA matter. </w:t>
      </w:r>
    </w:p>
    <w:p w14:paraId="22ADBD67" w14:textId="77777777" w:rsidR="00E0319B" w:rsidRPr="00DF179D" w:rsidRDefault="00E0319B" w:rsidP="00E0319B">
      <w:pPr>
        <w:pStyle w:val="BodyText"/>
        <w:keepNext/>
        <w:keepLines/>
        <w:widowControl w:val="0"/>
      </w:pPr>
      <w:r>
        <w:t xml:space="preserve">Of the 5,513 other contacts on OA matters, the majority of them were dealt with by either providing </w:t>
      </w:r>
      <w:r w:rsidRPr="00DF179D">
        <w:t>an explanation, advice</w:t>
      </w:r>
      <w:r>
        <w:t>,</w:t>
      </w:r>
      <w:r w:rsidRPr="00DF179D">
        <w:t xml:space="preserve"> or assistance </w:t>
      </w:r>
      <w:r>
        <w:t xml:space="preserve">or advising the person to complain to the agency first. </w:t>
      </w:r>
      <w:r w:rsidRPr="00B07F20">
        <w:t>Recourse to the Ombudsm</w:t>
      </w:r>
      <w:r w:rsidR="00C139C7">
        <w:t>a</w:t>
      </w:r>
      <w:r w:rsidRPr="00B07F20">
        <w:t xml:space="preserve">n </w:t>
      </w:r>
      <w:r>
        <w:t>should be</w:t>
      </w:r>
      <w:r w:rsidRPr="00B07F20">
        <w:t xml:space="preserve"> a matter of last resort. It has been a long-standing practice of Ombudsmen not to intervene in a matter if the agency complained about has not had an adequate opportunity to respond to any complaints first. I generally expect a complaint to have been sent first to either the chief executive of the agency or to the agency’s nominated complaints service.</w:t>
      </w:r>
      <w:r>
        <w:t xml:space="preserve"> </w:t>
      </w:r>
    </w:p>
    <w:p w14:paraId="7E47D601" w14:textId="63D97686" w:rsidR="00E0319B" w:rsidRDefault="00E0319B" w:rsidP="00E0319B">
      <w:pPr>
        <w:pStyle w:val="BodyText"/>
        <w:keepNext/>
        <w:keepLines/>
        <w:widowControl w:val="0"/>
      </w:pPr>
      <w:r>
        <w:t>I</w:t>
      </w:r>
      <w:r w:rsidRPr="00DF179D">
        <w:t xml:space="preserve"> invited </w:t>
      </w:r>
      <w:r>
        <w:t>607</w:t>
      </w:r>
      <w:r w:rsidRPr="00DF179D">
        <w:t xml:space="preserve"> individuals</w:t>
      </w:r>
      <w:r>
        <w:t xml:space="preserve"> </w:t>
      </w:r>
      <w:r w:rsidR="00C139C7">
        <w:t>(</w:t>
      </w:r>
      <w:r w:rsidR="007831C2">
        <w:t>eight</w:t>
      </w:r>
      <w:r w:rsidR="00C139C7">
        <w:t xml:space="preserve"> percent) </w:t>
      </w:r>
      <w:r w:rsidRPr="00DF179D">
        <w:t xml:space="preserve">to </w:t>
      </w:r>
      <w:r>
        <w:t>complain to me</w:t>
      </w:r>
      <w:r w:rsidRPr="00DF179D">
        <w:t xml:space="preserve"> in writing</w:t>
      </w:r>
      <w:r>
        <w:t xml:space="preserve"> as they had already exhausted all other options</w:t>
      </w:r>
      <w:r w:rsidRPr="00DF179D">
        <w:t>.</w:t>
      </w:r>
    </w:p>
    <w:tbl>
      <w:tblPr>
        <w:tblStyle w:val="TableBox"/>
        <w:tblW w:w="9297" w:type="dxa"/>
        <w:tblLayout w:type="fixed"/>
        <w:tblCellMar>
          <w:bottom w:w="0" w:type="dxa"/>
        </w:tblCellMar>
        <w:tblLook w:val="04A0" w:firstRow="1" w:lastRow="0" w:firstColumn="1" w:lastColumn="0" w:noHBand="0" w:noVBand="1"/>
        <w:tblCaption w:val="Box to emphasise text"/>
      </w:tblPr>
      <w:tblGrid>
        <w:gridCol w:w="9297"/>
      </w:tblGrid>
      <w:tr w:rsidR="007F02F4" w14:paraId="2F0E0DC7" w14:textId="77777777" w:rsidTr="00E0319B">
        <w:tc>
          <w:tcPr>
            <w:tcW w:w="9297" w:type="dxa"/>
          </w:tcPr>
          <w:p w14:paraId="24E9F068" w14:textId="77777777" w:rsidR="007F02F4" w:rsidRDefault="007F02F4" w:rsidP="001636BD">
            <w:pPr>
              <w:pStyle w:val="Headingboxtexttop"/>
              <w:tabs>
                <w:tab w:val="num" w:pos="567"/>
              </w:tabs>
            </w:pPr>
            <w:r w:rsidRPr="007F02F4">
              <w:t>Decision not to accept marriage certificate as proof of surname change (518178)</w:t>
            </w:r>
          </w:p>
          <w:p w14:paraId="3DB88BFD" w14:textId="77777777" w:rsidR="007F02F4" w:rsidRPr="007F02F4" w:rsidRDefault="007F02F4" w:rsidP="00492923">
            <w:pPr>
              <w:pStyle w:val="Boxsmalltext"/>
            </w:pPr>
            <w:r w:rsidRPr="007F02F4">
              <w:t xml:space="preserve">A complainant wanted to change her name to her married name with Inland Revenue (IR). She filled out the IR238 form, ‘Have you changed your name, address or phone number?’, which lists </w:t>
            </w:r>
            <w:r w:rsidR="00C139C7">
              <w:t xml:space="preserve">a </w:t>
            </w:r>
            <w:r w:rsidRPr="007F02F4">
              <w:t>marriage certificate as one of the accepted supporting documents.</w:t>
            </w:r>
          </w:p>
          <w:p w14:paraId="6BDF4A51" w14:textId="77777777" w:rsidR="007F02F4" w:rsidRPr="007F02F4" w:rsidRDefault="007F02F4" w:rsidP="00492923">
            <w:pPr>
              <w:pStyle w:val="Boxsmalltext"/>
            </w:pPr>
            <w:r w:rsidRPr="007F02F4">
              <w:t>IR informed the complainant that they were unable to accept her name change without a deed poll or statutory declaration. IR’s Complaint Management Service then advised that a Name Change Certificate from Births, Deaths and Marriages would be required and that the IR238 form would be updated accordingly.</w:t>
            </w:r>
          </w:p>
          <w:p w14:paraId="7032E45B" w14:textId="77777777" w:rsidR="007F02F4" w:rsidRPr="007F02F4" w:rsidRDefault="007F02F4" w:rsidP="00492923">
            <w:pPr>
              <w:pStyle w:val="Boxsmalltext"/>
            </w:pPr>
            <w:r w:rsidRPr="007F02F4">
              <w:t>Following preliminary inquiries from my Investigator, IR agreed to reconsider its decision. IR decided to reinstate the policy to accept marriage certificates as supporting documentation to evidence a name change which aligns with the existing requirements in the IR238 form. Accordingly, IR updated the complainant’s name to her married name which resolved her concerns.</w:t>
            </w:r>
          </w:p>
          <w:p w14:paraId="6B6F7CA7" w14:textId="13F74B5C" w:rsidR="007F02F4" w:rsidRDefault="007F02F4" w:rsidP="00F95200">
            <w:pPr>
              <w:pStyle w:val="Boxsmalltext"/>
            </w:pPr>
            <w:r w:rsidRPr="007F02F4">
              <w:t xml:space="preserve">Read the full </w:t>
            </w:r>
            <w:r w:rsidR="00F95200">
              <w:t>case note</w:t>
            </w:r>
            <w:r w:rsidRPr="007F02F4">
              <w:t xml:space="preserve"> at </w:t>
            </w:r>
            <w:hyperlink r:id="rId31" w:history="1">
              <w:r w:rsidRPr="007F02F4">
                <w:rPr>
                  <w:rStyle w:val="Hyperlink"/>
                </w:rPr>
                <w:t>www.ombudsman.parliament.nz</w:t>
              </w:r>
            </w:hyperlink>
            <w:r w:rsidRPr="007F02F4">
              <w:t>.</w:t>
            </w:r>
          </w:p>
        </w:tc>
      </w:tr>
    </w:tbl>
    <w:p w14:paraId="49334F8D" w14:textId="77777777" w:rsidR="007F02F4" w:rsidRDefault="007F02F4">
      <w:pPr>
        <w:pStyle w:val="Whitespace"/>
      </w:pPr>
    </w:p>
    <w:p w14:paraId="507FC045" w14:textId="77777777" w:rsidR="008A5CA1" w:rsidRPr="009608F1" w:rsidRDefault="008A5CA1" w:rsidP="004465BA">
      <w:pPr>
        <w:pStyle w:val="Heading4"/>
      </w:pPr>
      <w:r w:rsidRPr="009608F1">
        <w:t>Complaints</w:t>
      </w:r>
    </w:p>
    <w:p w14:paraId="4FFFEE0F" w14:textId="77777777" w:rsidR="00BB6E7A" w:rsidRDefault="00BB6E7A" w:rsidP="00BB6E7A">
      <w:pPr>
        <w:pStyle w:val="BodyText"/>
      </w:pPr>
      <w:bookmarkStart w:id="83" w:name="_Ref336495647"/>
      <w:r w:rsidRPr="00662DBD">
        <w:t xml:space="preserve">In </w:t>
      </w:r>
      <w:r w:rsidRPr="00B67A6C">
        <w:t>20</w:t>
      </w:r>
      <w:r>
        <w:t>19</w:t>
      </w:r>
      <w:r w:rsidRPr="00B67A6C">
        <w:t>/</w:t>
      </w:r>
      <w:r>
        <w:t>20</w:t>
      </w:r>
      <w:r w:rsidR="00597880">
        <w:t xml:space="preserve">, </w:t>
      </w:r>
      <w:r>
        <w:t xml:space="preserve">I obtained resolution for 48 percent of </w:t>
      </w:r>
      <w:r w:rsidR="00E93806">
        <w:t>OA</w:t>
      </w:r>
      <w:r w:rsidR="00B07F20">
        <w:t xml:space="preserve"> </w:t>
      </w:r>
      <w:r w:rsidR="00436994" w:rsidRPr="00662DBD">
        <w:t>complaints</w:t>
      </w:r>
      <w:r w:rsidR="00436994">
        <w:t xml:space="preserve"> that would otherwise have been subject to a full investigation. </w:t>
      </w:r>
    </w:p>
    <w:p w14:paraId="285C8ADF" w14:textId="525D247B" w:rsidR="001D138C" w:rsidRDefault="00BB6E7A" w:rsidP="00943BA7">
      <w:pPr>
        <w:pStyle w:val="BodyText"/>
        <w:rPr>
          <w:rStyle w:val="Hyperlink"/>
          <w:color w:val="1E1E1E"/>
          <w:u w:val="none"/>
        </w:rPr>
      </w:pPr>
      <w:r>
        <w:t>I</w:t>
      </w:r>
      <w:r w:rsidRPr="00E6255C">
        <w:t xml:space="preserve"> obtained </w:t>
      </w:r>
      <w:r>
        <w:t xml:space="preserve">260 </w:t>
      </w:r>
      <w:r w:rsidRPr="00E6255C">
        <w:t xml:space="preserve">remedies </w:t>
      </w:r>
      <w:r>
        <w:t>this year for OA complaints; an 88</w:t>
      </w:r>
      <w:r w:rsidR="00A458CB">
        <w:t xml:space="preserve"> percent </w:t>
      </w:r>
      <w:r>
        <w:t>increase from 2018/19.</w:t>
      </w:r>
      <w:r w:rsidRPr="00E6255C">
        <w:t xml:space="preserve"> </w:t>
      </w:r>
      <w:r>
        <w:t>The majority of these remedies were for the benefit of the individual</w:t>
      </w:r>
      <w:r w:rsidR="00943BA7">
        <w:t>, including reconsideration or changes to decisions, rectification of omissions and apologies</w:t>
      </w:r>
      <w:r>
        <w:t xml:space="preserve">. A </w:t>
      </w:r>
      <w:r w:rsidR="00943BA7">
        <w:t xml:space="preserve">detailed </w:t>
      </w:r>
      <w:r>
        <w:t xml:space="preserve">breakdown of </w:t>
      </w:r>
      <w:r w:rsidR="00943BA7">
        <w:t xml:space="preserve">the </w:t>
      </w:r>
      <w:r>
        <w:t xml:space="preserve">remedies is provided in </w:t>
      </w:r>
      <w:hyperlink w:anchor="_Analysis,_statistics_and" w:history="1">
        <w:r w:rsidR="00492923" w:rsidRPr="00CE79D3">
          <w:rPr>
            <w:rStyle w:val="Hyperlink"/>
          </w:rPr>
          <w:t>Part 7</w:t>
        </w:r>
      </w:hyperlink>
      <w:r>
        <w:t xml:space="preserve">. </w:t>
      </w:r>
      <w:r w:rsidRPr="001C5E58">
        <w:t xml:space="preserve">The data supports </w:t>
      </w:r>
      <w:r>
        <w:t>my</w:t>
      </w:r>
      <w:r w:rsidRPr="001C5E58">
        <w:t xml:space="preserve"> experience that </w:t>
      </w:r>
      <w:r>
        <w:t>public</w:t>
      </w:r>
      <w:r w:rsidRPr="001C5E58">
        <w:t xml:space="preserve"> sector agencies are generally very receptive to Ombudsman investigations and inquiries, and willingly take the opportunity to examine their conduct and remedy any administrative deficiencies that have occurred. </w:t>
      </w:r>
    </w:p>
    <w:p w14:paraId="01484330" w14:textId="77777777" w:rsidR="00BB6E7A" w:rsidRDefault="00BB6E7A" w:rsidP="00BB6E7A">
      <w:pPr>
        <w:pStyle w:val="BodyText"/>
      </w:pPr>
      <w:r>
        <w:t>When the matter is unable to be resolved, I form an opinion about the agency’s decision, recommendation, act</w:t>
      </w:r>
      <w:r w:rsidR="00E93806">
        <w:t>,</w:t>
      </w:r>
      <w:r>
        <w:t xml:space="preserve"> or omission. </w:t>
      </w:r>
      <w:r w:rsidR="00943BA7">
        <w:t xml:space="preserve">I formed a final opinion in 150 complaints. </w:t>
      </w:r>
      <w:r>
        <w:t xml:space="preserve">Similar to official information complaints, two-thirds (66 percent) of my final opinions about OA complaints identified that no administrative deficiency was made by the agency. </w:t>
      </w:r>
    </w:p>
    <w:p w14:paraId="4C46486D" w14:textId="77777777" w:rsidR="00BB6E7A" w:rsidRDefault="00BB6E7A" w:rsidP="00BB6E7A">
      <w:pPr>
        <w:pStyle w:val="BodyText"/>
      </w:pPr>
      <w:r>
        <w:t xml:space="preserve">In </w:t>
      </w:r>
      <w:r w:rsidR="00943BA7">
        <w:t xml:space="preserve">the 51 </w:t>
      </w:r>
      <w:r>
        <w:t>cases where I identified a deficiency, more than half (54 percent) were due to an unreasonable, unjust, oppressive</w:t>
      </w:r>
      <w:r w:rsidR="00E93806">
        <w:t>,</w:t>
      </w:r>
      <w:r>
        <w:t xml:space="preserve"> or discriminatory act, omission</w:t>
      </w:r>
      <w:r w:rsidR="00E93806">
        <w:t xml:space="preserve">, </w:t>
      </w:r>
      <w:r>
        <w:t>or decision made by the agency. This year, I exercised my power to make 89 recommendations</w:t>
      </w:r>
      <w:r w:rsidR="00E93806">
        <w:t xml:space="preserve"> on OA complaints</w:t>
      </w:r>
      <w:r w:rsidR="00943BA7">
        <w:t>, all of which were accepted</w:t>
      </w:r>
      <w:r>
        <w:t xml:space="preserve">. </w:t>
      </w:r>
    </w:p>
    <w:tbl>
      <w:tblPr>
        <w:tblStyle w:val="TableBox"/>
        <w:tblW w:w="9297" w:type="dxa"/>
        <w:tblLayout w:type="fixed"/>
        <w:tblCellMar>
          <w:bottom w:w="0" w:type="dxa"/>
        </w:tblCellMar>
        <w:tblLook w:val="04A0" w:firstRow="1" w:lastRow="0" w:firstColumn="1" w:lastColumn="0" w:noHBand="0" w:noVBand="1"/>
        <w:tblCaption w:val="Box to emphasise text"/>
      </w:tblPr>
      <w:tblGrid>
        <w:gridCol w:w="9297"/>
      </w:tblGrid>
      <w:tr w:rsidR="00E0319B" w14:paraId="73881871" w14:textId="77777777" w:rsidTr="001636BD">
        <w:tc>
          <w:tcPr>
            <w:tcW w:w="9514" w:type="dxa"/>
          </w:tcPr>
          <w:p w14:paraId="3F555C15" w14:textId="77777777" w:rsidR="00E0319B" w:rsidRDefault="00E0319B" w:rsidP="001636BD">
            <w:pPr>
              <w:pStyle w:val="Headingboxtexttop"/>
              <w:tabs>
                <w:tab w:val="num" w:pos="567"/>
              </w:tabs>
            </w:pPr>
            <w:r w:rsidRPr="00E0319B">
              <w:t>Response of Board of Trustees to parents’ complaint about bullying (449186)</w:t>
            </w:r>
          </w:p>
          <w:p w14:paraId="48BA78CE" w14:textId="77777777" w:rsidR="00E0319B" w:rsidRDefault="00E0319B" w:rsidP="004C2E51">
            <w:pPr>
              <w:pStyle w:val="Boxsmalltext"/>
            </w:pPr>
            <w:r>
              <w:t>I received a complaint from the parents of a gifted, autistic student who was bullied at school.</w:t>
            </w:r>
            <w:r w:rsidRPr="00030262">
              <w:t xml:space="preserve"> </w:t>
            </w:r>
            <w:r>
              <w:t xml:space="preserve">They were highly dissatisfied with the response from the Board of Trustees after waiting on it for a year. During this time, they removed their </w:t>
            </w:r>
            <w:r w:rsidR="00943BA7">
              <w:t xml:space="preserve">child </w:t>
            </w:r>
            <w:r>
              <w:t xml:space="preserve">from the school. </w:t>
            </w:r>
          </w:p>
          <w:p w14:paraId="34B9553F" w14:textId="77777777" w:rsidR="00E0319B" w:rsidRDefault="00E0319B" w:rsidP="004C2E51">
            <w:pPr>
              <w:pStyle w:val="Boxsmalltext"/>
            </w:pPr>
            <w:r>
              <w:t xml:space="preserve">During my investigation, the Board disclosed that it had requested an independent review into the complaint without informing the parents. The resulting report was anonymous, unsigned, and undated. Additionally, the parents, the student, </w:t>
            </w:r>
            <w:r w:rsidR="00943BA7">
              <w:t>the</w:t>
            </w:r>
            <w:r>
              <w:t xml:space="preserve"> teachers, and the dean had not been interviewed. The report did not address whether the school’s policies and practices regarding bullying were fit for purpose.</w:t>
            </w:r>
          </w:p>
          <w:p w14:paraId="450826A1" w14:textId="77777777" w:rsidR="00E0319B" w:rsidRDefault="00E0319B" w:rsidP="004C2E51">
            <w:pPr>
              <w:pStyle w:val="Boxsmalltext"/>
            </w:pPr>
            <w:r>
              <w:t xml:space="preserve">I formed the </w:t>
            </w:r>
            <w:r w:rsidR="00943BA7">
              <w:t>opinion</w:t>
            </w:r>
            <w:r>
              <w:t xml:space="preserve"> that the Board's response to the parents' complaint was unreasonable. It was unfortunate that the Board had not advised the parents of the independent review or provided them with an opportunity to engage with this process. The Board’s letter to the parents was also unreasonable, given the school had been ineffective in stopping the bullying and the resultant effect on their </w:t>
            </w:r>
            <w:r w:rsidR="00943BA7">
              <w:t>child</w:t>
            </w:r>
            <w:r>
              <w:t xml:space="preserve">. </w:t>
            </w:r>
          </w:p>
          <w:p w14:paraId="64BED909" w14:textId="77777777" w:rsidR="00E0319B" w:rsidRDefault="00E0319B" w:rsidP="004C2E51">
            <w:pPr>
              <w:pStyle w:val="Boxsmalltext"/>
            </w:pPr>
            <w:r>
              <w:t xml:space="preserve">The Board complied with my recommendation that it apologise to the parents for its handling of their complaint. </w:t>
            </w:r>
          </w:p>
          <w:p w14:paraId="0899135A" w14:textId="15B6DB21" w:rsidR="00E0319B" w:rsidRDefault="00E0319B" w:rsidP="00F95200">
            <w:pPr>
              <w:pStyle w:val="Boxsmalltext"/>
            </w:pPr>
            <w:r>
              <w:t xml:space="preserve">Read the </w:t>
            </w:r>
            <w:r w:rsidR="00C35D4D">
              <w:t xml:space="preserve">full </w:t>
            </w:r>
            <w:r w:rsidR="00F95200">
              <w:t>case note</w:t>
            </w:r>
            <w:r>
              <w:t xml:space="preserve"> at </w:t>
            </w:r>
            <w:hyperlink r:id="rId32" w:history="1">
              <w:r w:rsidRPr="0089591A">
                <w:rPr>
                  <w:rStyle w:val="Hyperlink"/>
                </w:rPr>
                <w:t>www.ombudsman.parliament.nz</w:t>
              </w:r>
            </w:hyperlink>
            <w:r>
              <w:t xml:space="preserve">. </w:t>
            </w:r>
          </w:p>
        </w:tc>
      </w:tr>
    </w:tbl>
    <w:p w14:paraId="471EA275" w14:textId="77777777" w:rsidR="00E0319B" w:rsidRDefault="00E0319B">
      <w:pPr>
        <w:pStyle w:val="Whitespace"/>
      </w:pPr>
    </w:p>
    <w:bookmarkEnd w:id="83"/>
    <w:p w14:paraId="7D4B42A2" w14:textId="77777777" w:rsidR="00CB37FE" w:rsidRPr="00CB37FE" w:rsidRDefault="002A16E4" w:rsidP="00CB37FE">
      <w:pPr>
        <w:pStyle w:val="Heading3"/>
      </w:pPr>
      <w:r>
        <w:t>T</w:t>
      </w:r>
      <w:r w:rsidR="00CB37FE" w:rsidRPr="00CB37FE">
        <w:t>imeliness and quality assurance</w:t>
      </w:r>
    </w:p>
    <w:p w14:paraId="4B4842C7" w14:textId="23A3B2F9" w:rsidR="00CB37FE" w:rsidRDefault="00943BA7" w:rsidP="004465BA">
      <w:pPr>
        <w:pStyle w:val="BodyText"/>
      </w:pPr>
      <w:r>
        <w:t>T</w:t>
      </w:r>
      <w:r w:rsidR="00CB37FE">
        <w:t xml:space="preserve">imeliness and quality assurance, which is reported across all complaint types, </w:t>
      </w:r>
      <w:r>
        <w:t xml:space="preserve">is discussed above in the section </w:t>
      </w:r>
      <w:r w:rsidRPr="00943BA7">
        <w:rPr>
          <w:rStyle w:val="Italics"/>
        </w:rPr>
        <w:t>Ensure official information is increasingly available and not unlawfully refused</w:t>
      </w:r>
      <w:r>
        <w:t xml:space="preserve">, </w:t>
      </w:r>
      <w:r w:rsidR="007A7121">
        <w:t>at</w:t>
      </w:r>
      <w:r w:rsidR="00CB37FE">
        <w:t xml:space="preserve"> </w:t>
      </w:r>
      <w:hyperlink w:anchor="_Official_information_practice_1" w:history="1">
        <w:r w:rsidR="00BB6E7A" w:rsidRPr="00BB6E7A">
          <w:rPr>
            <w:rStyle w:val="Hyperlink"/>
          </w:rPr>
          <w:t>Office Performance</w:t>
        </w:r>
      </w:hyperlink>
      <w:r w:rsidR="00BB6E7A">
        <w:t>.</w:t>
      </w:r>
    </w:p>
    <w:p w14:paraId="2E36A4EF" w14:textId="77777777" w:rsidR="00167275" w:rsidRDefault="00167275" w:rsidP="00167275">
      <w:pPr>
        <w:pStyle w:val="Heading3"/>
      </w:pPr>
      <w:r>
        <w:t xml:space="preserve">Children in care  </w:t>
      </w:r>
    </w:p>
    <w:p w14:paraId="0DE38D2E" w14:textId="180C2A88" w:rsidR="000434D7" w:rsidRPr="00FD2B3D" w:rsidRDefault="00167275" w:rsidP="000434D7">
      <w:pPr>
        <w:pStyle w:val="BodyText"/>
      </w:pPr>
      <w:r>
        <w:rPr>
          <w:lang w:val="en" w:eastAsia="en-NZ"/>
        </w:rPr>
        <w:t>In April</w:t>
      </w:r>
      <w:r w:rsidR="004E1D75">
        <w:rPr>
          <w:lang w:val="en" w:eastAsia="en-NZ"/>
        </w:rPr>
        <w:t xml:space="preserve"> 2019</w:t>
      </w:r>
      <w:r>
        <w:rPr>
          <w:lang w:val="en" w:eastAsia="en-NZ"/>
        </w:rPr>
        <w:t xml:space="preserve">, the Government announced a </w:t>
      </w:r>
      <w:r w:rsidR="005F2153">
        <w:rPr>
          <w:lang w:val="en" w:eastAsia="en-NZ"/>
        </w:rPr>
        <w:t xml:space="preserve">strengthened independent </w:t>
      </w:r>
      <w:r>
        <w:rPr>
          <w:lang w:val="en" w:eastAsia="en-NZ"/>
        </w:rPr>
        <w:t xml:space="preserve">oversight regime for </w:t>
      </w:r>
      <w:r w:rsidR="007A7121">
        <w:t>Oranga Tamariki—</w:t>
      </w:r>
      <w:r w:rsidR="007A7121" w:rsidRPr="00070496">
        <w:t>Ministry for Children</w:t>
      </w:r>
      <w:r w:rsidR="000434D7">
        <w:t xml:space="preserve">. In recognition of the </w:t>
      </w:r>
      <w:r w:rsidR="005F2FA1">
        <w:t xml:space="preserve">Ombudsman’s </w:t>
      </w:r>
      <w:r w:rsidR="000434D7">
        <w:t xml:space="preserve">established </w:t>
      </w:r>
      <w:r w:rsidR="005F2FA1">
        <w:t xml:space="preserve">capability and </w:t>
      </w:r>
      <w:r w:rsidR="000434D7">
        <w:t>expertise in the area</w:t>
      </w:r>
      <w:r w:rsidR="005F2FA1">
        <w:t xml:space="preserve"> of complaints</w:t>
      </w:r>
      <w:r w:rsidR="000434D7">
        <w:t xml:space="preserve">, </w:t>
      </w:r>
      <w:r w:rsidR="008E2645">
        <w:t>P</w:t>
      </w:r>
      <w:r w:rsidR="000434D7">
        <w:t xml:space="preserve">arliament </w:t>
      </w:r>
      <w:r w:rsidR="00E65E96">
        <w:t xml:space="preserve">confirmed </w:t>
      </w:r>
      <w:r w:rsidR="000434D7">
        <w:t xml:space="preserve">that the Ombudsman would take on an enhanced complaints and investigations </w:t>
      </w:r>
      <w:r w:rsidR="005F2FA1">
        <w:t xml:space="preserve">oversight </w:t>
      </w:r>
      <w:r w:rsidR="000434D7">
        <w:t>function as part of the new monitoring framework. My</w:t>
      </w:r>
      <w:r w:rsidR="000434D7" w:rsidRPr="00FD2B3D">
        <w:t xml:space="preserve"> jurisdiction will also be expanded to include organisations approved by </w:t>
      </w:r>
      <w:r w:rsidR="00A458CB">
        <w:t>the Ministry</w:t>
      </w:r>
      <w:r w:rsidR="000434D7">
        <w:t xml:space="preserve"> </w:t>
      </w:r>
      <w:r w:rsidR="000434D7" w:rsidRPr="00FD2B3D">
        <w:t>to provide care for children.</w:t>
      </w:r>
      <w:r w:rsidR="000434D7">
        <w:t xml:space="preserve"> </w:t>
      </w:r>
      <w:r w:rsidR="000434D7" w:rsidRPr="00FD2B3D">
        <w:t xml:space="preserve">The legislation setting up the new regime is scheduled to be passed </w:t>
      </w:r>
      <w:r w:rsidR="000434D7">
        <w:t>in</w:t>
      </w:r>
      <w:r w:rsidR="000434D7" w:rsidRPr="00FD2B3D">
        <w:t xml:space="preserve"> 202</w:t>
      </w:r>
      <w:r w:rsidR="000434D7">
        <w:t>2</w:t>
      </w:r>
      <w:r w:rsidR="000434D7" w:rsidRPr="00FD2B3D">
        <w:t>.</w:t>
      </w:r>
    </w:p>
    <w:p w14:paraId="01623A19" w14:textId="78AD1656" w:rsidR="00167275" w:rsidRDefault="000434D7" w:rsidP="00167275">
      <w:pPr>
        <w:pStyle w:val="BodyText"/>
        <w:rPr>
          <w:lang w:val="en" w:eastAsia="en-NZ"/>
        </w:rPr>
      </w:pPr>
      <w:r>
        <w:t xml:space="preserve">This role means </w:t>
      </w:r>
      <w:r w:rsidR="00167275">
        <w:rPr>
          <w:lang w:val="en" w:eastAsia="en-NZ"/>
        </w:rPr>
        <w:t>the Ombudsman will:</w:t>
      </w:r>
    </w:p>
    <w:p w14:paraId="305B7952" w14:textId="0C438760" w:rsidR="00167275" w:rsidRPr="00FD2B3D" w:rsidRDefault="00BC245E" w:rsidP="00167275">
      <w:pPr>
        <w:pStyle w:val="Bullet1"/>
      </w:pPr>
      <w:r>
        <w:t>i</w:t>
      </w:r>
      <w:r w:rsidR="00167275" w:rsidRPr="00FD2B3D">
        <w:t xml:space="preserve">nvestigate and resolve complaints about </w:t>
      </w:r>
      <w:r w:rsidR="00943BA7">
        <w:t xml:space="preserve">agencies in </w:t>
      </w:r>
      <w:r w:rsidR="00167275" w:rsidRPr="00FD2B3D">
        <w:t xml:space="preserve">the </w:t>
      </w:r>
      <w:r w:rsidR="00971954">
        <w:t xml:space="preserve">Oranga Tamariki </w:t>
      </w:r>
      <w:r w:rsidR="00167275" w:rsidRPr="00FD2B3D">
        <w:t>system</w:t>
      </w:r>
      <w:r>
        <w:t>;</w:t>
      </w:r>
    </w:p>
    <w:p w14:paraId="404A0705" w14:textId="77777777" w:rsidR="00167275" w:rsidRPr="00FD2B3D" w:rsidRDefault="00167275" w:rsidP="00167275">
      <w:pPr>
        <w:pStyle w:val="Bullet1"/>
      </w:pPr>
      <w:r w:rsidRPr="00FD2B3D">
        <w:t>monitor systemic issues and undertake resolutions and investigations where appropriate</w:t>
      </w:r>
      <w:r w:rsidR="00BC245E">
        <w:t>;</w:t>
      </w:r>
    </w:p>
    <w:p w14:paraId="72FC340D" w14:textId="77777777" w:rsidR="00167275" w:rsidRPr="00FD2B3D" w:rsidRDefault="00167275" w:rsidP="00167275">
      <w:pPr>
        <w:pStyle w:val="Bullet1"/>
      </w:pPr>
      <w:r w:rsidRPr="00FD2B3D">
        <w:t>be notified of any serious and significant incidents</w:t>
      </w:r>
      <w:r w:rsidR="00BC245E">
        <w:t>;</w:t>
      </w:r>
    </w:p>
    <w:p w14:paraId="5065C82A" w14:textId="77777777" w:rsidR="00167275" w:rsidRPr="00FD2B3D" w:rsidRDefault="00167275" w:rsidP="00167275">
      <w:pPr>
        <w:pStyle w:val="Bullet1"/>
      </w:pPr>
      <w:r w:rsidRPr="00FD2B3D">
        <w:t>have additional powers to obtain information and work with other oversight bodies</w:t>
      </w:r>
      <w:r w:rsidR="00BC245E">
        <w:t>;</w:t>
      </w:r>
    </w:p>
    <w:p w14:paraId="6BBCCD65" w14:textId="77777777" w:rsidR="00167275" w:rsidRPr="00FD2B3D" w:rsidRDefault="00167275" w:rsidP="00167275">
      <w:pPr>
        <w:pStyle w:val="Bullet1"/>
      </w:pPr>
      <w:r w:rsidRPr="00FD2B3D">
        <w:t>have explicit duties requiring engagement with</w:t>
      </w:r>
      <w:r w:rsidR="005C787C">
        <w:t>,</w:t>
      </w:r>
      <w:r w:rsidRPr="00FD2B3D">
        <w:t xml:space="preserve"> and a focus on improved outcomes for</w:t>
      </w:r>
      <w:r w:rsidR="005C787C">
        <w:t>,</w:t>
      </w:r>
      <w:r w:rsidRPr="00FD2B3D">
        <w:t xml:space="preserve"> Māori</w:t>
      </w:r>
      <w:r w:rsidR="00BC245E">
        <w:t>; and</w:t>
      </w:r>
    </w:p>
    <w:p w14:paraId="4520893D" w14:textId="77777777" w:rsidR="00167275" w:rsidRDefault="00167275" w:rsidP="00167275">
      <w:pPr>
        <w:pStyle w:val="Bullet1"/>
      </w:pPr>
      <w:r w:rsidRPr="00FD2B3D">
        <w:t xml:space="preserve">operate a common doorway for complaints relating to a child in </w:t>
      </w:r>
      <w:r w:rsidR="00955DB5">
        <w:t>care</w:t>
      </w:r>
      <w:r w:rsidRPr="00FD2B3D">
        <w:t xml:space="preserve"> that span government agencies</w:t>
      </w:r>
      <w:r w:rsidR="00BC245E">
        <w:t>.</w:t>
      </w:r>
    </w:p>
    <w:tbl>
      <w:tblPr>
        <w:tblStyle w:val="TableBox"/>
        <w:tblW w:w="9297" w:type="dxa"/>
        <w:tblLayout w:type="fixed"/>
        <w:tblCellMar>
          <w:bottom w:w="0" w:type="dxa"/>
        </w:tblCellMar>
        <w:tblLook w:val="04A0" w:firstRow="1" w:lastRow="0" w:firstColumn="1" w:lastColumn="0" w:noHBand="0" w:noVBand="1"/>
        <w:tblCaption w:val="Box to emphasise text"/>
      </w:tblPr>
      <w:tblGrid>
        <w:gridCol w:w="9297"/>
      </w:tblGrid>
      <w:tr w:rsidR="00E0319B" w14:paraId="14BBA130" w14:textId="77777777" w:rsidTr="001636BD">
        <w:tc>
          <w:tcPr>
            <w:tcW w:w="9514" w:type="dxa"/>
          </w:tcPr>
          <w:p w14:paraId="0C3DB238" w14:textId="77777777" w:rsidR="00E0319B" w:rsidRDefault="00E0319B" w:rsidP="00F95200">
            <w:pPr>
              <w:pStyle w:val="Headingboxtexttop"/>
            </w:pPr>
            <w:r w:rsidRPr="00E0319B">
              <w:t>Cancellation of access between mother and son due to COVID</w:t>
            </w:r>
            <w:r w:rsidR="00943BA7">
              <w:t>-19</w:t>
            </w:r>
            <w:r w:rsidRPr="00E0319B">
              <w:t xml:space="preserve"> Alert Level 4 lockdown (524040)</w:t>
            </w:r>
          </w:p>
          <w:p w14:paraId="35EAC5A4" w14:textId="77777777" w:rsidR="00E0319B" w:rsidRPr="00E0319B" w:rsidRDefault="00E0319B" w:rsidP="004C2E51">
            <w:pPr>
              <w:pStyle w:val="Boxsmalltext"/>
            </w:pPr>
            <w:r w:rsidRPr="00E0319B">
              <w:t>In preparation for the nationwide-lockdown due to the COVID-19 pandemic, a Health Act Notice was issued that required everyone to stay at their current place of residence, except for essential personal movement. Oranga Tamariki (the Ministry) advised the complainant that her usual weekly access with her son, who is in the Ministry’s care, was cancelled and replaced with contact by telephone and other electronic means.</w:t>
            </w:r>
          </w:p>
          <w:p w14:paraId="0AAD005E" w14:textId="77777777" w:rsidR="00955DB5" w:rsidRDefault="00E0319B" w:rsidP="004C2E51">
            <w:pPr>
              <w:pStyle w:val="Boxsmalltext"/>
            </w:pPr>
            <w:r w:rsidRPr="00E0319B">
              <w:t xml:space="preserve">The complainant </w:t>
            </w:r>
            <w:r w:rsidR="00150323">
              <w:t>considered</w:t>
            </w:r>
            <w:r w:rsidR="00150323" w:rsidRPr="00E0319B">
              <w:t xml:space="preserve"> </w:t>
            </w:r>
            <w:r w:rsidRPr="00E0319B">
              <w:t>this was contrary to the advice on the COVID-19 website that shared care between parents could continue if both parents lived in the same city or town.</w:t>
            </w:r>
            <w:r w:rsidR="00955DB5">
              <w:t xml:space="preserve"> </w:t>
            </w:r>
          </w:p>
          <w:p w14:paraId="29F3DD2F" w14:textId="77777777" w:rsidR="00150323" w:rsidRDefault="00150323" w:rsidP="004C2E51">
            <w:pPr>
              <w:pStyle w:val="Boxsmalltext"/>
            </w:pPr>
            <w:r>
              <w:t>As the complainant did not have a shared care arrangement, but court ordered access, the advice on the COVID-19 website about share</w:t>
            </w:r>
            <w:r w:rsidR="009650B5">
              <w:t>d</w:t>
            </w:r>
            <w:r>
              <w:t xml:space="preserve"> care was not applicable to her situation. However, </w:t>
            </w:r>
            <w:r w:rsidR="009650B5">
              <w:t>u</w:t>
            </w:r>
            <w:r w:rsidR="004B67FE">
              <w:t xml:space="preserve">nder the Health Act Notice </w:t>
            </w:r>
            <w:r>
              <w:t>‘shared bubbles’ were allowed between two homes if one of the homes was a person living alone. As the complainant lived alone, this could have applied to her</w:t>
            </w:r>
            <w:r w:rsidR="004C2E51">
              <w:t>.</w:t>
            </w:r>
          </w:p>
          <w:p w14:paraId="0B790F0C" w14:textId="77777777" w:rsidR="00955DB5" w:rsidRPr="00E0319B" w:rsidRDefault="00150323" w:rsidP="004C2E51">
            <w:pPr>
              <w:pStyle w:val="Boxsmalltext"/>
            </w:pPr>
            <w:r>
              <w:t>The Ministry advised that a</w:t>
            </w:r>
            <w:r w:rsidRPr="00CA222C">
              <w:t xml:space="preserve">s part of the response to COVID-19, </w:t>
            </w:r>
            <w:r>
              <w:t xml:space="preserve">it had </w:t>
            </w:r>
            <w:r w:rsidRPr="00CA222C">
              <w:t xml:space="preserve">decided to reduce movement of children outside of their </w:t>
            </w:r>
            <w:r>
              <w:t>‘</w:t>
            </w:r>
            <w:r w:rsidRPr="00CA222C">
              <w:t>bubble</w:t>
            </w:r>
            <w:r>
              <w:t>’</w:t>
            </w:r>
            <w:r w:rsidRPr="00CA222C">
              <w:t>, and to have face-to-face contact only where there were critical or urgent needs</w:t>
            </w:r>
            <w:r>
              <w:t xml:space="preserve">. The Ministry did not consider that there were critical or urgent </w:t>
            </w:r>
            <w:r w:rsidR="004B67FE">
              <w:t>needs in the complainant’s case</w:t>
            </w:r>
            <w:r w:rsidR="003C3875">
              <w:t xml:space="preserve">. </w:t>
            </w:r>
          </w:p>
          <w:p w14:paraId="3E42F0F6" w14:textId="77777777" w:rsidR="00E0319B" w:rsidRPr="00E0319B" w:rsidRDefault="00E0319B" w:rsidP="004C2E51">
            <w:pPr>
              <w:pStyle w:val="Boxsmalltext"/>
            </w:pPr>
            <w:r w:rsidRPr="00E0319B">
              <w:t xml:space="preserve">I considered that by setting such a high threshold for face-to-face access to continue, the Ministry had essentially created a blanket rule that was not required by the Health Act Notice. </w:t>
            </w:r>
            <w:r w:rsidR="009650B5" w:rsidRPr="00202B5E">
              <w:t xml:space="preserve">The Health Act Notice did not require all face-to-face access </w:t>
            </w:r>
            <w:r w:rsidR="009650B5">
              <w:t xml:space="preserve">to </w:t>
            </w:r>
            <w:r w:rsidR="009650B5" w:rsidRPr="00202B5E">
              <w:t>be cancelled; it depended on the circumstance</w:t>
            </w:r>
            <w:r w:rsidR="004C2E51">
              <w:t>s of children and their family.</w:t>
            </w:r>
          </w:p>
          <w:p w14:paraId="2922F0A6" w14:textId="77777777" w:rsidR="00E0319B" w:rsidRPr="00E0319B" w:rsidRDefault="00E0319B" w:rsidP="004C2E51">
            <w:pPr>
              <w:pStyle w:val="Boxsmalltext"/>
            </w:pPr>
            <w:r w:rsidRPr="00E0319B">
              <w:t xml:space="preserve">I formed the final opinion that the Ministry had acted unreasonably by looking only at whether there was an urgent or critical need for access and failing to consider the complainant’s </w:t>
            </w:r>
            <w:r w:rsidR="004B67FE">
              <w:t xml:space="preserve">overall </w:t>
            </w:r>
            <w:r w:rsidRPr="00E0319B">
              <w:t>circumstances.</w:t>
            </w:r>
          </w:p>
          <w:p w14:paraId="3C76DDA2" w14:textId="77777777" w:rsidR="00E0319B" w:rsidRPr="00E0319B" w:rsidRDefault="00E0319B" w:rsidP="004C2E51">
            <w:pPr>
              <w:pStyle w:val="Boxsmalltext"/>
            </w:pPr>
            <w:r w:rsidRPr="00E0319B">
              <w:t>The Ministry reinstated access during Alert Level 3 and I recommended that an apology be made to the complainant.</w:t>
            </w:r>
          </w:p>
          <w:p w14:paraId="372154B6" w14:textId="5A15C1A3" w:rsidR="00E0319B" w:rsidRDefault="00E0319B" w:rsidP="00F95200">
            <w:pPr>
              <w:pStyle w:val="Boxsmalltext"/>
            </w:pPr>
            <w:r w:rsidRPr="00E0319B">
              <w:t xml:space="preserve">Read the </w:t>
            </w:r>
            <w:r w:rsidR="00F95200">
              <w:t>full case note</w:t>
            </w:r>
            <w:r w:rsidRPr="00E0319B">
              <w:t xml:space="preserve"> at </w:t>
            </w:r>
            <w:hyperlink r:id="rId33" w:history="1">
              <w:r w:rsidRPr="00E0319B">
                <w:rPr>
                  <w:rStyle w:val="Hyperlink"/>
                </w:rPr>
                <w:t>www.ombudsman.parliament.nz</w:t>
              </w:r>
            </w:hyperlink>
            <w:r w:rsidRPr="00E0319B">
              <w:t>.</w:t>
            </w:r>
          </w:p>
        </w:tc>
      </w:tr>
    </w:tbl>
    <w:p w14:paraId="7D236475" w14:textId="77777777" w:rsidR="00E0319B" w:rsidRDefault="00E0319B">
      <w:pPr>
        <w:pStyle w:val="Whitespace"/>
      </w:pPr>
    </w:p>
    <w:p w14:paraId="7AD63FE1" w14:textId="77777777" w:rsidR="00167275" w:rsidRPr="00FD2B3D" w:rsidRDefault="00CD25BB" w:rsidP="00167275">
      <w:pPr>
        <w:pStyle w:val="BodyText"/>
      </w:pPr>
      <w:r>
        <w:t xml:space="preserve">In 2019/20, I began to prepare for </w:t>
      </w:r>
      <w:r w:rsidR="0041152E">
        <w:t xml:space="preserve">this enhanced role, </w:t>
      </w:r>
      <w:r>
        <w:t>by</w:t>
      </w:r>
      <w:r w:rsidR="00167275" w:rsidRPr="00FD2B3D">
        <w:t>:</w:t>
      </w:r>
    </w:p>
    <w:p w14:paraId="085D9C11" w14:textId="77777777" w:rsidR="00CD25BB" w:rsidRPr="0096332E" w:rsidRDefault="00CD25BB" w:rsidP="00CD25BB">
      <w:pPr>
        <w:pStyle w:val="Bullet1"/>
      </w:pPr>
      <w:r w:rsidRPr="0096332E">
        <w:t xml:space="preserve">establishing a dedicated team </w:t>
      </w:r>
      <w:r w:rsidR="00E93806">
        <w:t xml:space="preserve">to assist me to </w:t>
      </w:r>
      <w:r w:rsidRPr="0096332E">
        <w:t>resolv</w:t>
      </w:r>
      <w:r w:rsidR="00E93806">
        <w:t>e</w:t>
      </w:r>
      <w:r w:rsidRPr="0096332E">
        <w:t xml:space="preserve"> and investigat</w:t>
      </w:r>
      <w:r w:rsidR="00E93806">
        <w:t>e</w:t>
      </w:r>
      <w:r w:rsidRPr="0096332E">
        <w:t xml:space="preserve"> complaints </w:t>
      </w:r>
      <w:r w:rsidR="005F2153">
        <w:t>from and about</w:t>
      </w:r>
      <w:r w:rsidR="005F2153" w:rsidRPr="0096332E">
        <w:t xml:space="preserve"> </w:t>
      </w:r>
      <w:r w:rsidRPr="0096332E">
        <w:t xml:space="preserve">children in care; </w:t>
      </w:r>
    </w:p>
    <w:p w14:paraId="0A38FF70" w14:textId="7BA054F9" w:rsidR="005B09C0" w:rsidRDefault="005B09C0" w:rsidP="005B09C0">
      <w:pPr>
        <w:pStyle w:val="Bullet1"/>
      </w:pPr>
      <w:r>
        <w:t>commencing</w:t>
      </w:r>
      <w:r w:rsidR="0036780F">
        <w:t xml:space="preserve"> development </w:t>
      </w:r>
      <w:r>
        <w:t xml:space="preserve">of </w:t>
      </w:r>
      <w:r w:rsidR="00CD25BB" w:rsidRPr="005B3723">
        <w:t>a</w:t>
      </w:r>
      <w:r w:rsidR="009650B5">
        <w:t xml:space="preserve"> specialised</w:t>
      </w:r>
      <w:r w:rsidR="00CD25BB" w:rsidRPr="005B3723">
        <w:t xml:space="preserve"> complaints process</w:t>
      </w:r>
      <w:r w:rsidR="0036780F">
        <w:t xml:space="preserve"> </w:t>
      </w:r>
      <w:r w:rsidRPr="0003203E">
        <w:t xml:space="preserve">that applies a child-centric and </w:t>
      </w:r>
      <w:r>
        <w:t>t</w:t>
      </w:r>
      <w:r w:rsidRPr="0003203E">
        <w:t xml:space="preserve">e </w:t>
      </w:r>
      <w:r>
        <w:t>a</w:t>
      </w:r>
      <w:r w:rsidRPr="0003203E">
        <w:t xml:space="preserve">o Māori approach for engaging with tamariki and rangatahi and their </w:t>
      </w:r>
      <w:r w:rsidR="006A4856" w:rsidRPr="0003203E">
        <w:t>wh</w:t>
      </w:r>
      <w:r w:rsidR="006A4856">
        <w:t>ā</w:t>
      </w:r>
      <w:r w:rsidR="006A4856" w:rsidRPr="0003203E">
        <w:t>nau</w:t>
      </w:r>
      <w:r>
        <w:t>;</w:t>
      </w:r>
    </w:p>
    <w:p w14:paraId="47AC1533" w14:textId="77777777" w:rsidR="005B09C0" w:rsidRDefault="005B09C0" w:rsidP="005B09C0">
      <w:pPr>
        <w:pStyle w:val="Bullet1"/>
      </w:pPr>
      <w:r>
        <w:t xml:space="preserve">commencing development of systemic monitoring and intervention; </w:t>
      </w:r>
    </w:p>
    <w:p w14:paraId="2FB61122" w14:textId="77777777" w:rsidR="005F2153" w:rsidRDefault="005B09C0" w:rsidP="004C2E51">
      <w:pPr>
        <w:pStyle w:val="Bullet1"/>
      </w:pPr>
      <w:r>
        <w:t>undertaking my first systemic investigation into the Ministry’s policies, procedures and practices relating to the removal of newborn pēpi</w:t>
      </w:r>
      <w:r w:rsidR="005F2153">
        <w:t xml:space="preserve">; </w:t>
      </w:r>
    </w:p>
    <w:p w14:paraId="76BC0364" w14:textId="50E8C9DF" w:rsidR="005B09C0" w:rsidRDefault="005F2153" w:rsidP="00D44245">
      <w:pPr>
        <w:pStyle w:val="Bullet1"/>
      </w:pPr>
      <w:r>
        <w:t xml:space="preserve">commencing research on engaging effectively with </w:t>
      </w:r>
      <w:r w:rsidRPr="0003203E">
        <w:t xml:space="preserve">tamariki and rangatahi and their </w:t>
      </w:r>
      <w:r w:rsidR="006A4856" w:rsidRPr="0003203E">
        <w:t>wh</w:t>
      </w:r>
      <w:r w:rsidR="006A4856">
        <w:t>ā</w:t>
      </w:r>
      <w:r w:rsidR="006A4856" w:rsidRPr="0003203E">
        <w:t>nau</w:t>
      </w:r>
      <w:r>
        <w:t>, and development of digital communication and social media tools as well as increased kanohi ti ke kanohi</w:t>
      </w:r>
      <w:r w:rsidR="006A4856">
        <w:t xml:space="preserve"> (face-to-face)</w:t>
      </w:r>
      <w:r>
        <w:t xml:space="preserve"> engagement; and</w:t>
      </w:r>
    </w:p>
    <w:p w14:paraId="25DAFC74" w14:textId="77777777" w:rsidR="00167275" w:rsidRPr="00FD2B3D" w:rsidRDefault="00167275" w:rsidP="00167275">
      <w:pPr>
        <w:pStyle w:val="Bullet1"/>
      </w:pPr>
      <w:r w:rsidRPr="00FD2B3D">
        <w:t>developing the cultural competence of staff.</w:t>
      </w:r>
    </w:p>
    <w:p w14:paraId="5D13C1FC" w14:textId="77777777" w:rsidR="00CD25BB" w:rsidRDefault="00CD25BB" w:rsidP="00805EE0">
      <w:pPr>
        <w:pStyle w:val="BodyText"/>
      </w:pPr>
      <w:r>
        <w:t xml:space="preserve">Over </w:t>
      </w:r>
      <w:r w:rsidR="005F2153">
        <w:t>2019/20</w:t>
      </w:r>
      <w:r>
        <w:t xml:space="preserve">, I received 129 complaints </w:t>
      </w:r>
      <w:r w:rsidR="005F2153">
        <w:t>against the Ministry</w:t>
      </w:r>
      <w:r>
        <w:t>, and</w:t>
      </w:r>
      <w:r w:rsidR="00DB7EDB">
        <w:t xml:space="preserve"> a fu</w:t>
      </w:r>
      <w:r w:rsidR="00BB6E7A">
        <w:t>r</w:t>
      </w:r>
      <w:r w:rsidR="00DB7EDB">
        <w:t>ther</w:t>
      </w:r>
      <w:r>
        <w:t xml:space="preserve"> 257 other contacts. This is </w:t>
      </w:r>
      <w:r w:rsidR="005F2153">
        <w:t xml:space="preserve">a significant </w:t>
      </w:r>
      <w:r>
        <w:t>increase of 60 percent and 25 percent, respectively, on the previous year.</w:t>
      </w:r>
    </w:p>
    <w:tbl>
      <w:tblPr>
        <w:tblStyle w:val="TableBox"/>
        <w:tblW w:w="9297" w:type="dxa"/>
        <w:tblLayout w:type="fixed"/>
        <w:tblCellMar>
          <w:bottom w:w="0" w:type="dxa"/>
        </w:tblCellMar>
        <w:tblLook w:val="04A0" w:firstRow="1" w:lastRow="0" w:firstColumn="1" w:lastColumn="0" w:noHBand="0" w:noVBand="1"/>
        <w:tblCaption w:val="Box to emphasise text"/>
      </w:tblPr>
      <w:tblGrid>
        <w:gridCol w:w="9297"/>
      </w:tblGrid>
      <w:tr w:rsidR="007F02F4" w14:paraId="76728173" w14:textId="77777777" w:rsidTr="004C2E51">
        <w:trPr>
          <w:cantSplit/>
        </w:trPr>
        <w:tc>
          <w:tcPr>
            <w:tcW w:w="9514" w:type="dxa"/>
          </w:tcPr>
          <w:p w14:paraId="5A05C433" w14:textId="77777777" w:rsidR="007F02F4" w:rsidRDefault="007F02F4" w:rsidP="001636BD">
            <w:pPr>
              <w:pStyle w:val="Headingboxtexttop"/>
              <w:tabs>
                <w:tab w:val="num" w:pos="567"/>
              </w:tabs>
            </w:pPr>
            <w:r w:rsidRPr="007F02F4">
              <w:t>Complaint from a young person in a Care and Protection Residence</w:t>
            </w:r>
            <w:r>
              <w:t xml:space="preserve"> (523061)</w:t>
            </w:r>
          </w:p>
          <w:p w14:paraId="2A44C8B2" w14:textId="77777777" w:rsidR="007F02F4" w:rsidRPr="007F02F4" w:rsidRDefault="007F02F4" w:rsidP="004C2E51">
            <w:pPr>
              <w:pStyle w:val="Boxsmalltext"/>
            </w:pPr>
            <w:r w:rsidRPr="007F02F4">
              <w:t xml:space="preserve">I received a complaint from a young person about the length of time she had spent in </w:t>
            </w:r>
            <w:r w:rsidR="005F2153">
              <w:t>a</w:t>
            </w:r>
            <w:r w:rsidRPr="007F02F4">
              <w:t xml:space="preserve"> Care and Protection Residence (28 months in total) and the time it was taking to hear about a potential placement.</w:t>
            </w:r>
          </w:p>
          <w:p w14:paraId="2BD42B48" w14:textId="4459B600" w:rsidR="007F02F4" w:rsidRPr="007F02F4" w:rsidRDefault="007F02F4" w:rsidP="004C2E51">
            <w:pPr>
              <w:pStyle w:val="Boxsmalltext"/>
            </w:pPr>
            <w:r w:rsidRPr="007F02F4">
              <w:t>After discussions with Oranga Tamariki (the Ministry) and a provider, the young person was led to believe a placement had been found. However, the provider then declined the placement which further extended the young person’s time in the Residence</w:t>
            </w:r>
            <w:r w:rsidR="006A4856">
              <w:t>,</w:t>
            </w:r>
            <w:r w:rsidRPr="007F02F4">
              <w:t xml:space="preserve"> causing immense upset.</w:t>
            </w:r>
          </w:p>
          <w:p w14:paraId="058D421A" w14:textId="77777777" w:rsidR="007F02F4" w:rsidRPr="007F02F4" w:rsidRDefault="005F2153" w:rsidP="004C2E51">
            <w:pPr>
              <w:pStyle w:val="Boxsmalltext"/>
            </w:pPr>
            <w:r>
              <w:t xml:space="preserve">After speaking to the young person and </w:t>
            </w:r>
            <w:r w:rsidR="007F02F4" w:rsidRPr="007F02F4">
              <w:t xml:space="preserve">reviewing </w:t>
            </w:r>
            <w:r>
              <w:t>her</w:t>
            </w:r>
            <w:r w:rsidR="007F02F4" w:rsidRPr="007F02F4">
              <w:t xml:space="preserve"> file, I formed the final opinion that the Ministry had acted unreasonably. The young person had remained in the Residence for too long and the Ministry should have been more proactive </w:t>
            </w:r>
            <w:r>
              <w:t xml:space="preserve">in finding a placement </w:t>
            </w:r>
            <w:r w:rsidR="007F02F4" w:rsidRPr="007F02F4">
              <w:t>and maintained a higher level of oversight.</w:t>
            </w:r>
          </w:p>
          <w:p w14:paraId="172D83DD" w14:textId="77777777" w:rsidR="007F02F4" w:rsidRPr="007F02F4" w:rsidRDefault="007F02F4" w:rsidP="004C2E51">
            <w:pPr>
              <w:pStyle w:val="Boxsmalltext"/>
            </w:pPr>
            <w:r w:rsidRPr="007F02F4">
              <w:t>During my investigation, an apology was made to the young person and the Ministry secured a bespoke placement for which planning was underway.</w:t>
            </w:r>
          </w:p>
          <w:p w14:paraId="48287367" w14:textId="77777777" w:rsidR="007F02F4" w:rsidRPr="007F02F4" w:rsidRDefault="007F02F4" w:rsidP="004C2E51">
            <w:pPr>
              <w:pStyle w:val="Boxsmalltext"/>
            </w:pPr>
            <w:r w:rsidRPr="007F02F4">
              <w:t>I recommended regular updates to the young person, fortnightly reports to me about the progress of the placement, and that when the young person leaves the Residence she receive an acknowledgement that the length of time she spent there was undesirable.</w:t>
            </w:r>
          </w:p>
          <w:p w14:paraId="52E00026" w14:textId="0FB2797D" w:rsidR="007F02F4" w:rsidRDefault="007F02F4" w:rsidP="00F95200">
            <w:pPr>
              <w:pStyle w:val="Boxsmalltext"/>
            </w:pPr>
            <w:r w:rsidRPr="007F02F4">
              <w:t xml:space="preserve">Read the full </w:t>
            </w:r>
            <w:r w:rsidR="00F95200">
              <w:t>case note</w:t>
            </w:r>
            <w:r w:rsidRPr="007F02F4">
              <w:t xml:space="preserve"> at </w:t>
            </w:r>
            <w:hyperlink r:id="rId34" w:history="1">
              <w:r w:rsidRPr="007F02F4">
                <w:rPr>
                  <w:rStyle w:val="Hyperlink"/>
                </w:rPr>
                <w:t>www.ombudsman.parliament.nz</w:t>
              </w:r>
            </w:hyperlink>
            <w:r w:rsidRPr="007F02F4">
              <w:t>.</w:t>
            </w:r>
          </w:p>
        </w:tc>
      </w:tr>
    </w:tbl>
    <w:p w14:paraId="21DD1C34" w14:textId="77777777" w:rsidR="00045276" w:rsidRDefault="00045276" w:rsidP="00045276">
      <w:pPr>
        <w:pStyle w:val="Whitespace"/>
      </w:pPr>
      <w:bookmarkStart w:id="84" w:name="_Complaint_timeliness_and"/>
      <w:bookmarkStart w:id="85" w:name="_Learn_from,_and"/>
      <w:bookmarkEnd w:id="84"/>
      <w:bookmarkEnd w:id="85"/>
    </w:p>
    <w:p w14:paraId="3A8FC172" w14:textId="77777777" w:rsidR="00D837D6" w:rsidRPr="00975F3C" w:rsidRDefault="00D837D6" w:rsidP="002C26DD">
      <w:pPr>
        <w:pStyle w:val="Heading3"/>
      </w:pPr>
      <w:r w:rsidRPr="00975F3C">
        <w:t>Systemic improvement</w:t>
      </w:r>
      <w:r>
        <w:t xml:space="preserve"> </w:t>
      </w:r>
    </w:p>
    <w:p w14:paraId="00421D02" w14:textId="77777777" w:rsidR="00034447" w:rsidRDefault="00034447" w:rsidP="00034447">
      <w:pPr>
        <w:pStyle w:val="BodyText"/>
      </w:pPr>
      <w:r w:rsidRPr="002733A7">
        <w:t>As part of an extensive systemic monitoring</w:t>
      </w:r>
      <w:r w:rsidR="00943CD9">
        <w:t xml:space="preserve"> and </w:t>
      </w:r>
      <w:r w:rsidR="00C43F53">
        <w:t xml:space="preserve">early </w:t>
      </w:r>
      <w:r w:rsidR="00943CD9">
        <w:t>intervention</w:t>
      </w:r>
      <w:r w:rsidRPr="002733A7">
        <w:t xml:space="preserve"> programme</w:t>
      </w:r>
      <w:r w:rsidR="00C43F53">
        <w:t xml:space="preserve"> I have been developing</w:t>
      </w:r>
      <w:r w:rsidRPr="002733A7">
        <w:t>,</w:t>
      </w:r>
      <w:r>
        <w:t xml:space="preserve"> </w:t>
      </w:r>
      <w:r w:rsidRPr="002733A7">
        <w:t>I completed two systemic resolutions with the Ministry of Health</w:t>
      </w:r>
      <w:r>
        <w:t xml:space="preserve"> this year</w:t>
      </w:r>
      <w:r w:rsidRPr="002733A7">
        <w:t xml:space="preserve">. The first of these resolutions </w:t>
      </w:r>
      <w:r w:rsidR="00943CD9">
        <w:t xml:space="preserve">improved </w:t>
      </w:r>
      <w:r w:rsidRPr="002733A7">
        <w:t>the</w:t>
      </w:r>
      <w:r>
        <w:t xml:space="preserve"> residential </w:t>
      </w:r>
      <w:r w:rsidRPr="002733A7">
        <w:t xml:space="preserve">placement of an intellectually disabled </w:t>
      </w:r>
      <w:r>
        <w:t>person</w:t>
      </w:r>
      <w:r w:rsidR="00943CD9">
        <w:t xml:space="preserve">. The </w:t>
      </w:r>
      <w:r w:rsidRPr="002733A7">
        <w:t xml:space="preserve">second concerned the </w:t>
      </w:r>
      <w:r w:rsidR="00943CD9">
        <w:t xml:space="preserve">Ministry’s </w:t>
      </w:r>
      <w:r w:rsidRPr="002733A7">
        <w:t xml:space="preserve">process for managing applications for exemption from </w:t>
      </w:r>
      <w:r w:rsidR="00943CD9">
        <w:t xml:space="preserve">the 14 day </w:t>
      </w:r>
      <w:r w:rsidRPr="002733A7">
        <w:t xml:space="preserve">managed isolation </w:t>
      </w:r>
      <w:r w:rsidR="00943CD9">
        <w:t xml:space="preserve">period for those arriving in the country </w:t>
      </w:r>
      <w:r w:rsidRPr="002733A7">
        <w:t xml:space="preserve">during the COVID-19 </w:t>
      </w:r>
      <w:r>
        <w:t>pandemic</w:t>
      </w:r>
      <w:r w:rsidRPr="002733A7">
        <w:t>.</w:t>
      </w:r>
      <w:r w:rsidR="005F3F99">
        <w:rPr>
          <w:rStyle w:val="FootnoteReference"/>
        </w:rPr>
        <w:footnoteReference w:id="45"/>
      </w:r>
      <w:r w:rsidR="00943CD9">
        <w:t xml:space="preserve">   </w:t>
      </w:r>
    </w:p>
    <w:p w14:paraId="035F7DE4" w14:textId="3492329C" w:rsidR="001A4AC7" w:rsidRDefault="00436994" w:rsidP="001A4AC7">
      <w:pPr>
        <w:pStyle w:val="BodyText"/>
      </w:pPr>
      <w:r>
        <w:rPr>
          <w:szCs w:val="24"/>
        </w:rPr>
        <w:t>T</w:t>
      </w:r>
      <w:r w:rsidR="001A4AC7" w:rsidRPr="00C34890">
        <w:rPr>
          <w:szCs w:val="24"/>
        </w:rPr>
        <w:t xml:space="preserve">he impact of the nationwide COVID-19 response on prisoners was one of my primary concerns, in light of the potential for restriction of both prisoners’ access to essential services and the meeting of their minimum entitlements. In addition to OPCAT </w:t>
      </w:r>
      <w:r w:rsidR="001A4AC7">
        <w:rPr>
          <w:szCs w:val="24"/>
        </w:rPr>
        <w:t>inspections</w:t>
      </w:r>
      <w:r w:rsidR="001A4AC7" w:rsidRPr="00C34890">
        <w:rPr>
          <w:szCs w:val="24"/>
        </w:rPr>
        <w:t>,</w:t>
      </w:r>
      <w:r w:rsidRPr="00436994">
        <w:rPr>
          <w:rStyle w:val="FootnoteReference"/>
          <w:szCs w:val="24"/>
        </w:rPr>
        <w:t xml:space="preserve"> </w:t>
      </w:r>
      <w:r>
        <w:rPr>
          <w:rStyle w:val="FootnoteReference"/>
          <w:szCs w:val="24"/>
        </w:rPr>
        <w:footnoteReference w:id="46"/>
      </w:r>
      <w:r w:rsidR="001A4AC7" w:rsidRPr="00C34890">
        <w:rPr>
          <w:szCs w:val="24"/>
        </w:rPr>
        <w:t xml:space="preserve"> I kept a close eye on the emergence of any </w:t>
      </w:r>
      <w:r w:rsidR="00C43F53">
        <w:rPr>
          <w:szCs w:val="24"/>
        </w:rPr>
        <w:t>issues</w:t>
      </w:r>
      <w:r w:rsidR="00C43F53" w:rsidRPr="00C34890">
        <w:rPr>
          <w:szCs w:val="24"/>
        </w:rPr>
        <w:t xml:space="preserve"> </w:t>
      </w:r>
      <w:r w:rsidR="001A4AC7" w:rsidRPr="00C34890">
        <w:rPr>
          <w:szCs w:val="24"/>
        </w:rPr>
        <w:t xml:space="preserve">requiring action at a systemic level. One matter of concern was the level of assurance that the Department of Corrections had been able to provide that all prisoners </w:t>
      </w:r>
      <w:r w:rsidR="00943BA7">
        <w:rPr>
          <w:szCs w:val="24"/>
        </w:rPr>
        <w:t>were</w:t>
      </w:r>
      <w:r w:rsidR="001A4AC7" w:rsidRPr="00C34890">
        <w:rPr>
          <w:szCs w:val="24"/>
        </w:rPr>
        <w:t xml:space="preserve"> receiving their minimum entitlement of at least one hour out their cell with access to fresh air. In response to my enquiries, the Chief Executive of </w:t>
      </w:r>
      <w:r>
        <w:rPr>
          <w:szCs w:val="24"/>
        </w:rPr>
        <w:t>the Department</w:t>
      </w:r>
      <w:r w:rsidR="001A4AC7" w:rsidRPr="00C34890">
        <w:rPr>
          <w:szCs w:val="24"/>
        </w:rPr>
        <w:t xml:space="preserve"> arranged for an audit of unlock hours over a one week period for each prison during the</w:t>
      </w:r>
      <w:r w:rsidR="00863BDE">
        <w:rPr>
          <w:szCs w:val="24"/>
        </w:rPr>
        <w:t xml:space="preserve"> transition between</w:t>
      </w:r>
      <w:r w:rsidR="001A4AC7" w:rsidRPr="00C34890">
        <w:rPr>
          <w:szCs w:val="24"/>
        </w:rPr>
        <w:t xml:space="preserve"> Level</w:t>
      </w:r>
      <w:r w:rsidR="00863BDE">
        <w:rPr>
          <w:szCs w:val="24"/>
        </w:rPr>
        <w:t>s</w:t>
      </w:r>
      <w:r w:rsidR="001A4AC7" w:rsidRPr="00C34890">
        <w:rPr>
          <w:szCs w:val="24"/>
        </w:rPr>
        <w:t xml:space="preserve"> 4 </w:t>
      </w:r>
      <w:r w:rsidR="00863BDE">
        <w:rPr>
          <w:szCs w:val="24"/>
        </w:rPr>
        <w:t>and 3</w:t>
      </w:r>
      <w:r w:rsidR="001A4AC7" w:rsidRPr="00C34890">
        <w:rPr>
          <w:szCs w:val="24"/>
        </w:rPr>
        <w:t>. While this demonstrated a high compliance rate with the minimum entitlement, I remain</w:t>
      </w:r>
      <w:r w:rsidR="00943BA7">
        <w:rPr>
          <w:szCs w:val="24"/>
        </w:rPr>
        <w:t>ed</w:t>
      </w:r>
      <w:r w:rsidR="001A4AC7" w:rsidRPr="00C34890">
        <w:rPr>
          <w:szCs w:val="24"/>
        </w:rPr>
        <w:t xml:space="preserve"> concerned that </w:t>
      </w:r>
      <w:r>
        <w:rPr>
          <w:szCs w:val="24"/>
        </w:rPr>
        <w:t>the Department</w:t>
      </w:r>
      <w:r w:rsidR="001A4AC7" w:rsidRPr="00C34890">
        <w:rPr>
          <w:szCs w:val="24"/>
        </w:rPr>
        <w:t xml:space="preserve"> lacks a system for monitoring unlock hours for each prisoner through a standardised system of recording. The Chief Executive has committed to working on a suitable solution to this problem. </w:t>
      </w:r>
    </w:p>
    <w:p w14:paraId="016D5519" w14:textId="77777777" w:rsidR="00034447" w:rsidRDefault="00034447" w:rsidP="00034447">
      <w:pPr>
        <w:keepNext/>
        <w:rPr>
          <w:szCs w:val="24"/>
        </w:rPr>
      </w:pPr>
      <w:r>
        <w:rPr>
          <w:szCs w:val="24"/>
        </w:rPr>
        <w:t xml:space="preserve">During the year, I also had three major systemic improvement investigations underway. </w:t>
      </w:r>
    </w:p>
    <w:p w14:paraId="7B6E4342" w14:textId="563BBD5D" w:rsidR="00A27D6D" w:rsidRDefault="00EC0137" w:rsidP="00A27D6D">
      <w:pPr>
        <w:rPr>
          <w:color w:val="FF0000"/>
          <w:sz w:val="22"/>
        </w:rPr>
      </w:pPr>
      <w:r>
        <w:rPr>
          <w:szCs w:val="24"/>
        </w:rPr>
        <w:t>One</w:t>
      </w:r>
      <w:r w:rsidR="00034447">
        <w:rPr>
          <w:szCs w:val="24"/>
        </w:rPr>
        <w:t xml:space="preserve"> investigation</w:t>
      </w:r>
      <w:r w:rsidR="00722142">
        <w:rPr>
          <w:szCs w:val="24"/>
        </w:rPr>
        <w:t xml:space="preserve"> concerns</w:t>
      </w:r>
      <w:r w:rsidR="00034447">
        <w:rPr>
          <w:szCs w:val="24"/>
        </w:rPr>
        <w:t xml:space="preserve"> the Ministry of Health’s role in providing facilities and services for the care and r</w:t>
      </w:r>
      <w:r w:rsidR="00034447" w:rsidRPr="00E33F2C">
        <w:rPr>
          <w:color w:val="auto"/>
          <w:szCs w:val="24"/>
        </w:rPr>
        <w:t>ehabilitation of intellectually disabled people with high and complex needs</w:t>
      </w:r>
      <w:r w:rsidR="00A27D6D" w:rsidRPr="00E33F2C">
        <w:rPr>
          <w:color w:val="auto"/>
          <w:szCs w:val="24"/>
        </w:rPr>
        <w:t xml:space="preserve">. </w:t>
      </w:r>
      <w:r w:rsidR="00A27D6D" w:rsidRPr="00E33F2C">
        <w:rPr>
          <w:color w:val="auto"/>
        </w:rPr>
        <w:t>In particular:</w:t>
      </w:r>
    </w:p>
    <w:p w14:paraId="256FFF22" w14:textId="77777777" w:rsidR="00A27D6D" w:rsidRPr="00C377F4" w:rsidRDefault="00A27D6D" w:rsidP="003C6657">
      <w:pPr>
        <w:pStyle w:val="Bullet1"/>
      </w:pPr>
      <w:r w:rsidRPr="00C377F4">
        <w:t>The capacity in the system to admit and treat individuals referred by the Courts under the Intellectual Disability (Compulsory Care and Rehabilitation) Act 2003 (IDCCR Act) who require a secure hospital-level bed.</w:t>
      </w:r>
    </w:p>
    <w:p w14:paraId="549B78F1" w14:textId="4A0550DB" w:rsidR="00A27D6D" w:rsidRPr="00C377F4" w:rsidRDefault="00A27D6D" w:rsidP="003C6657">
      <w:pPr>
        <w:pStyle w:val="Bullet1"/>
      </w:pPr>
      <w:r w:rsidRPr="00C377F4">
        <w:t>The adequacy of facilities and environments for the care of people with intellectual disabilities, including:</w:t>
      </w:r>
    </w:p>
    <w:p w14:paraId="6B7B9B3A" w14:textId="77777777" w:rsidR="00A27D6D" w:rsidRPr="00C377F4" w:rsidRDefault="00A27D6D" w:rsidP="003C6657">
      <w:pPr>
        <w:pStyle w:val="Bullet2"/>
      </w:pPr>
      <w:r w:rsidRPr="00C377F4">
        <w:t xml:space="preserve">longer-term clients with higher needs; </w:t>
      </w:r>
    </w:p>
    <w:p w14:paraId="7FFEEC90" w14:textId="77777777" w:rsidR="00A27D6D" w:rsidRPr="00C377F4" w:rsidRDefault="00A27D6D" w:rsidP="003C6657">
      <w:pPr>
        <w:pStyle w:val="Bullet2"/>
      </w:pPr>
      <w:r w:rsidRPr="00C377F4">
        <w:t>women clients; and</w:t>
      </w:r>
    </w:p>
    <w:p w14:paraId="71C6511D" w14:textId="77777777" w:rsidR="00A27D6D" w:rsidRPr="00C377F4" w:rsidRDefault="00A27D6D" w:rsidP="003C6657">
      <w:pPr>
        <w:pStyle w:val="Bullet2"/>
      </w:pPr>
      <w:r w:rsidRPr="00C377F4">
        <w:t>youth clients.</w:t>
      </w:r>
    </w:p>
    <w:p w14:paraId="6022A8AA" w14:textId="005B1A8A" w:rsidR="00A27D6D" w:rsidRPr="00C377F4" w:rsidRDefault="00A27D6D" w:rsidP="003C6657">
      <w:pPr>
        <w:pStyle w:val="Bullet1"/>
      </w:pPr>
      <w:r w:rsidRPr="00C377F4">
        <w:t xml:space="preserve">The adequacy of workforce planning by the Ministry to ensure the availability of trained staff to work in the </w:t>
      </w:r>
      <w:r w:rsidR="002E3429" w:rsidRPr="00C377F4">
        <w:t>high and complex needs framework</w:t>
      </w:r>
      <w:r w:rsidRPr="00C377F4">
        <w:t>.</w:t>
      </w:r>
    </w:p>
    <w:p w14:paraId="5A664395" w14:textId="7099C056" w:rsidR="00034447" w:rsidRPr="00E33F2C" w:rsidRDefault="00D4363A" w:rsidP="00034447">
      <w:pPr>
        <w:rPr>
          <w:color w:val="auto"/>
          <w:szCs w:val="24"/>
        </w:rPr>
      </w:pPr>
      <w:r w:rsidRPr="00E33F2C">
        <w:rPr>
          <w:color w:val="auto"/>
          <w:szCs w:val="24"/>
        </w:rPr>
        <w:t xml:space="preserve">I </w:t>
      </w:r>
      <w:r w:rsidR="00722142" w:rsidRPr="00E33F2C">
        <w:rPr>
          <w:color w:val="auto"/>
          <w:szCs w:val="24"/>
        </w:rPr>
        <w:t>am taking</w:t>
      </w:r>
      <w:r w:rsidR="00034447" w:rsidRPr="00E33F2C">
        <w:rPr>
          <w:color w:val="auto"/>
          <w:szCs w:val="24"/>
        </w:rPr>
        <w:t xml:space="preserve"> a case study approach to highlight any systemic issues found</w:t>
      </w:r>
      <w:r w:rsidR="00722142" w:rsidRPr="00E33F2C">
        <w:rPr>
          <w:color w:val="auto"/>
          <w:szCs w:val="24"/>
        </w:rPr>
        <w:t>.</w:t>
      </w:r>
      <w:r w:rsidR="004C2E51" w:rsidRPr="00E33F2C">
        <w:rPr>
          <w:rStyle w:val="FootnoteReference"/>
          <w:color w:val="auto"/>
          <w:szCs w:val="24"/>
        </w:rPr>
        <w:footnoteReference w:id="47"/>
      </w:r>
      <w:r w:rsidR="00020932" w:rsidRPr="00E33F2C">
        <w:rPr>
          <w:color w:val="auto"/>
        </w:rPr>
        <w:t xml:space="preserve"> By the end of this reporting year the active investigation stage was largely complete and I was in the process of analysing the information I had gathered.</w:t>
      </w:r>
    </w:p>
    <w:p w14:paraId="203B9832" w14:textId="4CEB59C5" w:rsidR="00034447" w:rsidRDefault="00034447" w:rsidP="00034447">
      <w:pPr>
        <w:rPr>
          <w:iCs/>
        </w:rPr>
      </w:pPr>
      <w:r w:rsidRPr="00670521">
        <w:rPr>
          <w:iCs/>
        </w:rPr>
        <w:t xml:space="preserve">I </w:t>
      </w:r>
      <w:r>
        <w:rPr>
          <w:iCs/>
        </w:rPr>
        <w:t xml:space="preserve">also </w:t>
      </w:r>
      <w:r w:rsidRPr="00670521">
        <w:rPr>
          <w:iCs/>
        </w:rPr>
        <w:t>completed a</w:t>
      </w:r>
      <w:r w:rsidR="00722142">
        <w:rPr>
          <w:iCs/>
        </w:rPr>
        <w:t xml:space="preserve"> complementary</w:t>
      </w:r>
      <w:r w:rsidRPr="00670521">
        <w:rPr>
          <w:iCs/>
        </w:rPr>
        <w:t xml:space="preserve"> investigation into the Ministry of Health’s collection, use, and reporting of information following the deaths of people with intellectual disabilities receiving full-time residential support. The investigation was completed in June 2020 and my report, </w:t>
      </w:r>
      <w:hyperlink r:id="rId35" w:history="1">
        <w:r w:rsidRPr="004C2E51">
          <w:rPr>
            <w:rStyle w:val="Hyperlink"/>
            <w:iCs/>
          </w:rPr>
          <w:t>‘Off the Record’</w:t>
        </w:r>
      </w:hyperlink>
      <w:r w:rsidRPr="00670521">
        <w:rPr>
          <w:iCs/>
        </w:rPr>
        <w:t xml:space="preserve"> was tabled and published soon after. </w:t>
      </w:r>
    </w:p>
    <w:tbl>
      <w:tblPr>
        <w:tblStyle w:val="TableBox"/>
        <w:tblW w:w="9297" w:type="dxa"/>
        <w:tblLayout w:type="fixed"/>
        <w:tblLook w:val="0420" w:firstRow="1" w:lastRow="0" w:firstColumn="0" w:lastColumn="0" w:noHBand="0" w:noVBand="1"/>
        <w:tblCaption w:val="Case study - Unprecedented and severely mishandled"/>
        <w:tblDescription w:val="Case study about school closures and mergers. "/>
      </w:tblPr>
      <w:tblGrid>
        <w:gridCol w:w="9297"/>
      </w:tblGrid>
      <w:tr w:rsidR="00D837D6" w14:paraId="57EE7182" w14:textId="77777777" w:rsidTr="00AE78A0">
        <w:tc>
          <w:tcPr>
            <w:tcW w:w="9297" w:type="dxa"/>
          </w:tcPr>
          <w:p w14:paraId="294A781A" w14:textId="77777777" w:rsidR="00D837D6" w:rsidRPr="002733A7" w:rsidRDefault="000B6C09" w:rsidP="00F95200">
            <w:pPr>
              <w:pStyle w:val="Headingboxtexttop"/>
              <w:rPr>
                <w:rStyle w:val="Italics"/>
              </w:rPr>
            </w:pPr>
            <w:bookmarkStart w:id="86" w:name="_MPI_Case_Study"/>
            <w:bookmarkEnd w:id="86"/>
            <w:r w:rsidRPr="002733A7">
              <w:rPr>
                <w:rStyle w:val="Italics"/>
              </w:rPr>
              <w:t>Off the Record</w:t>
            </w:r>
          </w:p>
          <w:p w14:paraId="28EE514B" w14:textId="77777777" w:rsidR="000B6C09" w:rsidRPr="00722142" w:rsidRDefault="00722142" w:rsidP="004C2E51">
            <w:pPr>
              <w:pStyle w:val="Boxsmalltext"/>
            </w:pPr>
            <w:r w:rsidRPr="00722142">
              <w:t>I</w:t>
            </w:r>
            <w:r w:rsidR="000B6C09" w:rsidRPr="00722142">
              <w:t xml:space="preserve"> investigate</w:t>
            </w:r>
            <w:r w:rsidRPr="00722142">
              <w:t>d</w:t>
            </w:r>
            <w:r w:rsidR="000B6C09" w:rsidRPr="00722142">
              <w:t xml:space="preserve"> the Ministry of Health’s</w:t>
            </w:r>
            <w:r w:rsidRPr="00722142">
              <w:t xml:space="preserve"> (the Ministry’s)</w:t>
            </w:r>
            <w:r w:rsidR="000B6C09" w:rsidRPr="00722142">
              <w:t xml:space="preserve"> collection, use, and reporting of information about the deaths of people with intellectual disabilities receiving full-time residential support. </w:t>
            </w:r>
          </w:p>
          <w:p w14:paraId="59B16789" w14:textId="57A4F4C9" w:rsidR="000B6C09" w:rsidRPr="00722142" w:rsidRDefault="000B6C09" w:rsidP="004C2E51">
            <w:pPr>
              <w:pStyle w:val="Boxsmalltext"/>
            </w:pPr>
            <w:r w:rsidRPr="00722142">
              <w:t>Information about health outcomes for New Zealanders with intellectual disabilities is limited but the data that does exist shows their overall health outcomes are poorer and their life expectancies significantly lower</w:t>
            </w:r>
            <w:r w:rsidR="006A4856">
              <w:t xml:space="preserve"> (</w:t>
            </w:r>
            <w:r w:rsidRPr="00722142">
              <w:t>by 20 years on average</w:t>
            </w:r>
            <w:r w:rsidR="006A4856">
              <w:t xml:space="preserve">() </w:t>
            </w:r>
            <w:r w:rsidRPr="00722142">
              <w:t>than the population at large. Good data, used effectively</w:t>
            </w:r>
            <w:r w:rsidR="00722142">
              <w:t>,</w:t>
            </w:r>
            <w:r w:rsidRPr="00722142">
              <w:t xml:space="preserve"> is fundamental to improving the lives and life expectancy of people with intellectual disabilities, including by helping to prevent premature or avoidable deaths, reducing inequities, and promoting a more inclusive society. </w:t>
            </w:r>
          </w:p>
          <w:p w14:paraId="05DDE2F1" w14:textId="6E4F9537" w:rsidR="000B6C09" w:rsidRPr="00722142" w:rsidRDefault="000B6C09" w:rsidP="004C2E51">
            <w:pPr>
              <w:pStyle w:val="Boxsmalltext"/>
            </w:pPr>
            <w:r w:rsidRPr="00722142">
              <w:t xml:space="preserve">The Ministry is responsible for leading New Zealand’s health and disability systems. It also funds, purchases, and monitors disability support services, including full-time residential support for more than 6000 people with intellectual disabilities, giving rise to quality assurance and quality improvement obligations. I commenced this investigation as it was not clear to me that, when it came to the collection, use, and reporting of information about the deaths of people with intellectual disabilities, the Ministry’s practices were administratively sound, or consistent with its responsibilities and obligations to ensure providers </w:t>
            </w:r>
            <w:r w:rsidR="006A4856">
              <w:t>we</w:t>
            </w:r>
            <w:r w:rsidR="006A4856" w:rsidRPr="00722142">
              <w:t xml:space="preserve">re </w:t>
            </w:r>
            <w:r w:rsidRPr="00722142">
              <w:t xml:space="preserve">delivering quality care and support, and to reduce health disparities. </w:t>
            </w:r>
          </w:p>
          <w:p w14:paraId="2C57E7CE" w14:textId="7BDFBE98" w:rsidR="000B6C09" w:rsidRPr="00722142" w:rsidRDefault="000B6C09" w:rsidP="004C2E51">
            <w:pPr>
              <w:pStyle w:val="Boxsmalltext"/>
            </w:pPr>
            <w:r w:rsidRPr="00722142">
              <w:t xml:space="preserve">My investigation report, </w:t>
            </w:r>
            <w:hyperlink r:id="rId36" w:history="1">
              <w:r w:rsidRPr="004F6183">
                <w:rPr>
                  <w:rStyle w:val="Hyperlink"/>
                  <w:i/>
                </w:rPr>
                <w:t>Off the Record</w:t>
              </w:r>
            </w:hyperlink>
            <w:r w:rsidRPr="00722142">
              <w:t xml:space="preserve">, sets out my findings based on an examination of the data collected by the Ministry for the deaths of 108 people over a </w:t>
            </w:r>
            <w:r w:rsidR="006A4856">
              <w:t>two-and-a-half</w:t>
            </w:r>
            <w:r w:rsidRPr="00722142">
              <w:t xml:space="preserve"> year period, with a particular focus on a sample of 41 deaths. </w:t>
            </w:r>
          </w:p>
          <w:p w14:paraId="4364A2C7" w14:textId="77777777" w:rsidR="000B6C09" w:rsidRPr="00722142" w:rsidRDefault="000B6C09" w:rsidP="004C2E51">
            <w:pPr>
              <w:pStyle w:val="Boxsmalltext"/>
            </w:pPr>
            <w:r w:rsidRPr="00722142">
              <w:t>I found that the Ministry’s arrangements for collecting information about the deaths of its service users were not adequate or robust. The systems and processes did not support the collection of information that was complete, accurate, or sufficient. They did not provide a sound basis for staff to determine whether there was a need for further enquiry or other follow-up action. In the absence of clear guidance for staff, the follow-up that did occur appear</w:t>
            </w:r>
            <w:r w:rsidR="00722142">
              <w:t>ed</w:t>
            </w:r>
            <w:r w:rsidRPr="00722142">
              <w:t xml:space="preserve"> to have been limited and inconsistent. There was no internal audit process that might have identified issues and record-keeping was not adequate. Significantly, there was no evidence to indicate that the information the Ministry collected, or should have collected, was used to inform its own service or policy development, or shared with residential support providers in ways that might support their quality improvement efforts</w:t>
            </w:r>
            <w:r w:rsidR="003C3875">
              <w:t xml:space="preserve">. </w:t>
            </w:r>
          </w:p>
          <w:p w14:paraId="06C57713" w14:textId="77777777" w:rsidR="00D837D6" w:rsidRDefault="000B6C09" w:rsidP="004C2E51">
            <w:pPr>
              <w:pStyle w:val="Boxsmalltext"/>
            </w:pPr>
            <w:r w:rsidRPr="00722142">
              <w:t xml:space="preserve">In the course of my investigation the Ministry implemented a number of changes to improve its administrative processes, most notably with the introduction of a new standard operating procedure for the management of death notifications for people accessing residential support. I made 10 recommendations aimed at ensuring the new approach is fully effective and sustainable, and which look to additional opportunities for improvement. These included a recommendation that the Ministry establishes an audit process to ensure relevant information is being shared, and records are up to standard. I also recommended that the Ministry takes steps to ensure an appropriate level of review following a death. </w:t>
            </w:r>
          </w:p>
          <w:p w14:paraId="6075D204" w14:textId="77777777" w:rsidR="00722142" w:rsidRDefault="00722142" w:rsidP="004C2E51">
            <w:pPr>
              <w:pStyle w:val="Boxsmalltext"/>
            </w:pPr>
            <w:r>
              <w:t>The Ministry accepted my recommendations and set up a work programme to implement them, on which I am receiving regular reports.</w:t>
            </w:r>
          </w:p>
          <w:p w14:paraId="2306D38C" w14:textId="519FB9DD" w:rsidR="00700F8B" w:rsidRPr="00526183" w:rsidRDefault="00700F8B" w:rsidP="00700F8B">
            <w:pPr>
              <w:pStyle w:val="Boxsmalltext"/>
            </w:pPr>
            <w:r w:rsidRPr="007F02F4">
              <w:t xml:space="preserve">Read the full </w:t>
            </w:r>
            <w:r>
              <w:t>opinion</w:t>
            </w:r>
            <w:r w:rsidRPr="007F02F4">
              <w:t xml:space="preserve"> at </w:t>
            </w:r>
            <w:hyperlink r:id="rId37" w:history="1">
              <w:r w:rsidRPr="00700F8B">
                <w:rPr>
                  <w:rStyle w:val="Hyperlink"/>
                </w:rPr>
                <w:t>www.ombudsman.parliament.nz</w:t>
              </w:r>
            </w:hyperlink>
            <w:r w:rsidRPr="007F02F4">
              <w:t>.</w:t>
            </w:r>
          </w:p>
        </w:tc>
      </w:tr>
    </w:tbl>
    <w:p w14:paraId="71856549" w14:textId="77777777" w:rsidR="00D837D6" w:rsidRDefault="00D837D6" w:rsidP="00D837D6">
      <w:pPr>
        <w:pStyle w:val="Whitespace"/>
      </w:pPr>
    </w:p>
    <w:p w14:paraId="2A8E72A0" w14:textId="1A3668E1" w:rsidR="00020932" w:rsidRDefault="00C43F53" w:rsidP="00020932">
      <w:pPr>
        <w:rPr>
          <w:color w:val="FF0000"/>
          <w:sz w:val="22"/>
        </w:rPr>
      </w:pPr>
      <w:bookmarkStart w:id="87" w:name="_Investigations"/>
      <w:bookmarkEnd w:id="87"/>
      <w:r>
        <w:rPr>
          <w:szCs w:val="24"/>
        </w:rPr>
        <w:t>M</w:t>
      </w:r>
      <w:r w:rsidR="00722142">
        <w:rPr>
          <w:szCs w:val="24"/>
        </w:rPr>
        <w:t xml:space="preserve">y </w:t>
      </w:r>
      <w:r>
        <w:rPr>
          <w:szCs w:val="24"/>
        </w:rPr>
        <w:t xml:space="preserve">third </w:t>
      </w:r>
      <w:r w:rsidR="00722142">
        <w:rPr>
          <w:szCs w:val="24"/>
        </w:rPr>
        <w:t xml:space="preserve">systemic investigation underway during 2019/20 examined </w:t>
      </w:r>
      <w:r w:rsidR="00722142">
        <w:t>the Ministry</w:t>
      </w:r>
      <w:r w:rsidR="00F77582">
        <w:t>’s</w:t>
      </w:r>
      <w:r w:rsidR="00722142">
        <w:t xml:space="preserve"> </w:t>
      </w:r>
      <w:r w:rsidR="00722142">
        <w:rPr>
          <w:szCs w:val="24"/>
        </w:rPr>
        <w:t>policies, procedures</w:t>
      </w:r>
      <w:r w:rsidR="00F77582">
        <w:rPr>
          <w:szCs w:val="24"/>
        </w:rPr>
        <w:t>,</w:t>
      </w:r>
      <w:r w:rsidR="00722142">
        <w:rPr>
          <w:szCs w:val="24"/>
        </w:rPr>
        <w:t xml:space="preserve"> and practices relating to the removal of newborn </w:t>
      </w:r>
      <w:r w:rsidR="00722142" w:rsidRPr="00020932">
        <w:rPr>
          <w:color w:val="auto"/>
          <w:szCs w:val="24"/>
        </w:rPr>
        <w:t xml:space="preserve">pēpi. </w:t>
      </w:r>
      <w:r w:rsidR="00020932" w:rsidRPr="00020932">
        <w:rPr>
          <w:color w:val="auto"/>
        </w:rPr>
        <w:t>This investigation focused on:</w:t>
      </w:r>
    </w:p>
    <w:p w14:paraId="0BBE99C4" w14:textId="3AB4F79C" w:rsidR="00020932" w:rsidRDefault="00020932" w:rsidP="00020932">
      <w:pPr>
        <w:pStyle w:val="Bullet1"/>
      </w:pPr>
      <w:r>
        <w:t xml:space="preserve">the Ministry’s decision making around applications to the Court for section 78 interim custody orders (without notice) for newborns and unborn pēpi; and </w:t>
      </w:r>
    </w:p>
    <w:p w14:paraId="2A1DB2FF" w14:textId="31F21785" w:rsidR="00020932" w:rsidRDefault="00020932" w:rsidP="00020932">
      <w:pPr>
        <w:pStyle w:val="Bullet1"/>
      </w:pPr>
      <w:r>
        <w:t xml:space="preserve">the Ministry’s removal of newborns, after section 78 interim custody orders (without notice) have been granted by the Court. </w:t>
      </w:r>
    </w:p>
    <w:p w14:paraId="258B924A" w14:textId="1B5FE2F7" w:rsidR="00722142" w:rsidRPr="00020932" w:rsidRDefault="00020932" w:rsidP="00722142">
      <w:pPr>
        <w:rPr>
          <w:color w:val="auto"/>
        </w:rPr>
      </w:pPr>
      <w:r w:rsidRPr="00020932">
        <w:rPr>
          <w:color w:val="auto"/>
        </w:rPr>
        <w:t>My investigation involved extensive inquiries around the country. By the end of this reporting year, I was in the process of formulating my provisional opinion.</w:t>
      </w:r>
      <w:r w:rsidR="00722142" w:rsidRPr="00020932">
        <w:rPr>
          <w:rStyle w:val="FootnoteReference"/>
          <w:color w:val="auto"/>
          <w:szCs w:val="24"/>
        </w:rPr>
        <w:footnoteReference w:id="48"/>
      </w:r>
    </w:p>
    <w:p w14:paraId="7677E298" w14:textId="77AA3BCF" w:rsidR="00D837D6" w:rsidRDefault="005B795D" w:rsidP="00D837D6">
      <w:pPr>
        <w:pStyle w:val="BodyText"/>
      </w:pPr>
      <w:hyperlink w:anchor="Contents" w:history="1">
        <w:r w:rsidR="00D837D6" w:rsidRPr="00F5248A">
          <w:rPr>
            <w:rStyle w:val="Hyperlink"/>
          </w:rPr>
          <w:t>Back to contents</w:t>
        </w:r>
      </w:hyperlink>
    </w:p>
    <w:p w14:paraId="703CC685" w14:textId="77777777" w:rsidR="008A5CA1" w:rsidRDefault="008A5CA1" w:rsidP="004465BA">
      <w:pPr>
        <w:pStyle w:val="Heading2"/>
      </w:pPr>
      <w:bookmarkStart w:id="88" w:name="_Learn_from,_and_2"/>
      <w:bookmarkStart w:id="89" w:name="_Ref54687193"/>
      <w:bookmarkEnd w:id="88"/>
      <w:r w:rsidRPr="008A5CA1">
        <w:t>Learn from, and assist to develop, international best practice</w:t>
      </w:r>
      <w:bookmarkEnd w:id="89"/>
    </w:p>
    <w:p w14:paraId="09DD0729" w14:textId="75EDE2A1" w:rsidR="00740067" w:rsidRDefault="00131FEA" w:rsidP="00740067">
      <w:pPr>
        <w:pStyle w:val="Quotationparagraphbefore"/>
      </w:pPr>
      <w:r>
        <w:t>New Zealand was the first country outside Scandinavia to establish an Ombudsman in 1962</w:t>
      </w:r>
      <w:r w:rsidR="002E3429">
        <w:t>.</w:t>
      </w:r>
      <w:r w:rsidR="008A7B08">
        <w:t xml:space="preserve"> The New Zealand Ombudsman is a member of the International Ombudsman Institute (IOI), which is the only global organisation of Ombudsman institutions, and currently </w:t>
      </w:r>
      <w:r w:rsidR="008A7B08" w:rsidRPr="008F6EFA">
        <w:t xml:space="preserve">comprises </w:t>
      </w:r>
      <w:r w:rsidR="008E2645">
        <w:t>205</w:t>
      </w:r>
      <w:r w:rsidR="008A7B08" w:rsidRPr="008F6EFA">
        <w:t xml:space="preserve"> independent Ombudsman member institutions from </w:t>
      </w:r>
      <w:r w:rsidR="008E2645">
        <w:t>over 100</w:t>
      </w:r>
      <w:r w:rsidR="008A7B08">
        <w:t xml:space="preserve"> countries. </w:t>
      </w:r>
    </w:p>
    <w:p w14:paraId="4720D7E0" w14:textId="6F9DD55B" w:rsidR="00740067" w:rsidRPr="00B26FD0" w:rsidRDefault="00740067" w:rsidP="00740067">
      <w:pPr>
        <w:pStyle w:val="Quotationparagraphbefore"/>
      </w:pPr>
      <w:r>
        <w:t xml:space="preserve">The IOI describes the role of an Ombudsman as: </w:t>
      </w:r>
    </w:p>
    <w:p w14:paraId="520677C1" w14:textId="77777777" w:rsidR="00740067" w:rsidRDefault="00740067" w:rsidP="00740067">
      <w:pPr>
        <w:pStyle w:val="Quotationseparateparagraph"/>
      </w:pPr>
      <w:r>
        <w:t>…</w:t>
      </w:r>
      <w:r w:rsidRPr="00B26FD0">
        <w:t>to protect the people against violation of rights, abuse of powers, unfair decisions and maladministration. They play an increasingly important role in improving public administration while making the government</w:t>
      </w:r>
      <w:r>
        <w:t>’</w:t>
      </w:r>
      <w:r w:rsidRPr="00B26FD0">
        <w:t>s actions more open and its administration more accountable to the public.</w:t>
      </w:r>
    </w:p>
    <w:p w14:paraId="0EE3C800" w14:textId="53E076DC" w:rsidR="008A7B08" w:rsidRDefault="008A7B08" w:rsidP="008A7B08">
      <w:pPr>
        <w:pStyle w:val="Bullet1"/>
        <w:numPr>
          <w:ilvl w:val="0"/>
          <w:numId w:val="0"/>
        </w:numPr>
      </w:pPr>
      <w:r>
        <w:t>Three of our past Chief Ombudsmen have held the Presidency of the IOI.</w:t>
      </w:r>
      <w:r>
        <w:rPr>
          <w:rStyle w:val="FootnoteReference"/>
        </w:rPr>
        <w:footnoteReference w:id="49"/>
      </w:r>
      <w:r>
        <w:t xml:space="preserve"> I am currently a Director of the Asia-Pacific Ombudsman Region (APOR) </w:t>
      </w:r>
      <w:r w:rsidR="00740067">
        <w:t xml:space="preserve">of the IOI </w:t>
      </w:r>
      <w:r>
        <w:t xml:space="preserve">and was recently </w:t>
      </w:r>
      <w:r w:rsidR="00020932">
        <w:t>re-</w:t>
      </w:r>
      <w:r>
        <w:t>elected President</w:t>
      </w:r>
      <w:r w:rsidR="00740067">
        <w:t xml:space="preserve"> of APOR</w:t>
      </w:r>
      <w:r>
        <w:t xml:space="preserve">. </w:t>
      </w:r>
      <w:r w:rsidR="00740067">
        <w:t xml:space="preserve">As Regional President, in 2019/20 I </w:t>
      </w:r>
      <w:r w:rsidR="00740067">
        <w:rPr>
          <w:color w:val="000000"/>
        </w:rPr>
        <w:t xml:space="preserve">continued my </w:t>
      </w:r>
      <w:r w:rsidR="00740067" w:rsidRPr="00B927AD">
        <w:rPr>
          <w:color w:val="000000"/>
        </w:rPr>
        <w:t>programme of official visits to co</w:t>
      </w:r>
      <w:r w:rsidR="00740067">
        <w:rPr>
          <w:color w:val="000000"/>
        </w:rPr>
        <w:t>lleagues in the Pacific region to promote good governance, integrity, and anti-corruption.</w:t>
      </w:r>
    </w:p>
    <w:p w14:paraId="1A9072C8" w14:textId="33FC45A7" w:rsidR="0007114F" w:rsidRDefault="008A7B08" w:rsidP="0007114F">
      <w:pPr>
        <w:pStyle w:val="BodyText"/>
        <w:rPr>
          <w:color w:val="000000"/>
        </w:rPr>
      </w:pPr>
      <w:r>
        <w:t xml:space="preserve">The Ombudsman model developed by New Zealand has been widely copied throughout the Ombudsman world and our advice and experience is sought </w:t>
      </w:r>
      <w:r w:rsidR="00740067">
        <w:t xml:space="preserve">out </w:t>
      </w:r>
      <w:r>
        <w:t>by other countries. The systems and processes we employ are widely viewed as international best practice</w:t>
      </w:r>
      <w:r w:rsidR="00131FEA">
        <w:t xml:space="preserve">. </w:t>
      </w:r>
    </w:p>
    <w:p w14:paraId="1D28AF9D" w14:textId="77777777" w:rsidR="0007114F" w:rsidRDefault="0007114F" w:rsidP="0007114F">
      <w:pPr>
        <w:pStyle w:val="BodyText"/>
      </w:pPr>
      <w:r>
        <w:t>I assist integrity institutions in other countries by working with them to lift regional and international best practice. I also work with others around the world to build and improve tools, frameworks, methodologies and resources, and improve my own practices by benchmarking internationally. I do this by:</w:t>
      </w:r>
    </w:p>
    <w:p w14:paraId="3CE5DDEC" w14:textId="77777777" w:rsidR="0007114F" w:rsidRDefault="0007114F" w:rsidP="0007114F">
      <w:pPr>
        <w:pStyle w:val="Bullet1"/>
      </w:pPr>
      <w:r>
        <w:t>building quality relationships and partnerships with other integrity institutions and integrity focused organisations;</w:t>
      </w:r>
    </w:p>
    <w:p w14:paraId="597F6FF0" w14:textId="77777777" w:rsidR="0007114F" w:rsidRDefault="0007114F" w:rsidP="0007114F">
      <w:pPr>
        <w:pStyle w:val="Bullet1"/>
      </w:pPr>
      <w:r>
        <w:t>building on our experience of cross-cultural relationships in New Zealand, and actively seeking to understand cultural diversity and local circumstances;</w:t>
      </w:r>
    </w:p>
    <w:p w14:paraId="08F635CA" w14:textId="77777777" w:rsidR="0007114F" w:rsidRDefault="0007114F" w:rsidP="0007114F">
      <w:pPr>
        <w:pStyle w:val="Bullet1"/>
      </w:pPr>
      <w:r>
        <w:t>identifying best practice issues; and</w:t>
      </w:r>
    </w:p>
    <w:p w14:paraId="687A3390" w14:textId="77777777" w:rsidR="0007114F" w:rsidRDefault="0007114F" w:rsidP="0007114F">
      <w:pPr>
        <w:pStyle w:val="Bullet1"/>
      </w:pPr>
      <w:r>
        <w:t>ensuring that my international work is co-ordinated with other New Zealand agencies.</w:t>
      </w:r>
    </w:p>
    <w:p w14:paraId="33190975" w14:textId="77777777" w:rsidR="0007114F" w:rsidRDefault="0007114F" w:rsidP="0007114F">
      <w:pPr>
        <w:pStyle w:val="BodyText"/>
      </w:pPr>
      <w:r>
        <w:t>I am committed to learning from and fostering relationships with other nations’ integrity organisations. This includes</w:t>
      </w:r>
      <w:r w:rsidRPr="00FE16F7">
        <w:t xml:space="preserve"> hosting visiting international delegations, participating in international Ombudsman and Information Commissioner networks, and providing training and assistance to international Ombudsmen or Ombudsman-type organisations.</w:t>
      </w:r>
    </w:p>
    <w:p w14:paraId="628CA7CA" w14:textId="77777777" w:rsidR="00036078" w:rsidRPr="00036078" w:rsidRDefault="00A31BA4" w:rsidP="00B05DDA">
      <w:pPr>
        <w:pStyle w:val="BodyText"/>
      </w:pPr>
      <w:r>
        <w:t xml:space="preserve">In 2019/20, I completed the first year of a four-year programme of work to support and learn from fellow integrity </w:t>
      </w:r>
      <w:r w:rsidR="00905C92">
        <w:t>institutions</w:t>
      </w:r>
      <w:r>
        <w:t xml:space="preserve"> in the Asia-Pacific region. </w:t>
      </w:r>
      <w:r w:rsidR="00905C92">
        <w:t>I</w:t>
      </w:r>
      <w:r w:rsidR="004D543B" w:rsidRPr="00C470DA">
        <w:t xml:space="preserve"> developed a comprehensive strategy for </w:t>
      </w:r>
      <w:r w:rsidR="00905C92">
        <w:t>my</w:t>
      </w:r>
      <w:r w:rsidR="004D543B" w:rsidRPr="00C470DA">
        <w:t xml:space="preserve"> work in this area </w:t>
      </w:r>
      <w:r w:rsidR="00905C92">
        <w:t xml:space="preserve">in consultation with key stakeholders. I also </w:t>
      </w:r>
      <w:r w:rsidR="004D543B" w:rsidRPr="00C470DA">
        <w:t xml:space="preserve">recruited a specialist International Development and Engagement team to carry out this work, in liaison with our staff with subject matter expertise in Ombudsman work. </w:t>
      </w:r>
    </w:p>
    <w:p w14:paraId="490DEBDD" w14:textId="77777777" w:rsidR="00036078" w:rsidRPr="006564AD" w:rsidRDefault="00036078" w:rsidP="00036078">
      <w:pPr>
        <w:pStyle w:val="Heading2"/>
        <w:numPr>
          <w:ilvl w:val="1"/>
          <w:numId w:val="0"/>
        </w:numPr>
        <w:pBdr>
          <w:bottom w:val="none" w:sz="0" w:space="0" w:color="auto"/>
        </w:pBdr>
        <w:spacing w:before="360" w:line="240" w:lineRule="auto"/>
      </w:pPr>
      <w:r w:rsidRPr="006564AD">
        <w:t>Training and assistance</w:t>
      </w:r>
    </w:p>
    <w:p w14:paraId="361E6450" w14:textId="69206B63" w:rsidR="00036078" w:rsidRDefault="00036078" w:rsidP="00036078">
      <w:pPr>
        <w:pStyle w:val="BodyText"/>
      </w:pPr>
      <w:r>
        <w:t>In July 2019</w:t>
      </w:r>
      <w:r w:rsidR="00577BA5">
        <w:t>,</w:t>
      </w:r>
      <w:r>
        <w:t xml:space="preserve"> in collaboration with Ombudsman colleagues from Australia, and with a small grant from the International Ombudsman </w:t>
      </w:r>
      <w:r w:rsidR="00EF427E">
        <w:t xml:space="preserve">Institute </w:t>
      </w:r>
      <w:r w:rsidR="006477DE">
        <w:t>(IOI)</w:t>
      </w:r>
      <w:r>
        <w:t>,</w:t>
      </w:r>
      <w:r w:rsidR="00577BA5">
        <w:t xml:space="preserve"> I </w:t>
      </w:r>
      <w:r>
        <w:t xml:space="preserve">delivered an </w:t>
      </w:r>
      <w:r w:rsidRPr="00905C92">
        <w:rPr>
          <w:rStyle w:val="Italics"/>
        </w:rPr>
        <w:t>Investigator Training Workshop</w:t>
      </w:r>
      <w:r>
        <w:t xml:space="preserve"> for Ombudsm</w:t>
      </w:r>
      <w:r w:rsidR="00905C92">
        <w:t>e</w:t>
      </w:r>
      <w:r>
        <w:t xml:space="preserve">n </w:t>
      </w:r>
      <w:r w:rsidR="00905C92">
        <w:t xml:space="preserve">staff </w:t>
      </w:r>
      <w:r w:rsidR="00EF427E">
        <w:t>across the Paci</w:t>
      </w:r>
      <w:r w:rsidR="00DF36EA">
        <w:t>f</w:t>
      </w:r>
      <w:r w:rsidR="00EF427E">
        <w:t>ic</w:t>
      </w:r>
      <w:r>
        <w:t xml:space="preserve">. </w:t>
      </w:r>
    </w:p>
    <w:p w14:paraId="46FB2189" w14:textId="4E4AA04A" w:rsidR="00905C92" w:rsidRPr="006564AD" w:rsidRDefault="00905C92" w:rsidP="00905C92">
      <w:pPr>
        <w:pStyle w:val="BodyText"/>
      </w:pPr>
      <w:r w:rsidRPr="006564AD">
        <w:t>I</w:t>
      </w:r>
      <w:r>
        <w:t>n September 2019, I was invited to</w:t>
      </w:r>
      <w:r w:rsidRPr="006564AD">
        <w:t xml:space="preserve"> provide</w:t>
      </w:r>
      <w:r>
        <w:t xml:space="preserve"> high level support to Malaysia in the setting up of an Ombudsman as a key democratic accountability mechanism.</w:t>
      </w:r>
    </w:p>
    <w:p w14:paraId="2B4261C2" w14:textId="77777777" w:rsidR="00036078" w:rsidRPr="006A4856" w:rsidRDefault="00036078" w:rsidP="006A4856">
      <w:pPr>
        <w:pStyle w:val="BodyText"/>
      </w:pPr>
      <w:r w:rsidRPr="006A4856">
        <w:t xml:space="preserve">I hosted the Inaugural Pacific Ombudsman Leadership Forum, </w:t>
      </w:r>
      <w:r w:rsidR="00905C92" w:rsidRPr="006A4856">
        <w:t xml:space="preserve">from </w:t>
      </w:r>
      <w:r w:rsidRPr="006A4856">
        <w:t xml:space="preserve">25-27 February 2020. The two-and-a-half day workshop was attended by 15 Pacific delegates from the Cook Islands, Kiribati, Papua New Guinea, Samoa, the Solomon Islands, Tonga, Tuvalu, and Vanuatu. The theme of the two day forum was </w:t>
      </w:r>
      <w:r w:rsidR="00577BA5" w:rsidRPr="006A4856">
        <w:t>‘</w:t>
      </w:r>
      <w:r w:rsidRPr="006A4856">
        <w:t>Ombudsmen: Trusted Leaders</w:t>
      </w:r>
      <w:r w:rsidR="00905C92" w:rsidRPr="006A4856">
        <w:t>.</w:t>
      </w:r>
      <w:r w:rsidR="00577BA5" w:rsidRPr="006A4856">
        <w:t>’ The forum</w:t>
      </w:r>
      <w:r w:rsidRPr="006A4856">
        <w:t xml:space="preserve"> provid</w:t>
      </w:r>
      <w:r w:rsidR="00577BA5" w:rsidRPr="006A4856">
        <w:t>ed</w:t>
      </w:r>
      <w:r w:rsidRPr="006A4856">
        <w:t xml:space="preserve"> the opportunity for the Pacific delegates to actively participate in workshops and share knowledge and experiences. </w:t>
      </w:r>
    </w:p>
    <w:p w14:paraId="2CAD12EA" w14:textId="616A2838" w:rsidR="00036078" w:rsidRDefault="00036078" w:rsidP="00036078">
      <w:pPr>
        <w:pStyle w:val="BodyText"/>
      </w:pPr>
      <w:r w:rsidRPr="006564AD">
        <w:t xml:space="preserve">The </w:t>
      </w:r>
      <w:r w:rsidR="00905C92">
        <w:t>advent of</w:t>
      </w:r>
      <w:r w:rsidRPr="006564AD">
        <w:t xml:space="preserve"> the global COVID-19</w:t>
      </w:r>
      <w:r>
        <w:t xml:space="preserve"> pandemic</w:t>
      </w:r>
      <w:r w:rsidR="00905C92">
        <w:t xml:space="preserve"> in 2020</w:t>
      </w:r>
      <w:r w:rsidRPr="006564AD">
        <w:t xml:space="preserve"> </w:t>
      </w:r>
      <w:r w:rsidR="00DF57AA">
        <w:t xml:space="preserve">required me to review and adjust my plans in this area and </w:t>
      </w:r>
      <w:r>
        <w:t xml:space="preserve">provided the opportunity to rethink </w:t>
      </w:r>
      <w:r w:rsidRPr="006564AD">
        <w:t xml:space="preserve">how to </w:t>
      </w:r>
      <w:r>
        <w:t>best</w:t>
      </w:r>
      <w:r w:rsidRPr="006564AD">
        <w:t xml:space="preserve"> engage with my overseas colleagues. Virtual </w:t>
      </w:r>
      <w:r>
        <w:t>communications</w:t>
      </w:r>
      <w:r w:rsidRPr="006564AD">
        <w:t xml:space="preserve">, which started out of necessity due to travel restrictions, </w:t>
      </w:r>
      <w:r w:rsidR="00DF57AA">
        <w:t xml:space="preserve">provided me with new </w:t>
      </w:r>
      <w:r w:rsidRPr="006564AD">
        <w:t xml:space="preserve">opportunities for </w:t>
      </w:r>
      <w:r w:rsidR="00DF57AA">
        <w:t xml:space="preserve">carrying out </w:t>
      </w:r>
      <w:r w:rsidRPr="006564AD">
        <w:t xml:space="preserve">my work </w:t>
      </w:r>
      <w:r w:rsidR="00DF57AA">
        <w:t xml:space="preserve">programme </w:t>
      </w:r>
      <w:r w:rsidRPr="006564AD">
        <w:t xml:space="preserve">in this area. </w:t>
      </w:r>
      <w:r>
        <w:t xml:space="preserve">As a result, </w:t>
      </w:r>
      <w:r w:rsidRPr="006564AD">
        <w:t>I initiated remote mentoring, provide</w:t>
      </w:r>
      <w:r>
        <w:t>d webinars, and looked to shared</w:t>
      </w:r>
      <w:r w:rsidRPr="006564AD">
        <w:t xml:space="preserve"> technology</w:t>
      </w:r>
      <w:r>
        <w:t>.</w:t>
      </w:r>
    </w:p>
    <w:p w14:paraId="06BB60C5" w14:textId="77777777" w:rsidR="0060563C" w:rsidRPr="006564AD" w:rsidRDefault="0060563C" w:rsidP="0060563C">
      <w:pPr>
        <w:pStyle w:val="BodyText"/>
      </w:pPr>
      <w:r>
        <w:t xml:space="preserve">I </w:t>
      </w:r>
      <w:r w:rsidR="006477DE">
        <w:t xml:space="preserve">provided </w:t>
      </w:r>
      <w:r w:rsidR="00DF36EA">
        <w:t xml:space="preserve">guidance </w:t>
      </w:r>
      <w:r>
        <w:t xml:space="preserve">to </w:t>
      </w:r>
      <w:r w:rsidR="00A6260F">
        <w:t xml:space="preserve">Ombudsman leaders in </w:t>
      </w:r>
      <w:r>
        <w:t>the wider Asia</w:t>
      </w:r>
      <w:r w:rsidR="00905C92">
        <w:t>-</w:t>
      </w:r>
      <w:r>
        <w:t>Pacific region by delivering a series of virtual performance management workshops</w:t>
      </w:r>
      <w:r w:rsidR="00A6260F">
        <w:t xml:space="preserve">. I also delivered </w:t>
      </w:r>
      <w:r>
        <w:t>a webinar</w:t>
      </w:r>
      <w:r w:rsidR="00A6260F">
        <w:t xml:space="preserve"> that had global attendance </w:t>
      </w:r>
      <w:r>
        <w:t xml:space="preserve">on how I met my obligations </w:t>
      </w:r>
      <w:r w:rsidR="00A6260F">
        <w:t xml:space="preserve">under OPCAT </w:t>
      </w:r>
      <w:r>
        <w:t xml:space="preserve">during the COVID-19 pandemic. </w:t>
      </w:r>
    </w:p>
    <w:p w14:paraId="5D7C1D29" w14:textId="77777777" w:rsidR="00036078" w:rsidRDefault="00577BA5" w:rsidP="00036078">
      <w:pPr>
        <w:pStyle w:val="BodyText"/>
      </w:pPr>
      <w:r>
        <w:t xml:space="preserve">I have </w:t>
      </w:r>
      <w:r w:rsidR="00036078">
        <w:t>beg</w:t>
      </w:r>
      <w:r>
        <w:t xml:space="preserve">un to </w:t>
      </w:r>
      <w:r w:rsidR="00036078" w:rsidRPr="006564AD">
        <w:t>work</w:t>
      </w:r>
      <w:r>
        <w:t xml:space="preserve"> more </w:t>
      </w:r>
      <w:r w:rsidR="00036078">
        <w:t xml:space="preserve">closely with </w:t>
      </w:r>
      <w:r>
        <w:t xml:space="preserve">selected </w:t>
      </w:r>
      <w:r w:rsidRPr="006564AD">
        <w:t>partner</w:t>
      </w:r>
      <w:r w:rsidR="00036078" w:rsidRPr="006564AD">
        <w:t xml:space="preserve"> countries to </w:t>
      </w:r>
      <w:r w:rsidR="00036078">
        <w:t xml:space="preserve">develop bespoke partnership programmes. As part of these partnership programmes, I have </w:t>
      </w:r>
      <w:r w:rsidR="00A6260F">
        <w:t xml:space="preserve">scoped focused work programmes </w:t>
      </w:r>
      <w:r w:rsidR="00036078">
        <w:t>with Vanuatu and the Cook Islands</w:t>
      </w:r>
      <w:r w:rsidR="004C2E51">
        <w:t>, and provided</w:t>
      </w:r>
      <w:r w:rsidR="00036078">
        <w:t xml:space="preserve"> mentor support </w:t>
      </w:r>
      <w:r w:rsidR="00A6260F">
        <w:t xml:space="preserve">on complaints handling </w:t>
      </w:r>
      <w:r w:rsidR="00036078">
        <w:t xml:space="preserve">and </w:t>
      </w:r>
      <w:r w:rsidR="00036078" w:rsidRPr="006564AD">
        <w:t xml:space="preserve">advice on annual reporting. I </w:t>
      </w:r>
      <w:r w:rsidR="00036078">
        <w:t xml:space="preserve">work with </w:t>
      </w:r>
      <w:r w:rsidR="00A6260F">
        <w:t xml:space="preserve">my </w:t>
      </w:r>
      <w:r w:rsidR="00036078" w:rsidRPr="006564AD">
        <w:t xml:space="preserve">Ombudsman colleagues in ways that </w:t>
      </w:r>
      <w:r w:rsidR="00036078">
        <w:t>are</w:t>
      </w:r>
      <w:r w:rsidR="00036078" w:rsidRPr="006564AD">
        <w:t xml:space="preserve"> most useful to them to help with their own goals and initiatives</w:t>
      </w:r>
      <w:r>
        <w:t>, as well as to</w:t>
      </w:r>
      <w:r w:rsidR="00036078">
        <w:t xml:space="preserve"> learn from their </w:t>
      </w:r>
      <w:r w:rsidR="00A6260F">
        <w:t xml:space="preserve">own </w:t>
      </w:r>
      <w:r w:rsidR="00036078">
        <w:t>practices</w:t>
      </w:r>
      <w:r w:rsidR="00036078" w:rsidRPr="006564AD">
        <w:t xml:space="preserve">. </w:t>
      </w:r>
    </w:p>
    <w:p w14:paraId="7D77A58D" w14:textId="77777777" w:rsidR="00036078" w:rsidRPr="006564AD" w:rsidRDefault="00A6260F" w:rsidP="00036078">
      <w:pPr>
        <w:pStyle w:val="Heading2"/>
        <w:numPr>
          <w:ilvl w:val="1"/>
          <w:numId w:val="0"/>
        </w:numPr>
        <w:pBdr>
          <w:bottom w:val="none" w:sz="0" w:space="0" w:color="auto"/>
        </w:pBdr>
        <w:spacing w:before="360" w:line="240" w:lineRule="auto"/>
      </w:pPr>
      <w:r>
        <w:t>Visits and d</w:t>
      </w:r>
      <w:r w:rsidR="00036078" w:rsidRPr="006564AD">
        <w:t>elegations</w:t>
      </w:r>
    </w:p>
    <w:p w14:paraId="7217157F" w14:textId="77777777" w:rsidR="00036078" w:rsidRDefault="0060563C" w:rsidP="00036078">
      <w:pPr>
        <w:pStyle w:val="BodyText"/>
      </w:pPr>
      <w:r>
        <w:t xml:space="preserve">In </w:t>
      </w:r>
      <w:r w:rsidR="00036078">
        <w:t>November 2019</w:t>
      </w:r>
      <w:r>
        <w:t>,</w:t>
      </w:r>
      <w:r w:rsidR="00036078">
        <w:t xml:space="preserve"> I hosted </w:t>
      </w:r>
      <w:r w:rsidR="00036078" w:rsidRPr="006564AD">
        <w:t>Vanuatu</w:t>
      </w:r>
      <w:r w:rsidR="00036078">
        <w:t>’</w:t>
      </w:r>
      <w:r w:rsidR="00036078" w:rsidRPr="006564AD">
        <w:t xml:space="preserve">s sixth Ombudsman, Hamlison Bulu, </w:t>
      </w:r>
      <w:r w:rsidR="00036078">
        <w:t>for a week long tailored programme covering the Ombudsman’s role and functions</w:t>
      </w:r>
      <w:r w:rsidR="00036078" w:rsidRPr="006564AD">
        <w:t xml:space="preserve"> as a part of his professional development</w:t>
      </w:r>
      <w:r w:rsidR="00036078">
        <w:t xml:space="preserve"> as a new Ombudsman</w:t>
      </w:r>
      <w:r w:rsidR="00036078" w:rsidRPr="006564AD">
        <w:t xml:space="preserve">. </w:t>
      </w:r>
    </w:p>
    <w:p w14:paraId="7AA08BF7" w14:textId="77777777" w:rsidR="00036078" w:rsidRPr="006564AD" w:rsidRDefault="00036078" w:rsidP="00036078">
      <w:pPr>
        <w:pStyle w:val="BodyText"/>
      </w:pPr>
      <w:r>
        <w:t xml:space="preserve">After expressing an interest in wanting to familiarise himself with </w:t>
      </w:r>
      <w:r w:rsidR="0060563C">
        <w:t>my</w:t>
      </w:r>
      <w:r>
        <w:t xml:space="preserve"> systems</w:t>
      </w:r>
      <w:r w:rsidR="0060563C">
        <w:t>,</w:t>
      </w:r>
      <w:r>
        <w:t xml:space="preserve"> I invited Sri Lankan Ombudsman, Justice Kankani Tantri Chitrasiri</w:t>
      </w:r>
      <w:r w:rsidR="0060563C">
        <w:t>,</w:t>
      </w:r>
      <w:r>
        <w:t xml:space="preserve"> to spend time in </w:t>
      </w:r>
      <w:r w:rsidR="0060563C">
        <w:t>my</w:t>
      </w:r>
      <w:r>
        <w:t xml:space="preserve"> Wellington and Auckland offices </w:t>
      </w:r>
      <w:r w:rsidR="0060563C">
        <w:t>during</w:t>
      </w:r>
      <w:r>
        <w:t xml:space="preserve"> November 2019. This provided </w:t>
      </w:r>
      <w:r w:rsidR="0060563C">
        <w:t>Justice Chitrasiri</w:t>
      </w:r>
      <w:r>
        <w:t xml:space="preserve"> the opportunity to extend his knowledge of the functions and monitoring mechanisms of the New Zealand Ombudsman.</w:t>
      </w:r>
    </w:p>
    <w:p w14:paraId="7C26730B" w14:textId="6B913277" w:rsidR="00036078" w:rsidRDefault="00036078" w:rsidP="00BC2467">
      <w:pPr>
        <w:pStyle w:val="BodyText"/>
      </w:pPr>
      <w:r w:rsidRPr="006564AD">
        <w:t>The Pacific Regional Conference on Anti-Corruption was held in Tarawa, K</w:t>
      </w:r>
      <w:r w:rsidR="00807855">
        <w:t>i</w:t>
      </w:r>
      <w:r w:rsidRPr="006564AD">
        <w:t xml:space="preserve">ribati on 3-5 February 2020. I was represented within the </w:t>
      </w:r>
      <w:r>
        <w:t>New Zealand</w:t>
      </w:r>
      <w:r w:rsidRPr="006564AD">
        <w:t xml:space="preserve"> delegation. The Conference</w:t>
      </w:r>
      <w:r>
        <w:t>’</w:t>
      </w:r>
      <w:r w:rsidRPr="006564AD">
        <w:t xml:space="preserve">s theme was </w:t>
      </w:r>
      <w:r w:rsidRPr="004F6183">
        <w:rPr>
          <w:rStyle w:val="Italics"/>
        </w:rPr>
        <w:t>‘Pacific Unity Against Corruption’</w:t>
      </w:r>
      <w:r w:rsidRPr="006564AD">
        <w:t xml:space="preserve">. </w:t>
      </w:r>
    </w:p>
    <w:p w14:paraId="6A1877FC" w14:textId="77777777" w:rsidR="00036078" w:rsidRDefault="00036078" w:rsidP="00036078">
      <w:pPr>
        <w:pStyle w:val="BodyText"/>
      </w:pPr>
      <w:r w:rsidRPr="006564AD">
        <w:t xml:space="preserve">In February 2020, I attended a ceremony in Bangkok to sign a memorandum of understanding (MOU) with </w:t>
      </w:r>
      <w:r w:rsidR="006477DE">
        <w:t xml:space="preserve">the Thai </w:t>
      </w:r>
      <w:r w:rsidRPr="006564AD">
        <w:t xml:space="preserve">Ombudsman General Viddhavat Rajatanun. The MOU sets out how we will work together for </w:t>
      </w:r>
      <w:r w:rsidR="005C57A4">
        <w:t xml:space="preserve">promoting </w:t>
      </w:r>
      <w:r w:rsidRPr="006564AD">
        <w:t>good governance, integrity, and human rights across the Asia and Pacific regions.</w:t>
      </w:r>
    </w:p>
    <w:p w14:paraId="47BFFCA7" w14:textId="77777777" w:rsidR="00CA66EA" w:rsidRPr="006564AD" w:rsidRDefault="00A6260F" w:rsidP="00036078">
      <w:pPr>
        <w:pStyle w:val="BodyText"/>
      </w:pPr>
      <w:r>
        <w:t xml:space="preserve">During 2019/20 I also hosted </w:t>
      </w:r>
      <w:r w:rsidR="00CA66EA">
        <w:t xml:space="preserve">delegations </w:t>
      </w:r>
      <w:r>
        <w:t>from the</w:t>
      </w:r>
      <w:r w:rsidR="00CA66EA">
        <w:t xml:space="preserve"> </w:t>
      </w:r>
      <w:r w:rsidR="00CA66EA" w:rsidRPr="00CA66EA">
        <w:t>Office of the Ombudsman Thailand, Ministry of the Interior and Safety of South Korea, Ministry of Justice of Tuvalu and Tonga, Ministry of Social Welfare Resettlement and Rehabilitation of Myanmar, Joint Committee of the Australian Commission for Law Enforcement and Integrity of Australia, and Aarhus Convention Compliance Committee from the United Nations.</w:t>
      </w:r>
    </w:p>
    <w:p w14:paraId="2B4C610B" w14:textId="054D3B56" w:rsidR="00036078" w:rsidRPr="006564AD" w:rsidRDefault="00866727" w:rsidP="00036078">
      <w:pPr>
        <w:pStyle w:val="Heading2"/>
        <w:numPr>
          <w:ilvl w:val="1"/>
          <w:numId w:val="0"/>
        </w:numPr>
        <w:pBdr>
          <w:bottom w:val="none" w:sz="0" w:space="0" w:color="auto"/>
        </w:pBdr>
        <w:spacing w:before="360" w:line="240" w:lineRule="auto"/>
      </w:pPr>
      <w:r>
        <w:br w:type="column"/>
      </w:r>
      <w:r w:rsidR="00036078" w:rsidRPr="006564AD">
        <w:t>Networks</w:t>
      </w:r>
    </w:p>
    <w:p w14:paraId="2C33BCB0" w14:textId="77777777" w:rsidR="00036078" w:rsidRPr="006564AD" w:rsidRDefault="00036078" w:rsidP="00036078">
      <w:pPr>
        <w:pStyle w:val="BodyText"/>
      </w:pPr>
      <w:r w:rsidRPr="006564AD">
        <w:t>I maintained awareness of international development initiatives through membership of:</w:t>
      </w:r>
    </w:p>
    <w:p w14:paraId="57DA6FAC" w14:textId="77777777" w:rsidR="00036078" w:rsidRPr="006564AD" w:rsidRDefault="00036078" w:rsidP="00036078">
      <w:pPr>
        <w:pStyle w:val="Bullet1"/>
        <w:spacing w:line="259" w:lineRule="auto"/>
      </w:pPr>
      <w:r w:rsidRPr="006564AD">
        <w:t>IOI and APOR;</w:t>
      </w:r>
    </w:p>
    <w:p w14:paraId="71FAFB1D" w14:textId="77777777" w:rsidR="00036078" w:rsidRPr="006564AD" w:rsidRDefault="00036078" w:rsidP="00036078">
      <w:pPr>
        <w:pStyle w:val="Bullet1"/>
        <w:spacing w:line="259" w:lineRule="auto"/>
      </w:pPr>
      <w:r w:rsidRPr="006564AD">
        <w:t xml:space="preserve">Australia and </w:t>
      </w:r>
      <w:r>
        <w:t>New Zealand</w:t>
      </w:r>
      <w:r w:rsidRPr="006564AD">
        <w:t xml:space="preserve"> Ombudsman Association (ANZOA);</w:t>
      </w:r>
    </w:p>
    <w:p w14:paraId="44807B60" w14:textId="77777777" w:rsidR="00036078" w:rsidRPr="006564AD" w:rsidRDefault="00036078" w:rsidP="00036078">
      <w:pPr>
        <w:pStyle w:val="Bullet1"/>
        <w:spacing w:line="259" w:lineRule="auto"/>
      </w:pPr>
      <w:r w:rsidRPr="006564AD">
        <w:t xml:space="preserve">Association of Australasian Information Access Commissioners (AIAC); and </w:t>
      </w:r>
    </w:p>
    <w:p w14:paraId="1009E4D3" w14:textId="77777777" w:rsidR="00036078" w:rsidRPr="006564AD" w:rsidRDefault="00036078" w:rsidP="00036078">
      <w:pPr>
        <w:pStyle w:val="Bullet1"/>
        <w:spacing w:line="259" w:lineRule="auto"/>
      </w:pPr>
      <w:r w:rsidRPr="006564AD">
        <w:t xml:space="preserve">Australasian </w:t>
      </w:r>
      <w:r w:rsidR="005C57A4">
        <w:t xml:space="preserve">Parliamentary Ombudsman and </w:t>
      </w:r>
      <w:r w:rsidRPr="006564AD">
        <w:t>Deputy Ombudsman Network.</w:t>
      </w:r>
    </w:p>
    <w:p w14:paraId="669C290C" w14:textId="77777777" w:rsidR="00036078" w:rsidRPr="006564AD" w:rsidRDefault="00036078" w:rsidP="00036078">
      <w:pPr>
        <w:pStyle w:val="BodyText"/>
      </w:pPr>
      <w:r w:rsidRPr="006564AD">
        <w:t xml:space="preserve">As a result of this membership, I: </w:t>
      </w:r>
    </w:p>
    <w:p w14:paraId="0FDFAC9F" w14:textId="77777777" w:rsidR="005C57A4" w:rsidRDefault="00036078" w:rsidP="00036078">
      <w:pPr>
        <w:pStyle w:val="Bullet1"/>
        <w:spacing w:line="259" w:lineRule="auto"/>
      </w:pPr>
      <w:r>
        <w:t>attended the 31</w:t>
      </w:r>
      <w:r w:rsidRPr="00224548">
        <w:rPr>
          <w:vertAlign w:val="superscript"/>
        </w:rPr>
        <w:t>st</w:t>
      </w:r>
      <w:r>
        <w:t xml:space="preserve"> APOR Conference, ‘</w:t>
      </w:r>
      <w:r w:rsidRPr="00D265BE">
        <w:rPr>
          <w:rStyle w:val="Italics"/>
        </w:rPr>
        <w:t>The Ombudsman’s Role in Human Rights Protection</w:t>
      </w:r>
      <w:r>
        <w:t>’ hosted by the Control Yuan between 25-27 September 2019 in Taipei, Taiwan</w:t>
      </w:r>
      <w:r w:rsidRPr="006564AD">
        <w:t>;</w:t>
      </w:r>
      <w:r w:rsidR="00DF36EA">
        <w:t xml:space="preserve"> </w:t>
      </w:r>
    </w:p>
    <w:p w14:paraId="12EDFB86" w14:textId="77777777" w:rsidR="00036078" w:rsidRPr="006564AD" w:rsidRDefault="005C57A4" w:rsidP="00036078">
      <w:pPr>
        <w:pStyle w:val="Bullet1"/>
        <w:spacing w:line="259" w:lineRule="auto"/>
      </w:pPr>
      <w:r>
        <w:t xml:space="preserve">attended ANZOA, AIAC and Australasian Parliamentary Ombudsman meetings and forums; </w:t>
      </w:r>
      <w:r w:rsidR="00DF36EA">
        <w:t>and</w:t>
      </w:r>
    </w:p>
    <w:p w14:paraId="4ED6FA27" w14:textId="1D3AF0C3" w:rsidR="00036078" w:rsidRDefault="00036078" w:rsidP="00B05DDA">
      <w:pPr>
        <w:pStyle w:val="Bullet1"/>
        <w:spacing w:line="259" w:lineRule="auto"/>
      </w:pPr>
      <w:r w:rsidRPr="006564AD">
        <w:t xml:space="preserve">published </w:t>
      </w:r>
      <w:r w:rsidR="0060563C">
        <w:t>a</w:t>
      </w:r>
      <w:r w:rsidRPr="006564AD">
        <w:t xml:space="preserve"> 6-monthly newsletter, </w:t>
      </w:r>
      <w:r w:rsidRPr="003C6657">
        <w:rPr>
          <w:rStyle w:val="Italics"/>
        </w:rPr>
        <w:t>Waka</w:t>
      </w:r>
      <w:r w:rsidR="00807855" w:rsidRPr="003C6657">
        <w:rPr>
          <w:rStyle w:val="Italics"/>
        </w:rPr>
        <w:t>t</w:t>
      </w:r>
      <w:r w:rsidRPr="003C6657">
        <w:rPr>
          <w:rStyle w:val="Italics"/>
        </w:rPr>
        <w:t>angata</w:t>
      </w:r>
      <w:r w:rsidRPr="006564AD">
        <w:t>, focussing on issues in Australasia and the Pacific</w:t>
      </w:r>
      <w:r w:rsidR="006477DE">
        <w:t>.</w:t>
      </w:r>
    </w:p>
    <w:p w14:paraId="28478608" w14:textId="58C55CF3" w:rsidR="00D273BD" w:rsidRDefault="005B795D" w:rsidP="00D273BD">
      <w:pPr>
        <w:pStyle w:val="BodyText"/>
      </w:pPr>
      <w:hyperlink w:anchor="Contents" w:history="1">
        <w:r w:rsidR="00D273BD" w:rsidRPr="00F5248A">
          <w:rPr>
            <w:rStyle w:val="Hyperlink"/>
          </w:rPr>
          <w:t>Back to contents</w:t>
        </w:r>
      </w:hyperlink>
    </w:p>
    <w:p w14:paraId="5AEDAEE8" w14:textId="77777777" w:rsidR="00CE5E04" w:rsidRDefault="00CE5E04">
      <w:pPr>
        <w:spacing w:line="276" w:lineRule="auto"/>
      </w:pPr>
      <w:bookmarkStart w:id="90" w:name="_Protected_Disclosures_1"/>
      <w:bookmarkEnd w:id="90"/>
      <w:r>
        <w:br w:type="page"/>
      </w:r>
    </w:p>
    <w:bookmarkStart w:id="91" w:name="_United_Nations_Optional_1"/>
    <w:bookmarkStart w:id="92" w:name="_United_Nations_Convention_1"/>
    <w:bookmarkStart w:id="93" w:name="_Advice,_guidance_and_1"/>
    <w:bookmarkStart w:id="94" w:name="_Ref336348618"/>
    <w:bookmarkEnd w:id="91"/>
    <w:bookmarkEnd w:id="92"/>
    <w:bookmarkEnd w:id="93"/>
    <w:p w14:paraId="6B5BD77D" w14:textId="77777777" w:rsidR="00CE5E04" w:rsidRPr="00B36520" w:rsidRDefault="00CE5E04" w:rsidP="00CE5E04">
      <w:pPr>
        <w:pStyle w:val="HeadingPart"/>
      </w:pPr>
      <w:r>
        <w:rPr>
          <w:noProof/>
          <w:lang w:eastAsia="en-NZ"/>
        </w:rPr>
        <mc:AlternateContent>
          <mc:Choice Requires="wps">
            <w:drawing>
              <wp:anchor distT="0" distB="0" distL="114300" distR="114300" simplePos="0" relativeHeight="251665408" behindDoc="0" locked="0" layoutInCell="1" allowOverlap="1" wp14:anchorId="350A5478" wp14:editId="685745CD">
                <wp:simplePos x="0" y="0"/>
                <wp:positionH relativeFrom="page">
                  <wp:posOffset>5742432</wp:posOffset>
                </wp:positionH>
                <wp:positionV relativeFrom="page">
                  <wp:posOffset>1484986</wp:posOffset>
                </wp:positionV>
                <wp:extent cx="1189990" cy="1909267"/>
                <wp:effectExtent l="0" t="0" r="0" b="0"/>
                <wp:wrapNone/>
                <wp:docPr id="12" name="Text Box 9" title="Illustrative element - the numbe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909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A46AC" w14:textId="77777777" w:rsidR="0099164B" w:rsidRPr="00C95275" w:rsidRDefault="0099164B" w:rsidP="00CE5E04">
                            <w:pPr>
                              <w:spacing w:after="0"/>
                              <w:jc w:val="right"/>
                              <w:rPr>
                                <w:rFonts w:ascii="Lucida Sans" w:hAnsi="Lucida Sans" w:cs="Lucida Sans"/>
                                <w:color w:val="2BB673"/>
                                <w:sz w:val="280"/>
                                <w:szCs w:val="280"/>
                              </w:rPr>
                            </w:pPr>
                            <w:r>
                              <w:rPr>
                                <w:rFonts w:ascii="Lucida Sans" w:hAnsi="Lucida Sans" w:cs="Lucida Sans"/>
                                <w:color w:val="2BB673"/>
                                <w:sz w:val="280"/>
                                <w:szCs w:val="280"/>
                              </w:rPr>
                              <w:t>5</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A5478" id="Text Box 9" o:spid="_x0000_s1030" type="#_x0000_t202" alt="Title: Illustrative element - the number '5'" style="position:absolute;margin-left:452.15pt;margin-top:116.95pt;width:93.7pt;height:15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" filled="f" stroked="f">
                <v:textbox>
                  <w:txbxContent>
                    <w:p w14:paraId="4F5A46AC" w14:textId="77777777" w:rsidR="0099164B" w:rsidRPr="00C95275" w:rsidRDefault="0099164B" w:rsidP="00CE5E04">
                      <w:pPr>
                        <w:spacing w:after="0"/>
                        <w:jc w:val="right"/>
                        <w:rPr>
                          <w:rFonts w:ascii="Lucida Sans" w:hAnsi="Lucida Sans" w:cs="Lucida Sans"/>
                          <w:color w:val="2BB673"/>
                          <w:sz w:val="280"/>
                          <w:szCs w:val="280"/>
                        </w:rPr>
                      </w:pPr>
                      <w:r>
                        <w:rPr>
                          <w:rFonts w:ascii="Lucida Sans" w:hAnsi="Lucida Sans" w:cs="Lucida Sans"/>
                          <w:color w:val="2BB673"/>
                          <w:sz w:val="280"/>
                          <w:szCs w:val="280"/>
                        </w:rPr>
                        <w:t>5</w:t>
                      </w:r>
                    </w:p>
                  </w:txbxContent>
                </v:textbox>
                <w10:wrap anchorx="page" anchory="page"/>
              </v:shape>
            </w:pict>
          </mc:Fallback>
        </mc:AlternateContent>
      </w:r>
    </w:p>
    <w:p w14:paraId="3D66D51D" w14:textId="77777777" w:rsidR="00CE5E04" w:rsidRDefault="00CE5E04" w:rsidP="00CE5E04">
      <w:pPr>
        <w:pStyle w:val="Heading1"/>
        <w:pageBreakBefore w:val="0"/>
        <w:tabs>
          <w:tab w:val="right" w:pos="9014"/>
        </w:tabs>
        <w:spacing w:after="1680"/>
      </w:pPr>
      <w:bookmarkStart w:id="95" w:name="_Organisational_health_and"/>
      <w:bookmarkStart w:id="96" w:name="_Ref336348663"/>
      <w:bookmarkEnd w:id="95"/>
      <w:r w:rsidRPr="004630CE">
        <w:t>Organisational health and capability</w:t>
      </w:r>
      <w:bookmarkEnd w:id="96"/>
      <w:r>
        <w:tab/>
      </w:r>
    </w:p>
    <w:tbl>
      <w:tblPr>
        <w:tblStyle w:val="TableGridAnnualReport"/>
        <w:tblW w:w="9278" w:type="dxa"/>
        <w:tblInd w:w="10" w:type="dxa"/>
        <w:tblBorders>
          <w:left w:val="single" w:sz="8" w:space="0" w:color="FFFFFF" w:themeColor="background1"/>
          <w:bottom w:val="single" w:sz="8" w:space="0" w:color="auto"/>
          <w:right w:val="single" w:sz="8" w:space="0" w:color="FFFFFF" w:themeColor="background1"/>
          <w:insideH w:val="single" w:sz="8" w:space="0" w:color="auto"/>
          <w:insideV w:val="single" w:sz="8" w:space="0" w:color="FFFFFF" w:themeColor="background1"/>
        </w:tblBorders>
        <w:shd w:val="clear" w:color="000000" w:fill="auto"/>
        <w:tblLook w:val="04A0" w:firstRow="1" w:lastRow="0" w:firstColumn="1" w:lastColumn="0" w:noHBand="0" w:noVBand="1"/>
        <w:tblCaption w:val="Contents Section 5"/>
      </w:tblPr>
      <w:tblGrid>
        <w:gridCol w:w="8208"/>
        <w:gridCol w:w="1070"/>
      </w:tblGrid>
      <w:tr w:rsidR="002B6A66" w:rsidRPr="00436994" w14:paraId="4C913A80" w14:textId="77777777" w:rsidTr="00815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bookmarkEnd w:id="94"/>
          <w:p w14:paraId="2D0A995F" w14:textId="268BADB8" w:rsidR="002B6A66" w:rsidRDefault="002B6A66" w:rsidP="0081525B">
            <w:pPr>
              <w:spacing w:before="120" w:after="120" w:line="276" w:lineRule="auto"/>
            </w:pPr>
            <w:r>
              <w:fldChar w:fldCharType="begin"/>
            </w:r>
            <w:r>
              <w:instrText xml:space="preserve"> HYPERLINK \l "_Financial_and_asset" </w:instrText>
            </w:r>
            <w:r>
              <w:fldChar w:fldCharType="separate"/>
            </w:r>
            <w:r w:rsidRPr="000F6B04">
              <w:rPr>
                <w:rStyle w:val="Hyperlink"/>
              </w:rPr>
              <w:t>Financial and asset management</w:t>
            </w:r>
            <w:r>
              <w:rPr>
                <w:rStyle w:val="Hyperlink"/>
              </w:rPr>
              <w:fldChar w:fldCharType="end"/>
            </w:r>
          </w:p>
        </w:tc>
        <w:tc>
          <w:tcPr>
            <w:tcW w:w="1070" w:type="dxa"/>
            <w:tcBorders>
              <w:left w:val="single" w:sz="8" w:space="0" w:color="FFFFFF"/>
            </w:tcBorders>
            <w:shd w:val="clear" w:color="000000" w:fill="auto"/>
            <w:vAlign w:val="center"/>
          </w:tcPr>
          <w:p w14:paraId="0AAA9134" w14:textId="6E1CBDED" w:rsidR="002B6A66" w:rsidRPr="00436994" w:rsidRDefault="00436994" w:rsidP="002B6A66">
            <w:pPr>
              <w:spacing w:before="120" w:after="120" w:line="276" w:lineRule="auto"/>
              <w:jc w:val="right"/>
              <w:cnfStyle w:val="100000000000" w:firstRow="1" w:lastRow="0" w:firstColumn="0" w:lastColumn="0" w:oddVBand="0" w:evenVBand="0" w:oddHBand="0" w:evenHBand="0" w:firstRowFirstColumn="0" w:firstRowLastColumn="0" w:lastRowFirstColumn="0" w:lastRowLastColumn="0"/>
              <w:rPr>
                <w:sz w:val="25"/>
                <w:szCs w:val="25"/>
              </w:rPr>
            </w:pPr>
            <w:r w:rsidRPr="00436994">
              <w:rPr>
                <w:sz w:val="25"/>
                <w:szCs w:val="25"/>
              </w:rPr>
              <w:fldChar w:fldCharType="begin"/>
            </w:r>
            <w:r w:rsidRPr="00436994">
              <w:rPr>
                <w:sz w:val="25"/>
                <w:szCs w:val="25"/>
              </w:rPr>
              <w:instrText xml:space="preserve"> PAGEREF _Ref336351882 \h </w:instrText>
            </w:r>
            <w:r w:rsidRPr="00436994">
              <w:rPr>
                <w:sz w:val="25"/>
                <w:szCs w:val="25"/>
              </w:rPr>
            </w:r>
            <w:r w:rsidRPr="00436994">
              <w:rPr>
                <w:sz w:val="25"/>
                <w:szCs w:val="25"/>
              </w:rPr>
              <w:fldChar w:fldCharType="separate"/>
            </w:r>
            <w:r w:rsidR="00E36674">
              <w:rPr>
                <w:noProof/>
                <w:sz w:val="25"/>
                <w:szCs w:val="25"/>
              </w:rPr>
              <w:t>62</w:t>
            </w:r>
            <w:r w:rsidRPr="00436994">
              <w:rPr>
                <w:sz w:val="25"/>
                <w:szCs w:val="25"/>
              </w:rPr>
              <w:fldChar w:fldCharType="end"/>
            </w:r>
          </w:p>
        </w:tc>
      </w:tr>
      <w:tr w:rsidR="002B6A66" w:rsidRPr="00436994" w14:paraId="7F95CD77" w14:textId="77777777" w:rsidTr="0081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7A7E2CB1" w14:textId="5FAF15B2" w:rsidR="002B6A66" w:rsidRPr="005107B4" w:rsidRDefault="005B795D" w:rsidP="0081525B">
            <w:pPr>
              <w:spacing w:before="120" w:after="120" w:line="276" w:lineRule="auto"/>
              <w:rPr>
                <w:sz w:val="25"/>
                <w:szCs w:val="25"/>
              </w:rPr>
            </w:pPr>
            <w:hyperlink w:anchor="_My_staff" w:history="1">
              <w:r w:rsidR="00436994">
                <w:rPr>
                  <w:rStyle w:val="Hyperlink"/>
                </w:rPr>
                <w:t>My staff</w:t>
              </w:r>
            </w:hyperlink>
          </w:p>
        </w:tc>
        <w:tc>
          <w:tcPr>
            <w:tcW w:w="1070" w:type="dxa"/>
            <w:tcBorders>
              <w:top w:val="nil"/>
              <w:left w:val="single" w:sz="8" w:space="0" w:color="FFFFFF"/>
            </w:tcBorders>
            <w:shd w:val="clear" w:color="000000" w:fill="auto"/>
            <w:vAlign w:val="center"/>
          </w:tcPr>
          <w:p w14:paraId="55858D97" w14:textId="679FABC5" w:rsidR="002B6A66" w:rsidRPr="00436994" w:rsidRDefault="0029156E" w:rsidP="0081525B">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Pr>
                <w:sz w:val="25"/>
                <w:szCs w:val="25"/>
              </w:rPr>
              <w:fldChar w:fldCharType="begin"/>
            </w:r>
            <w:r>
              <w:rPr>
                <w:sz w:val="25"/>
                <w:szCs w:val="25"/>
              </w:rPr>
              <w:instrText xml:space="preserve"> PAGEREF _Ref55817291 \h </w:instrText>
            </w:r>
            <w:r>
              <w:rPr>
                <w:sz w:val="25"/>
                <w:szCs w:val="25"/>
              </w:rPr>
            </w:r>
            <w:r>
              <w:rPr>
                <w:sz w:val="25"/>
                <w:szCs w:val="25"/>
              </w:rPr>
              <w:fldChar w:fldCharType="separate"/>
            </w:r>
            <w:r w:rsidR="00E36674">
              <w:rPr>
                <w:noProof/>
                <w:sz w:val="25"/>
                <w:szCs w:val="25"/>
              </w:rPr>
              <w:t>63</w:t>
            </w:r>
            <w:r>
              <w:rPr>
                <w:sz w:val="25"/>
                <w:szCs w:val="25"/>
              </w:rPr>
              <w:fldChar w:fldCharType="end"/>
            </w:r>
          </w:p>
        </w:tc>
      </w:tr>
      <w:tr w:rsidR="002B6A66" w:rsidRPr="00436994" w14:paraId="2AC45392" w14:textId="77777777" w:rsidTr="008152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30F858D9" w14:textId="738D963B" w:rsidR="002B6A66" w:rsidRDefault="005B795D" w:rsidP="0081525B">
            <w:pPr>
              <w:spacing w:before="120" w:after="120" w:line="276" w:lineRule="auto"/>
            </w:pPr>
            <w:hyperlink w:anchor="_People_performance_and" w:history="1">
              <w:r w:rsidR="002B6A66" w:rsidRPr="000F6B04">
                <w:rPr>
                  <w:rStyle w:val="Hyperlink"/>
                </w:rPr>
                <w:t>People performance and capability</w:t>
              </w:r>
            </w:hyperlink>
          </w:p>
        </w:tc>
        <w:tc>
          <w:tcPr>
            <w:tcW w:w="1070" w:type="dxa"/>
            <w:tcBorders>
              <w:left w:val="single" w:sz="8" w:space="0" w:color="FFFFFF"/>
            </w:tcBorders>
            <w:shd w:val="clear" w:color="000000" w:fill="auto"/>
            <w:vAlign w:val="center"/>
          </w:tcPr>
          <w:p w14:paraId="4275582B" w14:textId="594F1DC2" w:rsidR="002B6A66" w:rsidRPr="00436994" w:rsidRDefault="00436994" w:rsidP="002B6A66">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sidRPr="00436994">
              <w:rPr>
                <w:sz w:val="25"/>
                <w:szCs w:val="25"/>
              </w:rPr>
              <w:fldChar w:fldCharType="begin"/>
            </w:r>
            <w:r w:rsidRPr="00436994">
              <w:rPr>
                <w:sz w:val="25"/>
                <w:szCs w:val="25"/>
              </w:rPr>
              <w:instrText xml:space="preserve"> PAGEREF _Ref54702662 \h </w:instrText>
            </w:r>
            <w:r w:rsidRPr="00436994">
              <w:rPr>
                <w:sz w:val="25"/>
                <w:szCs w:val="25"/>
              </w:rPr>
            </w:r>
            <w:r w:rsidRPr="00436994">
              <w:rPr>
                <w:sz w:val="25"/>
                <w:szCs w:val="25"/>
              </w:rPr>
              <w:fldChar w:fldCharType="separate"/>
            </w:r>
            <w:r w:rsidR="00E36674">
              <w:rPr>
                <w:noProof/>
                <w:sz w:val="25"/>
                <w:szCs w:val="25"/>
              </w:rPr>
              <w:t>64</w:t>
            </w:r>
            <w:r w:rsidRPr="00436994">
              <w:rPr>
                <w:sz w:val="25"/>
                <w:szCs w:val="25"/>
              </w:rPr>
              <w:fldChar w:fldCharType="end"/>
            </w:r>
          </w:p>
        </w:tc>
      </w:tr>
      <w:tr w:rsidR="002B6A66" w:rsidRPr="00436994" w14:paraId="6810187F" w14:textId="77777777" w:rsidTr="0081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48C6DBBC" w14:textId="4B35941C" w:rsidR="002B6A66" w:rsidRPr="005107B4" w:rsidRDefault="005B795D" w:rsidP="0081525B">
            <w:pPr>
              <w:spacing w:before="120" w:after="120" w:line="276" w:lineRule="auto"/>
              <w:rPr>
                <w:sz w:val="25"/>
                <w:szCs w:val="25"/>
              </w:rPr>
            </w:pPr>
            <w:hyperlink w:anchor="_Information_management" w:history="1">
              <w:r w:rsidR="002B6A66" w:rsidRPr="000F6B04">
                <w:rPr>
                  <w:rStyle w:val="Hyperlink"/>
                </w:rPr>
                <w:t>Information management</w:t>
              </w:r>
            </w:hyperlink>
          </w:p>
        </w:tc>
        <w:tc>
          <w:tcPr>
            <w:tcW w:w="1070" w:type="dxa"/>
            <w:tcBorders>
              <w:left w:val="single" w:sz="8" w:space="0" w:color="FFFFFF"/>
            </w:tcBorders>
            <w:shd w:val="clear" w:color="000000" w:fill="auto"/>
            <w:vAlign w:val="center"/>
          </w:tcPr>
          <w:p w14:paraId="0FE89105" w14:textId="01E5778A" w:rsidR="002B6A66" w:rsidRPr="00436994" w:rsidRDefault="00436994" w:rsidP="0081525B">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sidRPr="00436994">
              <w:rPr>
                <w:sz w:val="25"/>
                <w:szCs w:val="25"/>
              </w:rPr>
              <w:fldChar w:fldCharType="begin"/>
            </w:r>
            <w:r w:rsidRPr="00436994">
              <w:rPr>
                <w:sz w:val="25"/>
                <w:szCs w:val="25"/>
              </w:rPr>
              <w:instrText xml:space="preserve"> PAGEREF _Ref336351890 \h </w:instrText>
            </w:r>
            <w:r w:rsidRPr="00436994">
              <w:rPr>
                <w:sz w:val="25"/>
                <w:szCs w:val="25"/>
              </w:rPr>
            </w:r>
            <w:r w:rsidRPr="00436994">
              <w:rPr>
                <w:sz w:val="25"/>
                <w:szCs w:val="25"/>
              </w:rPr>
              <w:fldChar w:fldCharType="separate"/>
            </w:r>
            <w:r w:rsidR="00E36674">
              <w:rPr>
                <w:noProof/>
                <w:sz w:val="25"/>
                <w:szCs w:val="25"/>
              </w:rPr>
              <w:t>65</w:t>
            </w:r>
            <w:r w:rsidRPr="00436994">
              <w:rPr>
                <w:sz w:val="25"/>
                <w:szCs w:val="25"/>
              </w:rPr>
              <w:fldChar w:fldCharType="end"/>
            </w:r>
          </w:p>
        </w:tc>
      </w:tr>
      <w:tr w:rsidR="002B6A66" w:rsidRPr="00436994" w14:paraId="4288DFFA" w14:textId="77777777" w:rsidTr="008152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4C88BC5E" w14:textId="5B279185" w:rsidR="002B6A66" w:rsidRPr="005107B4" w:rsidRDefault="005B795D" w:rsidP="0081525B">
            <w:pPr>
              <w:spacing w:before="120" w:after="120" w:line="276" w:lineRule="auto"/>
              <w:rPr>
                <w:sz w:val="25"/>
                <w:szCs w:val="25"/>
              </w:rPr>
            </w:pPr>
            <w:hyperlink w:anchor="_Risk_management" w:history="1">
              <w:r w:rsidR="002B6A66" w:rsidRPr="000F6B04">
                <w:rPr>
                  <w:rStyle w:val="Hyperlink"/>
                </w:rPr>
                <w:t>Risk management</w:t>
              </w:r>
            </w:hyperlink>
          </w:p>
        </w:tc>
        <w:tc>
          <w:tcPr>
            <w:tcW w:w="1070" w:type="dxa"/>
            <w:tcBorders>
              <w:left w:val="single" w:sz="8" w:space="0" w:color="FFFFFF"/>
            </w:tcBorders>
            <w:shd w:val="clear" w:color="000000" w:fill="auto"/>
            <w:vAlign w:val="center"/>
          </w:tcPr>
          <w:p w14:paraId="34AF4222" w14:textId="4A3C8E8B" w:rsidR="002B6A66" w:rsidRPr="00436994" w:rsidRDefault="00436994" w:rsidP="0081525B">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sidRPr="00436994">
              <w:rPr>
                <w:sz w:val="25"/>
                <w:szCs w:val="25"/>
              </w:rPr>
              <w:fldChar w:fldCharType="begin"/>
            </w:r>
            <w:r w:rsidRPr="00436994">
              <w:rPr>
                <w:sz w:val="25"/>
                <w:szCs w:val="25"/>
              </w:rPr>
              <w:instrText xml:space="preserve"> PAGEREF _Ref54702657 \h </w:instrText>
            </w:r>
            <w:r w:rsidRPr="00436994">
              <w:rPr>
                <w:sz w:val="25"/>
                <w:szCs w:val="25"/>
              </w:rPr>
            </w:r>
            <w:r w:rsidRPr="00436994">
              <w:rPr>
                <w:sz w:val="25"/>
                <w:szCs w:val="25"/>
              </w:rPr>
              <w:fldChar w:fldCharType="separate"/>
            </w:r>
            <w:r w:rsidR="00E36674">
              <w:rPr>
                <w:noProof/>
                <w:sz w:val="25"/>
                <w:szCs w:val="25"/>
              </w:rPr>
              <w:t>66</w:t>
            </w:r>
            <w:r w:rsidRPr="00436994">
              <w:rPr>
                <w:sz w:val="25"/>
                <w:szCs w:val="25"/>
              </w:rPr>
              <w:fldChar w:fldCharType="end"/>
            </w:r>
          </w:p>
        </w:tc>
      </w:tr>
    </w:tbl>
    <w:p w14:paraId="18055A8E" w14:textId="77777777" w:rsidR="00CE5E04" w:rsidRDefault="00CE5E04">
      <w:pPr>
        <w:spacing w:line="276" w:lineRule="auto"/>
      </w:pPr>
      <w:r>
        <w:br w:type="page"/>
      </w:r>
    </w:p>
    <w:p w14:paraId="206FC02C" w14:textId="77777777" w:rsidR="00B428FC" w:rsidRPr="00AE17BF" w:rsidRDefault="00B428FC" w:rsidP="00FC797B">
      <w:pPr>
        <w:pStyle w:val="Heading2"/>
      </w:pPr>
      <w:bookmarkStart w:id="97" w:name="_Financial_and_asset"/>
      <w:bookmarkStart w:id="98" w:name="_Ref336351882"/>
      <w:bookmarkEnd w:id="97"/>
      <w:r w:rsidRPr="002F2255">
        <w:t>Financial an</w:t>
      </w:r>
      <w:bookmarkStart w:id="99" w:name="ch5financiaassetmanagement"/>
      <w:bookmarkEnd w:id="99"/>
      <w:r w:rsidRPr="002F2255">
        <w:t>d asset management</w:t>
      </w:r>
      <w:bookmarkEnd w:id="98"/>
    </w:p>
    <w:p w14:paraId="7A2C0F81" w14:textId="77777777" w:rsidR="00B428FC" w:rsidRPr="007047CE" w:rsidRDefault="009B04FE" w:rsidP="00B428FC">
      <w:pPr>
        <w:pStyle w:val="BodyText"/>
      </w:pPr>
      <w:r w:rsidRPr="00EB2712">
        <w:t xml:space="preserve">In </w:t>
      </w:r>
      <w:r w:rsidR="00EB2712" w:rsidRPr="00EB2712">
        <w:t>2019</w:t>
      </w:r>
      <w:r w:rsidRPr="00EB2712">
        <w:t>/</w:t>
      </w:r>
      <w:r w:rsidR="00EB2712" w:rsidRPr="00EB2712">
        <w:t>20</w:t>
      </w:r>
      <w:r w:rsidR="00846D89" w:rsidRPr="00EB2712">
        <w:t>,</w:t>
      </w:r>
      <w:r w:rsidR="00B428FC" w:rsidRPr="00EB2712">
        <w:t xml:space="preserve"> </w:t>
      </w:r>
      <w:r w:rsidR="00AF6B74" w:rsidRPr="00EB2712">
        <w:t>I</w:t>
      </w:r>
      <w:r w:rsidR="00B428FC" w:rsidRPr="00EB2712">
        <w:t xml:space="preserve"> continued to operate under tight fiscal conditions. Vote Ombudsm</w:t>
      </w:r>
      <w:r w:rsidR="004D41C7" w:rsidRPr="00EB2712">
        <w:t>e</w:t>
      </w:r>
      <w:r w:rsidR="00B428FC" w:rsidRPr="00EB2712">
        <w:t xml:space="preserve">n is small, </w:t>
      </w:r>
      <w:r w:rsidR="00013257" w:rsidRPr="00EB2712">
        <w:t>with an appropriation of $</w:t>
      </w:r>
      <w:r w:rsidR="00EB2712" w:rsidRPr="00EB2712">
        <w:t>23.945</w:t>
      </w:r>
      <w:r w:rsidR="00B428FC" w:rsidRPr="00EB2712">
        <w:t xml:space="preserve"> million (excluding GST)</w:t>
      </w:r>
      <w:r w:rsidR="00013257" w:rsidRPr="00EB2712">
        <w:t xml:space="preserve"> for the year ended 30 June </w:t>
      </w:r>
      <w:r w:rsidR="00EB2712" w:rsidRPr="00EB2712">
        <w:t>2020</w:t>
      </w:r>
      <w:r w:rsidR="00B428FC" w:rsidRPr="00EB2712">
        <w:t xml:space="preserve">. Personnel and accommodation </w:t>
      </w:r>
      <w:r w:rsidR="007933E2" w:rsidRPr="00EB2712">
        <w:t xml:space="preserve">costs accounted for </w:t>
      </w:r>
      <w:r w:rsidR="00EB2712" w:rsidRPr="00EB2712">
        <w:t xml:space="preserve">74 </w:t>
      </w:r>
      <w:r w:rsidR="00B428FC" w:rsidRPr="00EB2712">
        <w:t>percent of the actual amount spent. The remaining spending was primarily on service contracts, maintenance, depreciation, travel</w:t>
      </w:r>
      <w:r w:rsidR="008C3F1D" w:rsidRPr="00EB2712">
        <w:t>,</w:t>
      </w:r>
      <w:r w:rsidR="00B428FC" w:rsidRPr="00EB2712">
        <w:t xml:space="preserve"> and communication.</w:t>
      </w:r>
      <w:r w:rsidR="00B428FC" w:rsidRPr="007047CE">
        <w:t xml:space="preserve"> </w:t>
      </w:r>
    </w:p>
    <w:p w14:paraId="075BB88F" w14:textId="77777777" w:rsidR="00B428FC" w:rsidRPr="007047CE" w:rsidRDefault="00B428FC" w:rsidP="00B428FC">
      <w:pPr>
        <w:pStyle w:val="BodyText"/>
      </w:pPr>
      <w:r w:rsidRPr="007047CE">
        <w:t xml:space="preserve">There is little expenditure of a discretionary kind. What discretionary financial resources do exist are allocated in a planned, prioritised, and contestable manner. The allocation of every dollar is closely scrutinised to ensure the investment is the best use </w:t>
      </w:r>
      <w:r w:rsidR="004141A2">
        <w:t>that can be made</w:t>
      </w:r>
      <w:r w:rsidRPr="007047CE">
        <w:t xml:space="preserve"> </w:t>
      </w:r>
      <w:r w:rsidR="004141A2">
        <w:t>of</w:t>
      </w:r>
      <w:r w:rsidRPr="007047CE">
        <w:t xml:space="preserve"> the limited resources available. Discretionary funding may be spent on spec</w:t>
      </w:r>
      <w:r w:rsidR="007047CE" w:rsidRPr="007047CE">
        <w:t>ial projects or staff training</w:t>
      </w:r>
      <w:r w:rsidR="004545CE">
        <w:t xml:space="preserve"> and is overseen by my Executive Committee</w:t>
      </w:r>
      <w:r w:rsidR="007047CE" w:rsidRPr="007047CE">
        <w:t>.</w:t>
      </w:r>
    </w:p>
    <w:p w14:paraId="64C4009E" w14:textId="77777777" w:rsidR="00B428FC" w:rsidRPr="007047CE" w:rsidRDefault="00B428FC" w:rsidP="00B428FC">
      <w:pPr>
        <w:pStyle w:val="BodyText"/>
      </w:pPr>
      <w:r w:rsidRPr="007047CE">
        <w:t xml:space="preserve">Greentree accounting and reporting software </w:t>
      </w:r>
      <w:r w:rsidR="00BA7B4D">
        <w:t>is my</w:t>
      </w:r>
      <w:r w:rsidR="004141A2">
        <w:t xml:space="preserve"> </w:t>
      </w:r>
      <w:r w:rsidRPr="007047CE">
        <w:t xml:space="preserve">primary accounting tool. The financial reports generated by the system deliver detailed information on a business unit basis and are reported monthly </w:t>
      </w:r>
      <w:r w:rsidRPr="005B09DB">
        <w:t>to senior management</w:t>
      </w:r>
      <w:r w:rsidRPr="007047CE">
        <w:t xml:space="preserve">. A range of internally developed spreadsheets use information generated from Greentree to provide budget projections for the current and future years. These contribute to the effective use of </w:t>
      </w:r>
      <w:r w:rsidR="00BA7B4D">
        <w:t>my</w:t>
      </w:r>
      <w:r w:rsidRPr="007047CE">
        <w:t xml:space="preserve"> assets, and assist in identifying any potential p</w:t>
      </w:r>
      <w:r w:rsidR="005B03CD">
        <w:t>roblems at an early stage.</w:t>
      </w:r>
      <w:r w:rsidR="007047CE" w:rsidRPr="007047CE">
        <w:t xml:space="preserve"> Greentree </w:t>
      </w:r>
      <w:r w:rsidR="00BA7B4D">
        <w:t xml:space="preserve">continues to be enhanced </w:t>
      </w:r>
      <w:r w:rsidR="007047CE" w:rsidRPr="007047CE">
        <w:t xml:space="preserve">to ensure its efficiency and provide a better service to both </w:t>
      </w:r>
      <w:r w:rsidR="007047CE" w:rsidRPr="005B09DB">
        <w:t xml:space="preserve">the </w:t>
      </w:r>
      <w:r w:rsidR="00F21A8D">
        <w:t xml:space="preserve">finance team </w:t>
      </w:r>
      <w:r w:rsidR="007047CE" w:rsidRPr="005B09DB">
        <w:t>and budget managers.</w:t>
      </w:r>
    </w:p>
    <w:p w14:paraId="4E588FDB" w14:textId="77777777" w:rsidR="00B428FC" w:rsidRPr="005B09DB" w:rsidRDefault="00B428FC" w:rsidP="00B428FC">
      <w:pPr>
        <w:pStyle w:val="BodyText"/>
      </w:pPr>
      <w:r w:rsidRPr="007047CE">
        <w:t xml:space="preserve">When procuring goods and services, </w:t>
      </w:r>
      <w:r w:rsidR="00AF6B74">
        <w:t>I</w:t>
      </w:r>
      <w:r w:rsidRPr="007047CE">
        <w:t xml:space="preserve"> seek the best price possible by negotiation or competitive quote. </w:t>
      </w:r>
      <w:r w:rsidR="00BA7B4D">
        <w:t>I</w:t>
      </w:r>
      <w:r w:rsidRPr="005B09DB">
        <w:t xml:space="preserve"> also negotiate term supply arrangements where there is an identified potential for savings. </w:t>
      </w:r>
    </w:p>
    <w:p w14:paraId="369391F6" w14:textId="77777777" w:rsidR="00B428FC" w:rsidRDefault="00BA7B4D" w:rsidP="00B428FC">
      <w:pPr>
        <w:pStyle w:val="BodyText"/>
      </w:pPr>
      <w:r>
        <w:t>I</w:t>
      </w:r>
      <w:r w:rsidR="00B428FC" w:rsidRPr="005B09DB">
        <w:t xml:space="preserve"> work closely with the Treasury and Audit New Zealand</w:t>
      </w:r>
      <w:r w:rsidR="00AF6B74" w:rsidRPr="005B09DB">
        <w:t xml:space="preserve">. </w:t>
      </w:r>
      <w:r w:rsidR="00B428FC" w:rsidRPr="005B09DB">
        <w:t xml:space="preserve">The liaison allows </w:t>
      </w:r>
      <w:r>
        <w:t>me</w:t>
      </w:r>
      <w:r w:rsidR="00B428FC" w:rsidRPr="005B09DB">
        <w:t xml:space="preserve"> to benefit from their advice and guidance in matters relating to improving transparency of</w:t>
      </w:r>
      <w:r w:rsidR="00B428FC" w:rsidRPr="007047CE">
        <w:t xml:space="preserve"> performance and reporting systems, and ensures </w:t>
      </w:r>
      <w:r w:rsidR="00F21A8D">
        <w:t>there is</w:t>
      </w:r>
      <w:r w:rsidR="00B428FC" w:rsidRPr="007047CE">
        <w:t xml:space="preserve"> a sound understanding of </w:t>
      </w:r>
      <w:r w:rsidR="004141A2">
        <w:t>the</w:t>
      </w:r>
      <w:r w:rsidR="00B428FC" w:rsidRPr="007047CE">
        <w:t xml:space="preserve"> working environment </w:t>
      </w:r>
      <w:r w:rsidR="004141A2">
        <w:t>and</w:t>
      </w:r>
      <w:r w:rsidR="00B428FC" w:rsidRPr="007047CE">
        <w:t xml:space="preserve"> issues </w:t>
      </w:r>
      <w:r>
        <w:t xml:space="preserve">I </w:t>
      </w:r>
      <w:r w:rsidR="004141A2">
        <w:t>fac</w:t>
      </w:r>
      <w:r>
        <w:t>e</w:t>
      </w:r>
      <w:r w:rsidR="00B428FC" w:rsidRPr="007047CE">
        <w:t>.</w:t>
      </w:r>
    </w:p>
    <w:p w14:paraId="56535632" w14:textId="77777777" w:rsidR="00422D82" w:rsidRDefault="00A6559B" w:rsidP="00FC797B">
      <w:pPr>
        <w:pStyle w:val="Heading2"/>
      </w:pPr>
      <w:bookmarkStart w:id="100" w:name="_My_staff"/>
      <w:bookmarkStart w:id="101" w:name="_Ref55817291"/>
      <w:bookmarkEnd w:id="100"/>
      <w:r>
        <w:t>My staff</w:t>
      </w:r>
      <w:bookmarkEnd w:id="101"/>
    </w:p>
    <w:p w14:paraId="561E8F1C" w14:textId="77777777" w:rsidR="00F97B6A" w:rsidRPr="00781700" w:rsidRDefault="003F33B0" w:rsidP="00FC797B">
      <w:pPr>
        <w:pStyle w:val="BodyText"/>
        <w:keepNext/>
      </w:pPr>
      <w:bookmarkStart w:id="102" w:name="_Our_people"/>
      <w:bookmarkStart w:id="103" w:name="_Ref336351878"/>
      <w:bookmarkEnd w:id="102"/>
      <w:r>
        <w:t>As at 30 June 2020</w:t>
      </w:r>
      <w:r w:rsidR="00F97B6A" w:rsidRPr="00781700">
        <w:t xml:space="preserve">, </w:t>
      </w:r>
      <w:r w:rsidR="00A6559B">
        <w:t>I</w:t>
      </w:r>
      <w:r w:rsidR="00BD09F4">
        <w:t xml:space="preserve"> had</w:t>
      </w:r>
      <w:r>
        <w:t xml:space="preserve"> 133</w:t>
      </w:r>
      <w:r w:rsidR="00F97B6A">
        <w:t xml:space="preserve"> </w:t>
      </w:r>
      <w:r w:rsidR="00F97B6A" w:rsidRPr="00781700">
        <w:t>employees</w:t>
      </w:r>
      <w:r w:rsidR="00F97B6A">
        <w:t>.</w:t>
      </w:r>
      <w:r w:rsidR="00F97B6A">
        <w:rPr>
          <w:rStyle w:val="FootnoteReference"/>
        </w:rPr>
        <w:footnoteReference w:id="50"/>
      </w:r>
    </w:p>
    <w:p w14:paraId="6D6501EE" w14:textId="77777777" w:rsidR="00F97B6A" w:rsidRPr="00781700" w:rsidRDefault="00F97B6A" w:rsidP="00FC797B">
      <w:pPr>
        <w:pStyle w:val="BodyText"/>
        <w:keepNext/>
      </w:pPr>
      <w:r w:rsidRPr="00781700">
        <w:t xml:space="preserve">The regional breakdown was: </w:t>
      </w:r>
    </w:p>
    <w:p w14:paraId="570802B8" w14:textId="77777777" w:rsidR="00F97B6A" w:rsidRPr="00781700" w:rsidRDefault="00F97B6A" w:rsidP="00FC797B">
      <w:pPr>
        <w:pStyle w:val="Bullet1"/>
        <w:keepNext/>
        <w:spacing w:after="200" w:line="240" w:lineRule="atLeast"/>
      </w:pPr>
      <w:r>
        <w:t>Auckland (</w:t>
      </w:r>
      <w:r w:rsidR="003F33B0">
        <w:t>10</w:t>
      </w:r>
      <w:r w:rsidRPr="0074679D">
        <w:t xml:space="preserve"> percent</w:t>
      </w:r>
      <w:r w:rsidR="00141A8D">
        <w:t>—</w:t>
      </w:r>
      <w:r w:rsidR="003F33B0">
        <w:t>13</w:t>
      </w:r>
      <w:r>
        <w:t xml:space="preserve"> people</w:t>
      </w:r>
      <w:r w:rsidRPr="0074679D">
        <w:t>)</w:t>
      </w:r>
    </w:p>
    <w:p w14:paraId="695D1F0A" w14:textId="77777777" w:rsidR="00F97B6A" w:rsidRPr="00781700" w:rsidRDefault="00F97B6A" w:rsidP="00F97B6A">
      <w:pPr>
        <w:pStyle w:val="Bullet1"/>
        <w:spacing w:after="200" w:line="240" w:lineRule="atLeast"/>
      </w:pPr>
      <w:r w:rsidRPr="00781700">
        <w:t>Christchurch (</w:t>
      </w:r>
      <w:r w:rsidR="003F33B0">
        <w:t>4</w:t>
      </w:r>
      <w:r w:rsidRPr="00781700">
        <w:t xml:space="preserve"> percent</w:t>
      </w:r>
      <w:r w:rsidR="00141A8D">
        <w:t>—</w:t>
      </w:r>
      <w:r w:rsidR="003F33B0">
        <w:t>6</w:t>
      </w:r>
      <w:r>
        <w:t xml:space="preserve"> people</w:t>
      </w:r>
      <w:r w:rsidRPr="00781700">
        <w:t>)</w:t>
      </w:r>
    </w:p>
    <w:p w14:paraId="347CA670" w14:textId="21B87C90" w:rsidR="00F97B6A" w:rsidRPr="00781700" w:rsidRDefault="00F97B6A" w:rsidP="00F97B6A">
      <w:pPr>
        <w:pStyle w:val="Bullet1"/>
        <w:spacing w:after="200" w:line="240" w:lineRule="atLeast"/>
      </w:pPr>
      <w:r>
        <w:t>Wellington (86</w:t>
      </w:r>
      <w:r w:rsidRPr="00781700">
        <w:t xml:space="preserve"> percent</w:t>
      </w:r>
      <w:r w:rsidR="00141A8D">
        <w:t>—</w:t>
      </w:r>
      <w:r w:rsidR="003F33B0">
        <w:t>114</w:t>
      </w:r>
      <w:r>
        <w:t xml:space="preserve"> people</w:t>
      </w:r>
      <w:r w:rsidRPr="00781700">
        <w:t>)</w:t>
      </w:r>
    </w:p>
    <w:p w14:paraId="2D09EE6E" w14:textId="77777777" w:rsidR="00F97B6A" w:rsidRPr="00781700" w:rsidRDefault="00F97B6A" w:rsidP="00F97B6A">
      <w:pPr>
        <w:pStyle w:val="BodyText"/>
      </w:pPr>
      <w:r w:rsidRPr="00781700">
        <w:t>In terms of gender representation:</w:t>
      </w:r>
    </w:p>
    <w:p w14:paraId="710CC055" w14:textId="77777777" w:rsidR="00F97B6A" w:rsidRPr="00781700" w:rsidRDefault="003F33B0" w:rsidP="00F97B6A">
      <w:pPr>
        <w:pStyle w:val="Bullet1"/>
        <w:spacing w:after="200" w:line="240" w:lineRule="atLeast"/>
      </w:pPr>
      <w:r>
        <w:t>69</w:t>
      </w:r>
      <w:r w:rsidR="00F97B6A" w:rsidRPr="00781700">
        <w:t xml:space="preserve"> percent of </w:t>
      </w:r>
      <w:r w:rsidR="004141A2">
        <w:t>my staff</w:t>
      </w:r>
      <w:r w:rsidR="00F97B6A" w:rsidRPr="00781700">
        <w:t xml:space="preserve"> are female</w:t>
      </w:r>
    </w:p>
    <w:p w14:paraId="113B7CEF" w14:textId="26FD0777" w:rsidR="00F97B6A" w:rsidRPr="00781700" w:rsidRDefault="003F33B0" w:rsidP="00F97B6A">
      <w:pPr>
        <w:pStyle w:val="Bullet1"/>
        <w:spacing w:after="200" w:line="240" w:lineRule="atLeast"/>
      </w:pPr>
      <w:r>
        <w:t>31</w:t>
      </w:r>
      <w:r w:rsidR="00F97B6A" w:rsidRPr="00781700">
        <w:t xml:space="preserve"> percent of </w:t>
      </w:r>
      <w:r w:rsidR="004141A2">
        <w:t>my staff</w:t>
      </w:r>
      <w:r w:rsidR="00F97B6A" w:rsidRPr="00781700">
        <w:t xml:space="preserve"> are male</w:t>
      </w:r>
    </w:p>
    <w:p w14:paraId="3234A0A3" w14:textId="77777777" w:rsidR="00F97B6A" w:rsidRDefault="00F97B6A" w:rsidP="00F97B6A">
      <w:pPr>
        <w:pStyle w:val="BodyText"/>
      </w:pPr>
      <w:r w:rsidRPr="00781700">
        <w:t>Further details are set out below.</w:t>
      </w:r>
    </w:p>
    <w:tbl>
      <w:tblPr>
        <w:tblW w:w="9278" w:type="dxa"/>
        <w:tblCellMar>
          <w:left w:w="0" w:type="dxa"/>
          <w:right w:w="0" w:type="dxa"/>
        </w:tblCellMar>
        <w:tblLook w:val="04A0" w:firstRow="1" w:lastRow="0" w:firstColumn="1" w:lastColumn="0" w:noHBand="0" w:noVBand="1"/>
        <w:tblCaption w:val="Table for formatting purposes"/>
      </w:tblPr>
      <w:tblGrid>
        <w:gridCol w:w="3251"/>
        <w:gridCol w:w="1416"/>
        <w:gridCol w:w="1839"/>
        <w:gridCol w:w="1556"/>
        <w:gridCol w:w="1216"/>
      </w:tblGrid>
      <w:tr w:rsidR="00F97B6A" w14:paraId="6BE0516F" w14:textId="77777777" w:rsidTr="005B09DB">
        <w:trPr>
          <w:tblHeader/>
        </w:trPr>
        <w:tc>
          <w:tcPr>
            <w:tcW w:w="3251" w:type="dxa"/>
            <w:tcBorders>
              <w:top w:val="single" w:sz="8" w:space="0" w:color="FFFFFF"/>
              <w:left w:val="single" w:sz="8" w:space="0" w:color="FFFFFF"/>
              <w:bottom w:val="single" w:sz="8" w:space="0" w:color="FFFFFF"/>
              <w:right w:val="single" w:sz="8" w:space="0" w:color="FFFFFF"/>
            </w:tcBorders>
            <w:shd w:val="clear" w:color="auto" w:fill="2BB673"/>
            <w:tcMar>
              <w:top w:w="0" w:type="dxa"/>
              <w:left w:w="108" w:type="dxa"/>
              <w:bottom w:w="0" w:type="dxa"/>
              <w:right w:w="108" w:type="dxa"/>
            </w:tcMar>
            <w:hideMark/>
          </w:tcPr>
          <w:p w14:paraId="28034F74" w14:textId="77777777" w:rsidR="00F97B6A" w:rsidRDefault="00F97B6A" w:rsidP="00874FAE">
            <w:pPr>
              <w:pStyle w:val="Tableheadingrow1"/>
            </w:pPr>
            <w:r>
              <w:t>Role</w:t>
            </w:r>
          </w:p>
        </w:tc>
        <w:tc>
          <w:tcPr>
            <w:tcW w:w="1416" w:type="dxa"/>
            <w:tcBorders>
              <w:top w:val="single" w:sz="8" w:space="0" w:color="FFFFFF"/>
              <w:left w:val="nil"/>
              <w:bottom w:val="single" w:sz="8" w:space="0" w:color="FFFFFF"/>
              <w:right w:val="single" w:sz="8" w:space="0" w:color="FFFFFF"/>
            </w:tcBorders>
            <w:shd w:val="clear" w:color="auto" w:fill="2BB673"/>
            <w:tcMar>
              <w:top w:w="0" w:type="dxa"/>
              <w:left w:w="108" w:type="dxa"/>
              <w:bottom w:w="0" w:type="dxa"/>
              <w:right w:w="108" w:type="dxa"/>
            </w:tcMar>
            <w:hideMark/>
          </w:tcPr>
          <w:p w14:paraId="220BDE7F" w14:textId="77777777" w:rsidR="00F97B6A" w:rsidRDefault="00F97B6A" w:rsidP="005B09DB">
            <w:pPr>
              <w:pStyle w:val="Tableheadingrow1"/>
              <w:jc w:val="center"/>
            </w:pPr>
            <w:r>
              <w:t>Number</w:t>
            </w:r>
          </w:p>
        </w:tc>
        <w:tc>
          <w:tcPr>
            <w:tcW w:w="1839" w:type="dxa"/>
            <w:tcBorders>
              <w:top w:val="single" w:sz="8" w:space="0" w:color="FFFFFF"/>
              <w:left w:val="nil"/>
              <w:bottom w:val="single" w:sz="8" w:space="0" w:color="FFFFFF"/>
              <w:right w:val="single" w:sz="8" w:space="0" w:color="FFFFFF"/>
            </w:tcBorders>
            <w:shd w:val="clear" w:color="auto" w:fill="2BB673"/>
            <w:tcMar>
              <w:top w:w="0" w:type="dxa"/>
              <w:left w:w="108" w:type="dxa"/>
              <w:bottom w:w="0" w:type="dxa"/>
              <w:right w:w="108" w:type="dxa"/>
            </w:tcMar>
            <w:hideMark/>
          </w:tcPr>
          <w:p w14:paraId="3C63814F" w14:textId="77777777" w:rsidR="00F97B6A" w:rsidRDefault="00F97B6A" w:rsidP="005B09DB">
            <w:pPr>
              <w:pStyle w:val="Tableheadingrow1"/>
              <w:jc w:val="center"/>
            </w:pPr>
            <w:r>
              <w:t>% of total staff</w:t>
            </w:r>
          </w:p>
        </w:tc>
        <w:tc>
          <w:tcPr>
            <w:tcW w:w="1556" w:type="dxa"/>
            <w:tcBorders>
              <w:top w:val="single" w:sz="8" w:space="0" w:color="FFFFFF"/>
              <w:left w:val="nil"/>
              <w:bottom w:val="single" w:sz="8" w:space="0" w:color="FFFFFF"/>
              <w:right w:val="single" w:sz="8" w:space="0" w:color="FFFFFF"/>
            </w:tcBorders>
            <w:shd w:val="clear" w:color="auto" w:fill="2BB673"/>
            <w:tcMar>
              <w:top w:w="0" w:type="dxa"/>
              <w:left w:w="108" w:type="dxa"/>
              <w:bottom w:w="0" w:type="dxa"/>
              <w:right w:w="108" w:type="dxa"/>
            </w:tcMar>
            <w:hideMark/>
          </w:tcPr>
          <w:p w14:paraId="50647F00" w14:textId="77777777" w:rsidR="00F97B6A" w:rsidRDefault="00F97B6A" w:rsidP="005B09DB">
            <w:pPr>
              <w:pStyle w:val="Tableheadingrow1"/>
              <w:jc w:val="center"/>
            </w:pPr>
            <w:r>
              <w:t>% Female</w:t>
            </w:r>
          </w:p>
        </w:tc>
        <w:tc>
          <w:tcPr>
            <w:tcW w:w="1216" w:type="dxa"/>
            <w:tcBorders>
              <w:top w:val="single" w:sz="8" w:space="0" w:color="FFFFFF"/>
              <w:left w:val="nil"/>
              <w:bottom w:val="single" w:sz="8" w:space="0" w:color="FFFFFF"/>
              <w:right w:val="single" w:sz="8" w:space="0" w:color="FFFFFF"/>
            </w:tcBorders>
            <w:shd w:val="clear" w:color="auto" w:fill="2BB673"/>
            <w:tcMar>
              <w:top w:w="0" w:type="dxa"/>
              <w:left w:w="108" w:type="dxa"/>
              <w:bottom w:w="0" w:type="dxa"/>
              <w:right w:w="108" w:type="dxa"/>
            </w:tcMar>
            <w:hideMark/>
          </w:tcPr>
          <w:p w14:paraId="3A6911E5" w14:textId="77777777" w:rsidR="00F97B6A" w:rsidRDefault="00F97B6A" w:rsidP="005B09DB">
            <w:pPr>
              <w:pStyle w:val="Tableheadingrow1"/>
              <w:jc w:val="center"/>
            </w:pPr>
            <w:r>
              <w:t>% Male</w:t>
            </w:r>
          </w:p>
        </w:tc>
      </w:tr>
      <w:tr w:rsidR="00F97B6A" w14:paraId="5689D92D" w14:textId="77777777" w:rsidTr="005B09DB">
        <w:tc>
          <w:tcPr>
            <w:tcW w:w="3251" w:type="dxa"/>
            <w:tcBorders>
              <w:top w:val="nil"/>
              <w:left w:val="single" w:sz="8" w:space="0" w:color="FFFFFF"/>
              <w:bottom w:val="single" w:sz="8" w:space="0" w:color="FFFFFF"/>
              <w:right w:val="single" w:sz="8" w:space="0" w:color="FFFFFF"/>
            </w:tcBorders>
            <w:shd w:val="clear" w:color="auto" w:fill="E9E9E9"/>
            <w:tcMar>
              <w:top w:w="0" w:type="dxa"/>
              <w:left w:w="108" w:type="dxa"/>
              <w:bottom w:w="0" w:type="dxa"/>
              <w:right w:w="108" w:type="dxa"/>
            </w:tcMar>
            <w:hideMark/>
          </w:tcPr>
          <w:p w14:paraId="17A107F6" w14:textId="77777777" w:rsidR="00F97B6A" w:rsidRDefault="00F97B6A" w:rsidP="00874FAE">
            <w:pPr>
              <w:pStyle w:val="Tablebodytextnospaceafter"/>
            </w:pPr>
            <w:r>
              <w:t>Senior Managers (excluding Chief Ombudsman)</w:t>
            </w:r>
          </w:p>
        </w:tc>
        <w:tc>
          <w:tcPr>
            <w:tcW w:w="141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14:paraId="17BB2CEE" w14:textId="77777777" w:rsidR="00F97B6A" w:rsidRDefault="003F33B0" w:rsidP="005B09DB">
            <w:pPr>
              <w:pStyle w:val="Tablebodytextnospaceafter"/>
              <w:ind w:right="520"/>
              <w:jc w:val="right"/>
            </w:pPr>
            <w:r>
              <w:t>6</w:t>
            </w:r>
          </w:p>
        </w:tc>
        <w:tc>
          <w:tcPr>
            <w:tcW w:w="1839"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14:paraId="02B761A9" w14:textId="77777777" w:rsidR="00F97B6A" w:rsidRDefault="003F33B0" w:rsidP="005B09DB">
            <w:pPr>
              <w:pStyle w:val="Tablebodytextnospaceafter"/>
              <w:ind w:right="520"/>
              <w:jc w:val="right"/>
            </w:pPr>
            <w:r>
              <w:t>4</w:t>
            </w:r>
          </w:p>
        </w:tc>
        <w:tc>
          <w:tcPr>
            <w:tcW w:w="155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14:paraId="502A308A" w14:textId="77777777" w:rsidR="00F97B6A" w:rsidRDefault="003F33B0" w:rsidP="005B09DB">
            <w:pPr>
              <w:pStyle w:val="Tablebodytextnospaceafter"/>
              <w:ind w:right="520"/>
              <w:jc w:val="right"/>
            </w:pPr>
            <w:r>
              <w:t>50</w:t>
            </w:r>
          </w:p>
        </w:tc>
        <w:tc>
          <w:tcPr>
            <w:tcW w:w="121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14:paraId="7D94F50C" w14:textId="77777777" w:rsidR="00F97B6A" w:rsidRDefault="003F33B0" w:rsidP="005B09DB">
            <w:pPr>
              <w:pStyle w:val="Tablebodytextnospaceafter"/>
              <w:ind w:right="520"/>
              <w:jc w:val="right"/>
            </w:pPr>
            <w:r>
              <w:t>50</w:t>
            </w:r>
          </w:p>
        </w:tc>
      </w:tr>
      <w:tr w:rsidR="00F97B6A" w14:paraId="7D1C161C" w14:textId="77777777" w:rsidTr="005B09DB">
        <w:tc>
          <w:tcPr>
            <w:tcW w:w="3251" w:type="dxa"/>
            <w:tcBorders>
              <w:top w:val="nil"/>
              <w:left w:val="single" w:sz="8" w:space="0" w:color="FFFFFF"/>
              <w:bottom w:val="single" w:sz="8" w:space="0" w:color="FFFFFF"/>
              <w:right w:val="single" w:sz="8" w:space="0" w:color="FFFFFF"/>
            </w:tcBorders>
            <w:shd w:val="clear" w:color="auto" w:fill="E9E9E9"/>
            <w:tcMar>
              <w:top w:w="0" w:type="dxa"/>
              <w:left w:w="108" w:type="dxa"/>
              <w:bottom w:w="0" w:type="dxa"/>
              <w:right w:w="108" w:type="dxa"/>
            </w:tcMar>
            <w:hideMark/>
          </w:tcPr>
          <w:p w14:paraId="015D6B18" w14:textId="77777777" w:rsidR="00F97B6A" w:rsidRDefault="00F97B6A" w:rsidP="00874FAE">
            <w:pPr>
              <w:pStyle w:val="Tablebodytextnospaceafter"/>
            </w:pPr>
            <w:r>
              <w:t>Managers</w:t>
            </w:r>
          </w:p>
        </w:tc>
        <w:tc>
          <w:tcPr>
            <w:tcW w:w="141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14:paraId="77E21FBA" w14:textId="77777777" w:rsidR="00F97B6A" w:rsidRDefault="003F33B0" w:rsidP="005B09DB">
            <w:pPr>
              <w:pStyle w:val="Tablebodytextnospaceafter"/>
              <w:ind w:right="520"/>
              <w:jc w:val="right"/>
            </w:pPr>
            <w:r>
              <w:t>15</w:t>
            </w:r>
          </w:p>
        </w:tc>
        <w:tc>
          <w:tcPr>
            <w:tcW w:w="1839"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14:paraId="38E822A0" w14:textId="77777777" w:rsidR="00F97B6A" w:rsidRDefault="003F33B0" w:rsidP="005B09DB">
            <w:pPr>
              <w:pStyle w:val="Tablebodytextnospaceafter"/>
              <w:ind w:right="520"/>
              <w:jc w:val="right"/>
            </w:pPr>
            <w:r>
              <w:t>11</w:t>
            </w:r>
          </w:p>
        </w:tc>
        <w:tc>
          <w:tcPr>
            <w:tcW w:w="155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14:paraId="3C852379" w14:textId="77777777" w:rsidR="00F97B6A" w:rsidRDefault="00963EF1" w:rsidP="005B09DB">
            <w:pPr>
              <w:pStyle w:val="Tablebodytextnospaceafter"/>
              <w:ind w:right="520"/>
              <w:jc w:val="right"/>
            </w:pPr>
            <w:r>
              <w:t>60</w:t>
            </w:r>
          </w:p>
        </w:tc>
        <w:tc>
          <w:tcPr>
            <w:tcW w:w="121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14:paraId="5AAEC082" w14:textId="77777777" w:rsidR="00F97B6A" w:rsidRDefault="00963EF1" w:rsidP="005B09DB">
            <w:pPr>
              <w:pStyle w:val="Tablebodytextnospaceafter"/>
              <w:ind w:right="520"/>
              <w:jc w:val="right"/>
            </w:pPr>
            <w:r>
              <w:t>40</w:t>
            </w:r>
          </w:p>
        </w:tc>
      </w:tr>
      <w:tr w:rsidR="00F97B6A" w14:paraId="6DA66911" w14:textId="77777777" w:rsidTr="003F33B0">
        <w:tc>
          <w:tcPr>
            <w:tcW w:w="3251" w:type="dxa"/>
            <w:tcBorders>
              <w:top w:val="nil"/>
              <w:left w:val="single" w:sz="8" w:space="0" w:color="FFFFFF"/>
              <w:bottom w:val="single" w:sz="8" w:space="0" w:color="FFFFFF"/>
              <w:right w:val="single" w:sz="8" w:space="0" w:color="FFFFFF"/>
            </w:tcBorders>
            <w:shd w:val="clear" w:color="auto" w:fill="E9E9E9"/>
            <w:tcMar>
              <w:top w:w="0" w:type="dxa"/>
              <w:left w:w="108" w:type="dxa"/>
              <w:bottom w:w="0" w:type="dxa"/>
              <w:right w:w="108" w:type="dxa"/>
            </w:tcMar>
            <w:hideMark/>
          </w:tcPr>
          <w:p w14:paraId="39893D0A" w14:textId="77777777" w:rsidR="00F97B6A" w:rsidRDefault="00F97B6A" w:rsidP="00874FAE">
            <w:pPr>
              <w:pStyle w:val="Tablebodytextnospaceafter"/>
            </w:pPr>
            <w:r>
              <w:t>Operations staff</w:t>
            </w:r>
          </w:p>
        </w:tc>
        <w:tc>
          <w:tcPr>
            <w:tcW w:w="141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14:paraId="60F76EB0" w14:textId="77777777" w:rsidR="00F97B6A" w:rsidRDefault="003F33B0" w:rsidP="005B09DB">
            <w:pPr>
              <w:pStyle w:val="Tablebodytextnospaceafter"/>
              <w:ind w:right="520"/>
              <w:jc w:val="right"/>
            </w:pPr>
            <w:r>
              <w:t>66</w:t>
            </w:r>
          </w:p>
        </w:tc>
        <w:tc>
          <w:tcPr>
            <w:tcW w:w="1839"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14:paraId="0F5E4FC6" w14:textId="77777777" w:rsidR="00F97B6A" w:rsidRDefault="003F33B0" w:rsidP="005B09DB">
            <w:pPr>
              <w:pStyle w:val="Tablebodytextnospaceafter"/>
              <w:ind w:right="520"/>
              <w:jc w:val="right"/>
            </w:pPr>
            <w:r>
              <w:t>50</w:t>
            </w:r>
          </w:p>
        </w:tc>
        <w:tc>
          <w:tcPr>
            <w:tcW w:w="155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tcPr>
          <w:p w14:paraId="30271FBE" w14:textId="77777777" w:rsidR="00F97B6A" w:rsidRDefault="00963EF1" w:rsidP="005B09DB">
            <w:pPr>
              <w:pStyle w:val="Tablebodytextnospaceafter"/>
              <w:ind w:right="520"/>
              <w:jc w:val="right"/>
            </w:pPr>
            <w:r>
              <w:t>68</w:t>
            </w:r>
          </w:p>
        </w:tc>
        <w:tc>
          <w:tcPr>
            <w:tcW w:w="121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tcPr>
          <w:p w14:paraId="67F99A6E" w14:textId="77777777" w:rsidR="00F97B6A" w:rsidRDefault="00963EF1" w:rsidP="005B09DB">
            <w:pPr>
              <w:pStyle w:val="Tablebodytextnospaceafter"/>
              <w:ind w:right="520"/>
              <w:jc w:val="right"/>
            </w:pPr>
            <w:r>
              <w:t>32</w:t>
            </w:r>
          </w:p>
        </w:tc>
      </w:tr>
      <w:tr w:rsidR="00F97B6A" w14:paraId="2A268E95" w14:textId="77777777" w:rsidTr="003F33B0">
        <w:tc>
          <w:tcPr>
            <w:tcW w:w="3251" w:type="dxa"/>
            <w:tcBorders>
              <w:top w:val="nil"/>
              <w:left w:val="single" w:sz="8" w:space="0" w:color="FFFFFF"/>
              <w:bottom w:val="single" w:sz="8" w:space="0" w:color="FFFFFF"/>
              <w:right w:val="single" w:sz="8" w:space="0" w:color="FFFFFF"/>
            </w:tcBorders>
            <w:shd w:val="clear" w:color="auto" w:fill="E9E9E9"/>
            <w:tcMar>
              <w:top w:w="0" w:type="dxa"/>
              <w:left w:w="108" w:type="dxa"/>
              <w:bottom w:w="0" w:type="dxa"/>
              <w:right w:w="108" w:type="dxa"/>
            </w:tcMar>
            <w:hideMark/>
          </w:tcPr>
          <w:p w14:paraId="24199BBA" w14:textId="77777777" w:rsidR="00F97B6A" w:rsidRDefault="00F97B6A" w:rsidP="00874FAE">
            <w:pPr>
              <w:pStyle w:val="Tablebodytextnospaceafter"/>
            </w:pPr>
            <w:r>
              <w:t>Specialist staff</w:t>
            </w:r>
          </w:p>
        </w:tc>
        <w:tc>
          <w:tcPr>
            <w:tcW w:w="141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14:paraId="0577ED70" w14:textId="77777777" w:rsidR="00F97B6A" w:rsidRDefault="003F33B0" w:rsidP="005B09DB">
            <w:pPr>
              <w:pStyle w:val="Tablebodytextnospaceafter"/>
              <w:ind w:right="520"/>
              <w:jc w:val="right"/>
            </w:pPr>
            <w:r>
              <w:t>22</w:t>
            </w:r>
          </w:p>
        </w:tc>
        <w:tc>
          <w:tcPr>
            <w:tcW w:w="1839"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14:paraId="64DCA45F" w14:textId="77777777" w:rsidR="00F97B6A" w:rsidRDefault="003F33B0" w:rsidP="005B09DB">
            <w:pPr>
              <w:pStyle w:val="Tablebodytextnospaceafter"/>
              <w:ind w:right="520"/>
              <w:jc w:val="right"/>
            </w:pPr>
            <w:r>
              <w:t>17</w:t>
            </w:r>
          </w:p>
        </w:tc>
        <w:tc>
          <w:tcPr>
            <w:tcW w:w="155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tcPr>
          <w:p w14:paraId="7F9AC3AC" w14:textId="77777777" w:rsidR="00F97B6A" w:rsidRDefault="00963EF1" w:rsidP="005B09DB">
            <w:pPr>
              <w:pStyle w:val="Tablebodytextnospaceafter"/>
              <w:ind w:right="520"/>
              <w:jc w:val="right"/>
            </w:pPr>
            <w:r>
              <w:t>77</w:t>
            </w:r>
          </w:p>
        </w:tc>
        <w:tc>
          <w:tcPr>
            <w:tcW w:w="121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tcPr>
          <w:p w14:paraId="6F51A4A7" w14:textId="77777777" w:rsidR="00F97B6A" w:rsidRDefault="00963EF1" w:rsidP="005B09DB">
            <w:pPr>
              <w:pStyle w:val="Tablebodytextnospaceafter"/>
              <w:ind w:right="520"/>
              <w:jc w:val="right"/>
            </w:pPr>
            <w:r>
              <w:t>23</w:t>
            </w:r>
          </w:p>
        </w:tc>
      </w:tr>
      <w:tr w:rsidR="00F97B6A" w14:paraId="40638199" w14:textId="77777777" w:rsidTr="003F33B0">
        <w:tc>
          <w:tcPr>
            <w:tcW w:w="3251" w:type="dxa"/>
            <w:tcBorders>
              <w:top w:val="nil"/>
              <w:left w:val="single" w:sz="8" w:space="0" w:color="FFFFFF"/>
              <w:bottom w:val="single" w:sz="8" w:space="0" w:color="FFFFFF"/>
              <w:right w:val="single" w:sz="8" w:space="0" w:color="FFFFFF"/>
            </w:tcBorders>
            <w:shd w:val="clear" w:color="auto" w:fill="E9E9E9"/>
            <w:tcMar>
              <w:top w:w="0" w:type="dxa"/>
              <w:left w:w="108" w:type="dxa"/>
              <w:bottom w:w="0" w:type="dxa"/>
              <w:right w:w="108" w:type="dxa"/>
            </w:tcMar>
            <w:hideMark/>
          </w:tcPr>
          <w:p w14:paraId="2438C3F8" w14:textId="77777777" w:rsidR="00F97B6A" w:rsidRDefault="00F97B6A" w:rsidP="00874FAE">
            <w:pPr>
              <w:pStyle w:val="Tablebodytextnospaceafter"/>
            </w:pPr>
            <w:r>
              <w:t>Administration and support staff</w:t>
            </w:r>
          </w:p>
        </w:tc>
        <w:tc>
          <w:tcPr>
            <w:tcW w:w="141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14:paraId="30C2D2C4" w14:textId="77777777" w:rsidR="00F97B6A" w:rsidRDefault="003F33B0" w:rsidP="005B09DB">
            <w:pPr>
              <w:pStyle w:val="Tablebodytextnospaceafter"/>
              <w:ind w:right="520"/>
              <w:jc w:val="right"/>
            </w:pPr>
            <w:r>
              <w:t>24</w:t>
            </w:r>
          </w:p>
        </w:tc>
        <w:tc>
          <w:tcPr>
            <w:tcW w:w="1839"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hideMark/>
          </w:tcPr>
          <w:p w14:paraId="3D1C8298" w14:textId="77777777" w:rsidR="00F97B6A" w:rsidRDefault="003F33B0" w:rsidP="005B09DB">
            <w:pPr>
              <w:pStyle w:val="Tablebodytextnospaceafter"/>
              <w:ind w:right="520"/>
              <w:jc w:val="right"/>
            </w:pPr>
            <w:r>
              <w:t>18</w:t>
            </w:r>
          </w:p>
        </w:tc>
        <w:tc>
          <w:tcPr>
            <w:tcW w:w="155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tcPr>
          <w:p w14:paraId="09CACF73" w14:textId="77777777" w:rsidR="00F97B6A" w:rsidRDefault="00963EF1" w:rsidP="005B09DB">
            <w:pPr>
              <w:pStyle w:val="Tablebodytextnospaceafter"/>
              <w:ind w:right="520"/>
              <w:jc w:val="right"/>
            </w:pPr>
            <w:r>
              <w:t>79</w:t>
            </w:r>
          </w:p>
        </w:tc>
        <w:tc>
          <w:tcPr>
            <w:tcW w:w="1216" w:type="dxa"/>
            <w:tcBorders>
              <w:top w:val="nil"/>
              <w:left w:val="nil"/>
              <w:bottom w:val="single" w:sz="8" w:space="0" w:color="FFFFFF"/>
              <w:right w:val="single" w:sz="8" w:space="0" w:color="FFFFFF"/>
            </w:tcBorders>
            <w:shd w:val="clear" w:color="auto" w:fill="E9E9E9"/>
            <w:tcMar>
              <w:top w:w="0" w:type="dxa"/>
              <w:left w:w="108" w:type="dxa"/>
              <w:bottom w:w="0" w:type="dxa"/>
              <w:right w:w="108" w:type="dxa"/>
            </w:tcMar>
          </w:tcPr>
          <w:p w14:paraId="4485142B" w14:textId="77777777" w:rsidR="00F97B6A" w:rsidRDefault="00963EF1" w:rsidP="005B09DB">
            <w:pPr>
              <w:pStyle w:val="Tablebodytextnospaceafter"/>
              <w:ind w:right="520"/>
              <w:jc w:val="right"/>
            </w:pPr>
            <w:r>
              <w:t>21</w:t>
            </w:r>
          </w:p>
        </w:tc>
      </w:tr>
    </w:tbl>
    <w:p w14:paraId="446FAB77" w14:textId="77777777" w:rsidR="00FA22C6" w:rsidRDefault="00FA22C6" w:rsidP="00FA22C6">
      <w:pPr>
        <w:pStyle w:val="Whitespace"/>
      </w:pPr>
    </w:p>
    <w:p w14:paraId="0B11C8C1" w14:textId="77777777" w:rsidR="00F97B6A" w:rsidRPr="00C902B9" w:rsidRDefault="00F97B6A" w:rsidP="00F97B6A">
      <w:pPr>
        <w:pStyle w:val="BodyText"/>
      </w:pPr>
      <w:r w:rsidRPr="00C902B9">
        <w:t>In t</w:t>
      </w:r>
      <w:r w:rsidR="00C9754F">
        <w:t>erms of working arrangements, 50</w:t>
      </w:r>
      <w:r w:rsidRPr="00C902B9">
        <w:t xml:space="preserve"> percent of employees were covered by an </w:t>
      </w:r>
      <w:r>
        <w:t>i</w:t>
      </w:r>
      <w:r w:rsidRPr="00C902B9">
        <w:t xml:space="preserve">ndividual </w:t>
      </w:r>
      <w:r>
        <w:t>e</w:t>
      </w:r>
      <w:r w:rsidRPr="00C902B9">
        <w:t xml:space="preserve">mployment </w:t>
      </w:r>
      <w:r>
        <w:t>a</w:t>
      </w:r>
      <w:r w:rsidR="00C9754F">
        <w:t>greement as at 30 June 2020 and 50</w:t>
      </w:r>
      <w:r w:rsidRPr="00C902B9">
        <w:t xml:space="preserve"> percent of employees were covered by the </w:t>
      </w:r>
      <w:r w:rsidR="00BD09F4">
        <w:t xml:space="preserve">one </w:t>
      </w:r>
      <w:r w:rsidRPr="00C902B9">
        <w:t xml:space="preserve">Collective Agreement. Of </w:t>
      </w:r>
      <w:r w:rsidR="004141A2">
        <w:t>the</w:t>
      </w:r>
      <w:r w:rsidR="00C9754F">
        <w:t xml:space="preserve"> permanent employees, 14</w:t>
      </w:r>
      <w:r w:rsidRPr="00C902B9">
        <w:t xml:space="preserve"> percent work part-time.</w:t>
      </w:r>
    </w:p>
    <w:p w14:paraId="444F4365" w14:textId="2EC728D6" w:rsidR="00F97B6A" w:rsidRPr="00C902B9" w:rsidRDefault="00F21A8D" w:rsidP="00F97B6A">
      <w:pPr>
        <w:pStyle w:val="BodyText"/>
      </w:pPr>
      <w:r>
        <w:t>M</w:t>
      </w:r>
      <w:r w:rsidR="00BA7B4D">
        <w:t xml:space="preserve">y </w:t>
      </w:r>
      <w:r w:rsidR="00F97B6A" w:rsidRPr="00C902B9">
        <w:t>work is very interesting, however employee turnover is inevitable for a variety of reasons</w:t>
      </w:r>
      <w:r w:rsidR="00F97B6A" w:rsidRPr="005B09DB">
        <w:t xml:space="preserve">. </w:t>
      </w:r>
      <w:r w:rsidR="00BD09F4" w:rsidRPr="005B09DB">
        <w:t>My</w:t>
      </w:r>
      <w:r w:rsidR="00F97B6A" w:rsidRPr="005B09DB">
        <w:t xml:space="preserve"> </w:t>
      </w:r>
      <w:r w:rsidR="00BD09F4" w:rsidRPr="005B09DB">
        <w:t>staff</w:t>
      </w:r>
      <w:r w:rsidR="00F97B6A" w:rsidRPr="00C902B9">
        <w:t xml:space="preserve"> are highly trained and are in-demand within the wider public </w:t>
      </w:r>
      <w:r w:rsidR="00A2102C">
        <w:t>sector</w:t>
      </w:r>
      <w:r w:rsidR="004545CE">
        <w:t>, other integrity agencies</w:t>
      </w:r>
      <w:r w:rsidR="0029156E">
        <w:t>,</w:t>
      </w:r>
      <w:r w:rsidR="004545CE">
        <w:t xml:space="preserve"> and law firms</w:t>
      </w:r>
      <w:r w:rsidR="00A2102C">
        <w:t>. Seven</w:t>
      </w:r>
      <w:r w:rsidR="00F97B6A" w:rsidRPr="003C593D">
        <w:t xml:space="preserve"> staff left </w:t>
      </w:r>
      <w:r w:rsidR="00A2102C">
        <w:t>voluntarily in the 2019/20</w:t>
      </w:r>
      <w:r w:rsidR="00F97B6A" w:rsidRPr="00C902B9">
        <w:t xml:space="preserve"> year, resulting in a voluntary st</w:t>
      </w:r>
      <w:r w:rsidR="00A2102C">
        <w:t xml:space="preserve">aff turnover for the year of seven </w:t>
      </w:r>
      <w:r w:rsidR="00F97B6A" w:rsidRPr="00C902B9">
        <w:t>percent.</w:t>
      </w:r>
    </w:p>
    <w:p w14:paraId="2FD944C5" w14:textId="77777777" w:rsidR="00F97B6A" w:rsidRDefault="00F97B6A" w:rsidP="007F3126">
      <w:pPr>
        <w:pStyle w:val="BodyText"/>
        <w:keepNext/>
      </w:pPr>
      <w:r w:rsidRPr="00C902B9">
        <w:t xml:space="preserve">During the course of the year, </w:t>
      </w:r>
      <w:r w:rsidR="00F21A8D">
        <w:t xml:space="preserve">I completed </w:t>
      </w:r>
      <w:r w:rsidR="00882C90">
        <w:t>four</w:t>
      </w:r>
      <w:r w:rsidRPr="00C902B9">
        <w:t xml:space="preserve"> reviews of </w:t>
      </w:r>
      <w:r w:rsidR="00BA7B4D">
        <w:t xml:space="preserve">my </w:t>
      </w:r>
      <w:r w:rsidRPr="00C902B9">
        <w:t>organisational structure</w:t>
      </w:r>
      <w:r w:rsidR="000C1672">
        <w:t>, namely</w:t>
      </w:r>
      <w:r w:rsidRPr="00C902B9">
        <w:t>:</w:t>
      </w:r>
    </w:p>
    <w:p w14:paraId="3D30138E" w14:textId="6D6ECB5C" w:rsidR="000D7FFB" w:rsidRDefault="000C1672" w:rsidP="00DF5A3F">
      <w:pPr>
        <w:pStyle w:val="Bullet1"/>
      </w:pPr>
      <w:r>
        <w:t xml:space="preserve">A </w:t>
      </w:r>
      <w:r w:rsidR="00882C90">
        <w:t xml:space="preserve">review of </w:t>
      </w:r>
      <w:r w:rsidR="00DF5A3F">
        <w:t xml:space="preserve">my </w:t>
      </w:r>
      <w:r w:rsidR="00F21A8D">
        <w:t xml:space="preserve">senior management </w:t>
      </w:r>
      <w:r w:rsidR="00882C90">
        <w:t>structure</w:t>
      </w:r>
      <w:r w:rsidR="00DF5A3F">
        <w:t xml:space="preserve"> </w:t>
      </w:r>
      <w:r w:rsidR="000D7FFB" w:rsidRPr="00D679A4">
        <w:t>to ensure it is best set up to support a stable and professionally run organisation</w:t>
      </w:r>
      <w:r>
        <w:t xml:space="preserve"> as it continues to grow both in size and jurisdiction</w:t>
      </w:r>
      <w:r w:rsidR="000D7FFB" w:rsidRPr="00D679A4">
        <w:t xml:space="preserve">. </w:t>
      </w:r>
    </w:p>
    <w:p w14:paraId="786B0E31" w14:textId="6FE86A44" w:rsidR="00882C90" w:rsidRPr="00F16492" w:rsidRDefault="000C1672" w:rsidP="00882C90">
      <w:pPr>
        <w:pStyle w:val="Bullet1"/>
        <w:spacing w:after="200" w:line="240" w:lineRule="atLeast"/>
      </w:pPr>
      <w:r>
        <w:t xml:space="preserve">A review of my </w:t>
      </w:r>
      <w:r w:rsidR="00882C90" w:rsidRPr="0049312A">
        <w:t xml:space="preserve">OPCAT </w:t>
      </w:r>
      <w:r>
        <w:t xml:space="preserve">team structure </w:t>
      </w:r>
      <w:r w:rsidR="00882C90">
        <w:t xml:space="preserve">to address the </w:t>
      </w:r>
      <w:r>
        <w:t xml:space="preserve">new teams required to assist me carry out </w:t>
      </w:r>
      <w:r w:rsidR="00DF5A3F">
        <w:t xml:space="preserve">my </w:t>
      </w:r>
      <w:r>
        <w:t xml:space="preserve">newly extended </w:t>
      </w:r>
      <w:r w:rsidR="00882C90">
        <w:t xml:space="preserve">designation </w:t>
      </w:r>
      <w:r>
        <w:t xml:space="preserve">to </w:t>
      </w:r>
      <w:r w:rsidR="00882C90" w:rsidRPr="00F16492">
        <w:t xml:space="preserve">monitor </w:t>
      </w:r>
      <w:r>
        <w:t xml:space="preserve">the </w:t>
      </w:r>
      <w:r w:rsidR="00882C90" w:rsidRPr="00F16492">
        <w:t xml:space="preserve">treatment of </w:t>
      </w:r>
      <w:r>
        <w:t xml:space="preserve">people </w:t>
      </w:r>
      <w:r w:rsidR="00882C90" w:rsidRPr="00F16492">
        <w:t>detained in privately-run aged care facilities, court cells, and prisoners otherwise in the custody of the Department of Corrections.</w:t>
      </w:r>
    </w:p>
    <w:p w14:paraId="3E0C6550" w14:textId="6760B239" w:rsidR="00882C90" w:rsidRPr="00F16492" w:rsidRDefault="000C1672" w:rsidP="00882C90">
      <w:pPr>
        <w:pStyle w:val="Bullet1"/>
        <w:spacing w:after="200" w:line="240" w:lineRule="atLeast"/>
      </w:pPr>
      <w:r>
        <w:t xml:space="preserve">A review of the </w:t>
      </w:r>
      <w:r w:rsidR="00882C90" w:rsidRPr="00F16492">
        <w:t xml:space="preserve">roles </w:t>
      </w:r>
      <w:r>
        <w:t xml:space="preserve">required to support my </w:t>
      </w:r>
      <w:r w:rsidR="00882C90" w:rsidRPr="00F16492">
        <w:t xml:space="preserve">increased </w:t>
      </w:r>
      <w:r>
        <w:t>function to oversee the Oranga Tamariki system and complaints from children in care</w:t>
      </w:r>
      <w:r w:rsidR="006477DE">
        <w:t>.</w:t>
      </w:r>
    </w:p>
    <w:p w14:paraId="7C977D1C" w14:textId="2C276B49" w:rsidR="00882C90" w:rsidRPr="00F16492" w:rsidRDefault="000C1672" w:rsidP="00882C90">
      <w:pPr>
        <w:pStyle w:val="Bullet1"/>
        <w:spacing w:after="200" w:line="240" w:lineRule="atLeast"/>
      </w:pPr>
      <w:r>
        <w:t>A review of the roles required for</w:t>
      </w:r>
      <w:r w:rsidR="00FF0198">
        <w:t xml:space="preserve"> </w:t>
      </w:r>
      <w:r w:rsidR="00882C90" w:rsidRPr="00F16492">
        <w:t>a new International Development</w:t>
      </w:r>
      <w:r w:rsidR="00DF5A3F">
        <w:t xml:space="preserve"> and Engagement</w:t>
      </w:r>
      <w:r w:rsidR="00882C90" w:rsidRPr="00F16492">
        <w:t xml:space="preserve"> Team to </w:t>
      </w:r>
      <w:r>
        <w:t xml:space="preserve">assist me deliver </w:t>
      </w:r>
      <w:r w:rsidR="00882C90" w:rsidRPr="00F16492">
        <w:t xml:space="preserve">my </w:t>
      </w:r>
      <w:r>
        <w:t xml:space="preserve">new </w:t>
      </w:r>
      <w:r w:rsidR="00882C90" w:rsidRPr="00F16492">
        <w:t>international development and engagement strategy and work programme</w:t>
      </w:r>
      <w:r>
        <w:t xml:space="preserve"> for the Asia-Pacific region</w:t>
      </w:r>
      <w:r w:rsidR="00882C90" w:rsidRPr="00F16492">
        <w:t>.</w:t>
      </w:r>
    </w:p>
    <w:p w14:paraId="68E13C23" w14:textId="400D0278" w:rsidR="00882C90" w:rsidRDefault="00882C90" w:rsidP="007219BD">
      <w:pPr>
        <w:pStyle w:val="BodyText"/>
      </w:pPr>
      <w:r w:rsidRPr="00354B98">
        <w:t xml:space="preserve">I also commenced work on </w:t>
      </w:r>
      <w:r w:rsidR="000C1672">
        <w:t xml:space="preserve">reviewing the </w:t>
      </w:r>
      <w:r>
        <w:t>resourc</w:t>
      </w:r>
      <w:r w:rsidR="000C1672">
        <w:t>es</w:t>
      </w:r>
      <w:r>
        <w:t xml:space="preserve"> required in both my Strategic Advice and Communications teams to better support the delivery of the increasing workload and the </w:t>
      </w:r>
      <w:r w:rsidR="000C1672">
        <w:t xml:space="preserve">new </w:t>
      </w:r>
      <w:r>
        <w:t xml:space="preserve">jurisdictions assigned to </w:t>
      </w:r>
      <w:r w:rsidR="0029156E">
        <w:t>me</w:t>
      </w:r>
      <w:r>
        <w:t>.</w:t>
      </w:r>
    </w:p>
    <w:p w14:paraId="23CCFDA8" w14:textId="103544F0" w:rsidR="00CB5AA7" w:rsidRPr="00227AB5" w:rsidRDefault="005B795D" w:rsidP="00D837D6">
      <w:pPr>
        <w:widowControl w:val="0"/>
        <w:rPr>
          <w:color w:val="auto"/>
        </w:rPr>
      </w:pPr>
      <w:hyperlink w:anchor="Contents" w:history="1">
        <w:r w:rsidR="00CB5AA7" w:rsidRPr="00F5248A">
          <w:rPr>
            <w:rStyle w:val="Hyperlink"/>
          </w:rPr>
          <w:t>Back to contents</w:t>
        </w:r>
      </w:hyperlink>
      <w:r w:rsidR="00CB5AA7">
        <w:t>.</w:t>
      </w:r>
    </w:p>
    <w:p w14:paraId="0A2BE1F0" w14:textId="77777777" w:rsidR="00CB5AA7" w:rsidRDefault="00CB5AA7" w:rsidP="00D837D6">
      <w:pPr>
        <w:pStyle w:val="Heading2"/>
      </w:pPr>
      <w:bookmarkStart w:id="104" w:name="_People_performance_and"/>
      <w:bookmarkStart w:id="105" w:name="_Ref54702662"/>
      <w:bookmarkEnd w:id="104"/>
      <w:r w:rsidRPr="00450ADC">
        <w:t>People perfor</w:t>
      </w:r>
      <w:bookmarkStart w:id="106" w:name="ch5manperf"/>
      <w:bookmarkEnd w:id="106"/>
      <w:r w:rsidRPr="00450ADC">
        <w:t>mance</w:t>
      </w:r>
      <w:bookmarkEnd w:id="103"/>
      <w:r w:rsidRPr="00450ADC">
        <w:t xml:space="preserve"> and capability</w:t>
      </w:r>
      <w:bookmarkEnd w:id="105"/>
      <w:r w:rsidRPr="00D226E3">
        <w:t xml:space="preserve"> </w:t>
      </w:r>
    </w:p>
    <w:p w14:paraId="508767BD" w14:textId="5E045702" w:rsidR="0007114F" w:rsidRDefault="0007114F" w:rsidP="0007114F">
      <w:pPr>
        <w:pStyle w:val="BodyText"/>
      </w:pPr>
      <w:r w:rsidRPr="000A0549">
        <w:t>The COVID-19 pandemic brought considerable challenges to the delivery of core functions, under rapidly imposed lockdown conditions. This required an agile response, guided by a pandemic plan to ensure my staff were able to work remotely in an efficient and safe manner and fe</w:t>
      </w:r>
      <w:r w:rsidR="000C1672">
        <w:t>e</w:t>
      </w:r>
      <w:r w:rsidRPr="000A0549">
        <w:t xml:space="preserve">l supported during a time of </w:t>
      </w:r>
      <w:r w:rsidR="000C1672">
        <w:t xml:space="preserve">considerable </w:t>
      </w:r>
      <w:r w:rsidRPr="000A0549">
        <w:t>uncertainty a</w:t>
      </w:r>
      <w:r>
        <w:t>nd anxiety.</w:t>
      </w:r>
    </w:p>
    <w:p w14:paraId="75A3964C" w14:textId="1978704F" w:rsidR="00E01D6D" w:rsidRPr="000A0549" w:rsidRDefault="00CC2880" w:rsidP="0007114F">
      <w:pPr>
        <w:pStyle w:val="BodyText"/>
      </w:pPr>
      <w:r w:rsidRPr="00CC2880">
        <w:t>My</w:t>
      </w:r>
      <w:r w:rsidR="00390154" w:rsidRPr="00CC2880">
        <w:t xml:space="preserve"> staff demonstrated a high level of agility and resilience in quickly gearing up for working from home</w:t>
      </w:r>
      <w:r w:rsidR="00D265BE">
        <w:t xml:space="preserve"> during </w:t>
      </w:r>
      <w:r w:rsidR="0062731B">
        <w:t>lockdown</w:t>
      </w:r>
      <w:r w:rsidR="000C1672">
        <w:t>.  They</w:t>
      </w:r>
      <w:r w:rsidR="00390154" w:rsidRPr="00CC2880">
        <w:t xml:space="preserve"> maintain</w:t>
      </w:r>
      <w:r w:rsidR="000C1672">
        <w:t>ed</w:t>
      </w:r>
      <w:r w:rsidR="00390154" w:rsidRPr="00CC2880">
        <w:t xml:space="preserve"> high levels of productivity and develop</w:t>
      </w:r>
      <w:r w:rsidR="000C1672">
        <w:t>ed</w:t>
      </w:r>
      <w:r w:rsidR="00390154" w:rsidRPr="00CC2880">
        <w:t xml:space="preserve"> greater confidence in the use of mobile technology. </w:t>
      </w:r>
    </w:p>
    <w:p w14:paraId="1FC9DD3E" w14:textId="3CDCF28A" w:rsidR="0007114F" w:rsidRDefault="0007114F" w:rsidP="0007114F">
      <w:pPr>
        <w:pStyle w:val="BodyText"/>
      </w:pPr>
      <w:r>
        <w:t xml:space="preserve">I </w:t>
      </w:r>
      <w:r w:rsidR="000C1672">
        <w:t xml:space="preserve">actively </w:t>
      </w:r>
      <w:r>
        <w:t xml:space="preserve">monitored the guidelines and advice prepared by the </w:t>
      </w:r>
      <w:r w:rsidR="00807855">
        <w:t>Government</w:t>
      </w:r>
      <w:r>
        <w:t xml:space="preserve">, Ministry of Health, and </w:t>
      </w:r>
      <w:r w:rsidR="00807855">
        <w:t xml:space="preserve">WorkSafe </w:t>
      </w:r>
      <w:r>
        <w:t xml:space="preserve">New Zealand. </w:t>
      </w:r>
      <w:r w:rsidRPr="000A0549">
        <w:t xml:space="preserve">When it was appropriate </w:t>
      </w:r>
      <w:r w:rsidR="000C1672">
        <w:t xml:space="preserve">and safe </w:t>
      </w:r>
      <w:r w:rsidRPr="000A0549">
        <w:t xml:space="preserve">to do so, </w:t>
      </w:r>
      <w:r w:rsidR="000C1672">
        <w:t xml:space="preserve">I supported </w:t>
      </w:r>
      <w:r w:rsidRPr="000A0549">
        <w:t xml:space="preserve">my staff </w:t>
      </w:r>
      <w:r w:rsidR="000C1672">
        <w:t xml:space="preserve">as they </w:t>
      </w:r>
      <w:r w:rsidRPr="000A0549">
        <w:t>transitioned back</w:t>
      </w:r>
      <w:r>
        <w:t xml:space="preserve"> to working in the office</w:t>
      </w:r>
      <w:r w:rsidRPr="000A0549">
        <w:t xml:space="preserve"> </w:t>
      </w:r>
      <w:r w:rsidR="000C1672">
        <w:t xml:space="preserve">and the associated </w:t>
      </w:r>
      <w:r w:rsidRPr="000A0549">
        <w:t xml:space="preserve">changes to </w:t>
      </w:r>
      <w:r>
        <w:t>their working environment</w:t>
      </w:r>
      <w:r w:rsidR="000C1672">
        <w:t xml:space="preserve"> that were needed</w:t>
      </w:r>
      <w:r>
        <w:t>.</w:t>
      </w:r>
    </w:p>
    <w:p w14:paraId="1E396247" w14:textId="559E6382" w:rsidR="00B02E18" w:rsidRPr="00934F10" w:rsidRDefault="00B02E18" w:rsidP="00B02E18">
      <w:pPr>
        <w:pStyle w:val="BodyText"/>
      </w:pPr>
      <w:r w:rsidRPr="00934F10">
        <w:t>In 20</w:t>
      </w:r>
      <w:r>
        <w:t>19</w:t>
      </w:r>
      <w:r w:rsidRPr="00934F10">
        <w:t>/</w:t>
      </w:r>
      <w:r>
        <w:t>20</w:t>
      </w:r>
      <w:r w:rsidRPr="00934F10">
        <w:t xml:space="preserve">, </w:t>
      </w:r>
      <w:r>
        <w:t>I</w:t>
      </w:r>
      <w:r w:rsidRPr="00934F10">
        <w:t xml:space="preserve"> focused on </w:t>
      </w:r>
      <w:r>
        <w:t xml:space="preserve">resourcing and </w:t>
      </w:r>
      <w:r w:rsidR="001E4EC4">
        <w:t xml:space="preserve">enhancing the </w:t>
      </w:r>
      <w:r>
        <w:t xml:space="preserve">capability </w:t>
      </w:r>
      <w:r w:rsidR="001E4EC4">
        <w:t xml:space="preserve">of my staff to support </w:t>
      </w:r>
      <w:r w:rsidR="00F77582">
        <w:t xml:space="preserve">my </w:t>
      </w:r>
      <w:r w:rsidR="001E4EC4">
        <w:t>work</w:t>
      </w:r>
      <w:r w:rsidR="00F77582">
        <w:t>,</w:t>
      </w:r>
      <w:r w:rsidR="001E4EC4">
        <w:t xml:space="preserve"> including </w:t>
      </w:r>
      <w:r>
        <w:t>new</w:t>
      </w:r>
      <w:r w:rsidR="001E4EC4">
        <w:t>ly acquired</w:t>
      </w:r>
      <w:r>
        <w:t xml:space="preserve"> jurisdictions:</w:t>
      </w:r>
    </w:p>
    <w:p w14:paraId="1A7BED9A" w14:textId="77777777" w:rsidR="00B02E18" w:rsidRDefault="00B02E18" w:rsidP="00B02E18">
      <w:pPr>
        <w:pStyle w:val="Bullet1"/>
        <w:spacing w:after="200" w:line="240" w:lineRule="atLeast"/>
      </w:pPr>
      <w:r>
        <w:t>significant and successful external recruitment drive</w:t>
      </w:r>
      <w:r w:rsidR="00E24E46">
        <w:t>s</w:t>
      </w:r>
      <w:r>
        <w:t>;</w:t>
      </w:r>
    </w:p>
    <w:p w14:paraId="1F56DC14" w14:textId="77777777" w:rsidR="00B02E18" w:rsidRPr="00934F10" w:rsidRDefault="000C1672" w:rsidP="00B02E18">
      <w:pPr>
        <w:pStyle w:val="Bullet1"/>
        <w:spacing w:after="200" w:line="240" w:lineRule="atLeast"/>
      </w:pPr>
      <w:r>
        <w:t xml:space="preserve">a </w:t>
      </w:r>
      <w:r w:rsidR="00B02E18">
        <w:t>review of on-boarding procedures to cope with the influx of new staff;</w:t>
      </w:r>
    </w:p>
    <w:p w14:paraId="6245A868" w14:textId="77777777" w:rsidR="00B02E18" w:rsidRDefault="00B02E18" w:rsidP="00B02E18">
      <w:pPr>
        <w:pStyle w:val="Bullet1"/>
        <w:spacing w:after="200" w:line="240" w:lineRule="atLeast"/>
      </w:pPr>
      <w:r>
        <w:t xml:space="preserve">a review and update of some of </w:t>
      </w:r>
      <w:r w:rsidRPr="009A2771">
        <w:t xml:space="preserve">existing </w:t>
      </w:r>
      <w:r>
        <w:t>human resources</w:t>
      </w:r>
      <w:r w:rsidRPr="009A2771">
        <w:t xml:space="preserve"> policies and practices</w:t>
      </w:r>
      <w:r>
        <w:t>;</w:t>
      </w:r>
    </w:p>
    <w:p w14:paraId="255A8004" w14:textId="77777777" w:rsidR="00B02E18" w:rsidRPr="009A2771" w:rsidRDefault="001E4EC4" w:rsidP="00B02E18">
      <w:pPr>
        <w:pStyle w:val="Bullet1"/>
        <w:spacing w:after="200" w:line="240" w:lineRule="atLeast"/>
      </w:pPr>
      <w:r>
        <w:t xml:space="preserve">the </w:t>
      </w:r>
      <w:r w:rsidR="00B02E18">
        <w:t>expansion and reorganisation of my People &amp; Capability team to support a larger and more complex organisation;</w:t>
      </w:r>
    </w:p>
    <w:p w14:paraId="1BEDD1F4" w14:textId="77777777" w:rsidR="00B02E18" w:rsidRDefault="00B02E18" w:rsidP="00B02E18">
      <w:pPr>
        <w:pStyle w:val="Bullet1"/>
        <w:spacing w:after="200" w:line="240" w:lineRule="atLeast"/>
      </w:pPr>
      <w:r>
        <w:t>continued investment in i</w:t>
      </w:r>
      <w:r w:rsidRPr="00934F10">
        <w:t xml:space="preserve">ndividualised leadership and management development programmes </w:t>
      </w:r>
      <w:r>
        <w:t xml:space="preserve">for </w:t>
      </w:r>
      <w:r w:rsidRPr="00934F10">
        <w:t xml:space="preserve">new </w:t>
      </w:r>
      <w:r>
        <w:t xml:space="preserve">and existing </w:t>
      </w:r>
      <w:r w:rsidRPr="00934F10">
        <w:t>managers</w:t>
      </w:r>
      <w:r>
        <w:t>;</w:t>
      </w:r>
    </w:p>
    <w:p w14:paraId="0D9C2F79" w14:textId="77777777" w:rsidR="00B02E18" w:rsidRPr="00934F10" w:rsidRDefault="001E4EC4" w:rsidP="00B02E18">
      <w:pPr>
        <w:pStyle w:val="Bullet1"/>
        <w:spacing w:after="200" w:line="240" w:lineRule="atLeast"/>
      </w:pPr>
      <w:r>
        <w:t xml:space="preserve">ongoing </w:t>
      </w:r>
      <w:r w:rsidR="00B02E18">
        <w:t>upskilling of my staff, particularly in the areas of Māori engagement skills;</w:t>
      </w:r>
    </w:p>
    <w:p w14:paraId="3BD5E06B" w14:textId="77777777" w:rsidR="00B02E18" w:rsidRPr="00934F10" w:rsidRDefault="00B02E18" w:rsidP="00B02E18">
      <w:pPr>
        <w:pStyle w:val="Bullet1"/>
        <w:spacing w:after="200" w:line="240" w:lineRule="atLeast"/>
      </w:pPr>
      <w:r>
        <w:t>scoping the requirements for a Learning Management System to increase the scope and reach of my internal and external training programmes;</w:t>
      </w:r>
    </w:p>
    <w:p w14:paraId="170F29D6" w14:textId="77777777" w:rsidR="00B02E18" w:rsidRPr="00934F10" w:rsidRDefault="001E4EC4" w:rsidP="00B02E18">
      <w:pPr>
        <w:pStyle w:val="Bullet1"/>
        <w:spacing w:after="200" w:line="240" w:lineRule="atLeast"/>
      </w:pPr>
      <w:r>
        <w:t xml:space="preserve">identifying </w:t>
      </w:r>
      <w:r w:rsidR="00B02E18" w:rsidRPr="00934F10">
        <w:t>opportunities for</w:t>
      </w:r>
      <w:r w:rsidR="00B02E18">
        <w:t xml:space="preserve"> </w:t>
      </w:r>
      <w:r w:rsidR="00B02E18" w:rsidRPr="00934F10">
        <w:t>professional development</w:t>
      </w:r>
      <w:r w:rsidR="00B02E18">
        <w:t xml:space="preserve"> for my</w:t>
      </w:r>
      <w:r w:rsidR="00B02E18" w:rsidRPr="00934F10">
        <w:t xml:space="preserve"> staff to develop specific</w:t>
      </w:r>
      <w:r w:rsidR="00DF36EA">
        <w:t xml:space="preserve"> skills</w:t>
      </w:r>
      <w:r w:rsidR="00B02E18" w:rsidRPr="00934F10">
        <w:t xml:space="preserve">, including internal secondments </w:t>
      </w:r>
      <w:r w:rsidR="00B02E18">
        <w:t xml:space="preserve">and </w:t>
      </w:r>
      <w:r w:rsidR="00B02E18" w:rsidRPr="00934F10">
        <w:t>project work</w:t>
      </w:r>
      <w:r w:rsidR="00B02E18">
        <w:t>; and</w:t>
      </w:r>
    </w:p>
    <w:p w14:paraId="3BC4BCBA" w14:textId="77777777" w:rsidR="00B02E18" w:rsidRDefault="001E4EC4" w:rsidP="00D44245">
      <w:pPr>
        <w:pStyle w:val="Bullet1"/>
        <w:spacing w:after="200" w:line="240" w:lineRule="atLeast"/>
      </w:pPr>
      <w:r>
        <w:t xml:space="preserve">the introduction of </w:t>
      </w:r>
      <w:r w:rsidR="00B02E18">
        <w:t>new health and safety initiatives</w:t>
      </w:r>
      <w:r w:rsidR="00E24E46">
        <w:t xml:space="preserve">, including </w:t>
      </w:r>
      <w:r>
        <w:t xml:space="preserve">a </w:t>
      </w:r>
      <w:r w:rsidR="00B02E18">
        <w:t>further review and improvement of health and safety requirements for visiting place of detention, and</w:t>
      </w:r>
      <w:r w:rsidR="00E24E46">
        <w:t xml:space="preserve"> </w:t>
      </w:r>
      <w:r w:rsidR="00B02E18">
        <w:t xml:space="preserve">increased </w:t>
      </w:r>
      <w:r w:rsidR="002C7E04">
        <w:t>health and safety representatives to represent growing work groups</w:t>
      </w:r>
      <w:r w:rsidR="00B02E18">
        <w:t>.</w:t>
      </w:r>
    </w:p>
    <w:p w14:paraId="0588F813" w14:textId="77777777" w:rsidR="00B02E18" w:rsidRDefault="002C2615" w:rsidP="00B02E18">
      <w:pPr>
        <w:pStyle w:val="BodyText"/>
        <w:widowControl w:val="0"/>
      </w:pPr>
      <w:r>
        <w:t>In line with my strategic vision, I have undertaken to develop a programme to instil cultural competence and confidence</w:t>
      </w:r>
      <w:r w:rsidR="00E24E46">
        <w:t xml:space="preserve"> in my staff</w:t>
      </w:r>
      <w:r>
        <w:t>. This action is also in response to the expected statutory requirements in my enhanced children in care oversight function.</w:t>
      </w:r>
    </w:p>
    <w:p w14:paraId="72A1B5D5" w14:textId="5175983F" w:rsidR="00CB5AA7" w:rsidRPr="00227AB5" w:rsidRDefault="005B795D" w:rsidP="00D837D6">
      <w:pPr>
        <w:pStyle w:val="BodyText"/>
        <w:widowControl w:val="0"/>
      </w:pPr>
      <w:hyperlink w:anchor="Contents" w:history="1">
        <w:r w:rsidR="00CB5AA7" w:rsidRPr="00F5248A">
          <w:rPr>
            <w:rStyle w:val="Hyperlink"/>
          </w:rPr>
          <w:t>Back to contents</w:t>
        </w:r>
      </w:hyperlink>
      <w:r w:rsidR="00CB5AA7">
        <w:t>.</w:t>
      </w:r>
    </w:p>
    <w:p w14:paraId="40C9B0C7" w14:textId="77777777" w:rsidR="00CB5AA7" w:rsidRPr="00D226E3" w:rsidRDefault="00CB5AA7" w:rsidP="007E402F">
      <w:pPr>
        <w:pStyle w:val="Heading2"/>
      </w:pPr>
      <w:bookmarkStart w:id="107" w:name="_Information_management"/>
      <w:bookmarkStart w:id="108" w:name="_Ref336351890"/>
      <w:bookmarkEnd w:id="107"/>
      <w:r w:rsidRPr="00087005">
        <w:t>Information ma</w:t>
      </w:r>
      <w:bookmarkStart w:id="109" w:name="ch5infoman"/>
      <w:bookmarkEnd w:id="109"/>
      <w:r w:rsidRPr="00087005">
        <w:t>nagement</w:t>
      </w:r>
      <w:bookmarkEnd w:id="108"/>
    </w:p>
    <w:p w14:paraId="148F9AA3" w14:textId="77777777" w:rsidR="00A94451" w:rsidRPr="00B05DDA" w:rsidRDefault="007E402F" w:rsidP="008D72FC">
      <w:pPr>
        <w:pStyle w:val="BodyText"/>
      </w:pPr>
      <w:bookmarkStart w:id="110" w:name="_Ref336351896"/>
      <w:r w:rsidRPr="00B05DDA">
        <w:t>I</w:t>
      </w:r>
      <w:r w:rsidR="00A94451" w:rsidRPr="00B05DDA">
        <w:t xml:space="preserve"> have continued work this year on reviewing and improving </w:t>
      </w:r>
      <w:r w:rsidR="00BA7B4D">
        <w:t>my</w:t>
      </w:r>
      <w:r w:rsidR="00A94451" w:rsidRPr="00B05DDA">
        <w:t xml:space="preserve"> information management technologies, structure</w:t>
      </w:r>
      <w:r w:rsidR="00BA7B4D">
        <w:t>,</w:t>
      </w:r>
      <w:r w:rsidR="00A94451" w:rsidRPr="00B05DDA">
        <w:t xml:space="preserve"> and related policies, processes, and practices. </w:t>
      </w:r>
    </w:p>
    <w:p w14:paraId="642C189C" w14:textId="5A41FF49" w:rsidR="00A94451" w:rsidRPr="00B05DDA" w:rsidRDefault="00A94451" w:rsidP="008D72FC">
      <w:pPr>
        <w:pStyle w:val="BodyText"/>
      </w:pPr>
      <w:r w:rsidRPr="00B05DDA">
        <w:t xml:space="preserve">All complaints and other contacts records in electronic format are stored in a customised </w:t>
      </w:r>
      <w:r w:rsidR="008A7C96" w:rsidRPr="00B05DDA">
        <w:rPr>
          <w:rStyle w:val="Italics"/>
          <w:i w:val="0"/>
        </w:rPr>
        <w:t>c</w:t>
      </w:r>
      <w:r w:rsidRPr="00B05DDA">
        <w:rPr>
          <w:rStyle w:val="Italics"/>
          <w:i w:val="0"/>
        </w:rPr>
        <w:t xml:space="preserve">ase </w:t>
      </w:r>
      <w:r w:rsidR="008A7C96" w:rsidRPr="00B05DDA">
        <w:rPr>
          <w:rStyle w:val="Italics"/>
          <w:i w:val="0"/>
        </w:rPr>
        <w:t>m</w:t>
      </w:r>
      <w:r w:rsidRPr="00B05DDA">
        <w:rPr>
          <w:rStyle w:val="Italics"/>
          <w:i w:val="0"/>
        </w:rPr>
        <w:t xml:space="preserve">anagement </w:t>
      </w:r>
      <w:r w:rsidR="008A7C96" w:rsidRPr="00B05DDA">
        <w:rPr>
          <w:rStyle w:val="Italics"/>
          <w:i w:val="0"/>
        </w:rPr>
        <w:t>s</w:t>
      </w:r>
      <w:r w:rsidRPr="00B05DDA">
        <w:rPr>
          <w:rStyle w:val="Italics"/>
          <w:i w:val="0"/>
        </w:rPr>
        <w:t>ystem</w:t>
      </w:r>
      <w:r w:rsidR="008A7C96" w:rsidRPr="00B05DDA">
        <w:rPr>
          <w:rStyle w:val="Italics"/>
          <w:i w:val="0"/>
        </w:rPr>
        <w:t xml:space="preserve"> (CMS)</w:t>
      </w:r>
      <w:r w:rsidRPr="00B05DDA">
        <w:t>.</w:t>
      </w:r>
      <w:r w:rsidRPr="00B05DDA">
        <w:rPr>
          <w:i/>
        </w:rPr>
        <w:t xml:space="preserve"> </w:t>
      </w:r>
      <w:r w:rsidRPr="00B05DDA">
        <w:t>The</w:t>
      </w:r>
      <w:r w:rsidR="008A7C96" w:rsidRPr="00B05DDA">
        <w:t xml:space="preserve"> CMS</w:t>
      </w:r>
      <w:r w:rsidRPr="00B05DDA">
        <w:t xml:space="preserve"> was upgraded in 2010 and has since been modified and enhanced via process change requests. This system no longer meets </w:t>
      </w:r>
      <w:r w:rsidR="00A76B75" w:rsidRPr="00B05DDA">
        <w:t>my</w:t>
      </w:r>
      <w:r w:rsidRPr="00B05DDA">
        <w:t xml:space="preserve"> current and future needs and is being replaced. The first phase of this </w:t>
      </w:r>
      <w:r w:rsidR="003A2EBE" w:rsidRPr="00B05DDA">
        <w:t xml:space="preserve">is </w:t>
      </w:r>
      <w:r w:rsidR="00DF36EA">
        <w:t xml:space="preserve">complete and the second phase is in </w:t>
      </w:r>
      <w:r w:rsidR="001E4EC4">
        <w:t>development</w:t>
      </w:r>
      <w:r w:rsidR="003A2EBE" w:rsidRPr="00B05DDA">
        <w:t>.</w:t>
      </w:r>
    </w:p>
    <w:p w14:paraId="0AB8F7C2" w14:textId="1CE4AAF7" w:rsidR="003A2EBE" w:rsidRPr="00B05DDA" w:rsidRDefault="003A2EBE" w:rsidP="008D72FC">
      <w:pPr>
        <w:pStyle w:val="BodyText"/>
      </w:pPr>
      <w:r w:rsidRPr="00B05DDA">
        <w:t xml:space="preserve">Investment in systems </w:t>
      </w:r>
      <w:r w:rsidR="00BA7B4D">
        <w:t xml:space="preserve">and </w:t>
      </w:r>
      <w:r w:rsidR="001E4EC4">
        <w:t xml:space="preserve">mobile </w:t>
      </w:r>
      <w:r w:rsidR="00BA7B4D">
        <w:t xml:space="preserve">devices </w:t>
      </w:r>
      <w:r w:rsidRPr="00B05DDA">
        <w:t xml:space="preserve">ensured that </w:t>
      </w:r>
      <w:r w:rsidR="000222B7">
        <w:t>my staff were</w:t>
      </w:r>
      <w:r w:rsidRPr="00B05DDA">
        <w:t xml:space="preserve"> able to operate </w:t>
      </w:r>
      <w:r w:rsidR="00D65BF8" w:rsidRPr="00B05DDA">
        <w:t xml:space="preserve">remotely </w:t>
      </w:r>
      <w:r w:rsidRPr="00B05DDA">
        <w:t xml:space="preserve">during </w:t>
      </w:r>
      <w:r w:rsidR="00807855">
        <w:t xml:space="preserve">Alert </w:t>
      </w:r>
      <w:r w:rsidRPr="00B05DDA">
        <w:t>Level</w:t>
      </w:r>
      <w:r w:rsidR="00807855">
        <w:t>s</w:t>
      </w:r>
      <w:r w:rsidRPr="00B05DDA">
        <w:t xml:space="preserve"> 4 and 3 of the pandemic. </w:t>
      </w:r>
      <w:r w:rsidR="000222B7">
        <w:t xml:space="preserve">I </w:t>
      </w:r>
      <w:r w:rsidR="00D65BF8" w:rsidRPr="00B05DDA">
        <w:t xml:space="preserve">also </w:t>
      </w:r>
      <w:r w:rsidRPr="00B05DDA">
        <w:t>gain</w:t>
      </w:r>
      <w:r w:rsidR="00D265BE">
        <w:t>ed</w:t>
      </w:r>
      <w:r w:rsidRPr="00B05DDA">
        <w:t xml:space="preserve"> significant insights into </w:t>
      </w:r>
      <w:r w:rsidR="000222B7">
        <w:t>my</w:t>
      </w:r>
      <w:r w:rsidRPr="00B05DDA">
        <w:t xml:space="preserve"> </w:t>
      </w:r>
      <w:r w:rsidR="00D65BF8" w:rsidRPr="00B05DDA">
        <w:t xml:space="preserve">operational processes and </w:t>
      </w:r>
      <w:r w:rsidRPr="00B05DDA">
        <w:t>case flow</w:t>
      </w:r>
      <w:r w:rsidR="00D65BF8" w:rsidRPr="00B05DDA">
        <w:t xml:space="preserve">s </w:t>
      </w:r>
      <w:r w:rsidR="000222B7">
        <w:t xml:space="preserve">through the </w:t>
      </w:r>
      <w:r w:rsidR="00D65BF8" w:rsidRPr="00B05DDA">
        <w:t>us</w:t>
      </w:r>
      <w:r w:rsidR="000222B7">
        <w:t>e of</w:t>
      </w:r>
      <w:r w:rsidR="00D65BF8" w:rsidRPr="00B05DDA">
        <w:t xml:space="preserve"> business intelligence tools.</w:t>
      </w:r>
    </w:p>
    <w:p w14:paraId="75059435" w14:textId="275E93D0" w:rsidR="00C80302" w:rsidRDefault="005B795D" w:rsidP="00C80302">
      <w:pPr>
        <w:pStyle w:val="BodyText"/>
      </w:pPr>
      <w:hyperlink w:anchor="Contents" w:history="1">
        <w:r w:rsidR="00C80302" w:rsidRPr="00F5248A">
          <w:rPr>
            <w:rStyle w:val="Hyperlink"/>
          </w:rPr>
          <w:t>Back to contents</w:t>
        </w:r>
      </w:hyperlink>
      <w:r w:rsidR="00C80302">
        <w:t>.</w:t>
      </w:r>
    </w:p>
    <w:p w14:paraId="7213A113" w14:textId="77777777" w:rsidR="00CB5AA7" w:rsidRPr="000B238C" w:rsidRDefault="00CB5AA7" w:rsidP="00D837D6">
      <w:pPr>
        <w:pStyle w:val="Heading2"/>
      </w:pPr>
      <w:bookmarkStart w:id="111" w:name="_Risk_management"/>
      <w:bookmarkStart w:id="112" w:name="_Ref54702657"/>
      <w:bookmarkEnd w:id="111"/>
      <w:r w:rsidRPr="000B238C">
        <w:t>Risk manage</w:t>
      </w:r>
      <w:bookmarkStart w:id="113" w:name="ch5riskman"/>
      <w:bookmarkEnd w:id="113"/>
      <w:r w:rsidRPr="000B238C">
        <w:t>ment</w:t>
      </w:r>
      <w:bookmarkEnd w:id="110"/>
      <w:bookmarkEnd w:id="112"/>
    </w:p>
    <w:p w14:paraId="76173E6D" w14:textId="45120188" w:rsidR="00CB5AA7" w:rsidRPr="008E2645" w:rsidRDefault="0028792E" w:rsidP="00CB5AA7">
      <w:pPr>
        <w:pStyle w:val="BodyText"/>
      </w:pPr>
      <w:r w:rsidRPr="008E2645">
        <w:t>My</w:t>
      </w:r>
      <w:r w:rsidR="00CB5AA7" w:rsidRPr="008E2645">
        <w:t xml:space="preserve"> </w:t>
      </w:r>
      <w:r w:rsidR="00CE56F0" w:rsidRPr="008E2645">
        <w:t>201</w:t>
      </w:r>
      <w:r w:rsidR="00266ECD" w:rsidRPr="008E2645">
        <w:t>9</w:t>
      </w:r>
      <w:r w:rsidR="00CE56F0" w:rsidRPr="008E2645">
        <w:t>/2</w:t>
      </w:r>
      <w:r w:rsidR="00266ECD" w:rsidRPr="008E2645">
        <w:t>3</w:t>
      </w:r>
      <w:r w:rsidR="00CB5AA7" w:rsidRPr="008E2645">
        <w:t xml:space="preserve"> </w:t>
      </w:r>
      <w:r w:rsidR="00CB5AA7" w:rsidRPr="008E2645">
        <w:rPr>
          <w:rStyle w:val="Italics"/>
        </w:rPr>
        <w:t>Strategic Intentions</w:t>
      </w:r>
      <w:r w:rsidR="00CB5AA7" w:rsidRPr="008E2645">
        <w:t xml:space="preserve"> identifie</w:t>
      </w:r>
      <w:r w:rsidR="00CE56F0" w:rsidRPr="008E2645">
        <w:t>d</w:t>
      </w:r>
      <w:r w:rsidR="00CB5AA7" w:rsidRPr="008E2645">
        <w:t xml:space="preserve"> </w:t>
      </w:r>
      <w:r w:rsidRPr="008E2645">
        <w:t>the</w:t>
      </w:r>
      <w:r w:rsidR="00CB5AA7" w:rsidRPr="008E2645">
        <w:t xml:space="preserve"> key risks, and set out the strategies </w:t>
      </w:r>
      <w:r w:rsidR="00F77582">
        <w:t>I</w:t>
      </w:r>
      <w:r w:rsidR="00CB5AA7" w:rsidRPr="008E2645">
        <w:t xml:space="preserve"> </w:t>
      </w:r>
      <w:r w:rsidR="007C22EE" w:rsidRPr="008E2645">
        <w:t xml:space="preserve">would </w:t>
      </w:r>
      <w:r w:rsidR="00CB5AA7" w:rsidRPr="008E2645">
        <w:t xml:space="preserve">use to manage these risks. In summary, </w:t>
      </w:r>
      <w:r w:rsidRPr="008E2645">
        <w:t>the</w:t>
      </w:r>
      <w:r w:rsidR="00B62589" w:rsidRPr="008E2645">
        <w:t xml:space="preserve"> key risks are:</w:t>
      </w:r>
    </w:p>
    <w:p w14:paraId="74C2C46B" w14:textId="77777777" w:rsidR="00CB5AA7" w:rsidRPr="008E2645" w:rsidRDefault="00CB5AA7" w:rsidP="00CB5AA7">
      <w:pPr>
        <w:pStyle w:val="Bullet1"/>
      </w:pPr>
      <w:r w:rsidRPr="008E2645">
        <w:t xml:space="preserve">damage to </w:t>
      </w:r>
      <w:r w:rsidR="0028792E" w:rsidRPr="008E2645">
        <w:t>the Ombudsman’s</w:t>
      </w:r>
      <w:r w:rsidR="00B62589" w:rsidRPr="008E2645">
        <w:t xml:space="preserve"> credibility or reputation;</w:t>
      </w:r>
    </w:p>
    <w:p w14:paraId="6EF64191" w14:textId="77777777" w:rsidR="00CB5AA7" w:rsidRPr="008E2645" w:rsidRDefault="00DF6430" w:rsidP="00CB5AA7">
      <w:pPr>
        <w:pStyle w:val="Bullet1"/>
      </w:pPr>
      <w:r w:rsidRPr="008E2645">
        <w:t>work</w:t>
      </w:r>
      <w:r w:rsidR="00CB5AA7" w:rsidRPr="008E2645">
        <w:t xml:space="preserve"> pressures and finite resources;</w:t>
      </w:r>
    </w:p>
    <w:p w14:paraId="783E4BE3" w14:textId="77777777" w:rsidR="00CB5AA7" w:rsidRPr="008E2645" w:rsidRDefault="00CB5AA7" w:rsidP="00CB5AA7">
      <w:pPr>
        <w:pStyle w:val="Bullet1"/>
      </w:pPr>
      <w:r w:rsidRPr="008E2645">
        <w:t>loss of relevance; and</w:t>
      </w:r>
    </w:p>
    <w:p w14:paraId="08F2392E" w14:textId="77777777" w:rsidR="00CB5AA7" w:rsidRPr="008E2645" w:rsidRDefault="00CB5AA7" w:rsidP="00CB5AA7">
      <w:pPr>
        <w:pStyle w:val="Bullet1"/>
      </w:pPr>
      <w:r w:rsidRPr="008E2645">
        <w:t>loss of international credibility and reputation.</w:t>
      </w:r>
    </w:p>
    <w:p w14:paraId="4F885AF9" w14:textId="2F931F4F" w:rsidR="00CB5AA7" w:rsidRPr="008E2645" w:rsidRDefault="00F77582" w:rsidP="00CB5AA7">
      <w:pPr>
        <w:pStyle w:val="BodyText"/>
      </w:pPr>
      <w:r>
        <w:t>I</w:t>
      </w:r>
      <w:r w:rsidR="00CB5AA7" w:rsidRPr="008E2645">
        <w:t xml:space="preserve"> also face staffing and accommodation risks</w:t>
      </w:r>
      <w:r w:rsidR="00B62589" w:rsidRPr="008E2645">
        <w:t>, including those arising from:</w:t>
      </w:r>
    </w:p>
    <w:p w14:paraId="3D16E450" w14:textId="77777777" w:rsidR="00CB5AA7" w:rsidRPr="008E2645" w:rsidRDefault="00CB5AA7" w:rsidP="00CB5AA7">
      <w:pPr>
        <w:pStyle w:val="Bullet1"/>
      </w:pPr>
      <w:r w:rsidRPr="008E2645">
        <w:t>the departure of key staff and the consequent lo</w:t>
      </w:r>
      <w:r w:rsidR="00B62589" w:rsidRPr="008E2645">
        <w:t>ss of expertise and experience;</w:t>
      </w:r>
    </w:p>
    <w:p w14:paraId="3241B372" w14:textId="77777777" w:rsidR="00CB5AA7" w:rsidRPr="008E2645" w:rsidRDefault="00CB5AA7" w:rsidP="00CB5AA7">
      <w:pPr>
        <w:pStyle w:val="Bullet1"/>
      </w:pPr>
      <w:r w:rsidRPr="008E2645">
        <w:t>physical and electronic security;</w:t>
      </w:r>
    </w:p>
    <w:p w14:paraId="1D8DE2D9" w14:textId="77777777" w:rsidR="00CB5AA7" w:rsidRPr="008E2645" w:rsidRDefault="00CB5AA7" w:rsidP="00CB5AA7">
      <w:pPr>
        <w:pStyle w:val="Bullet1"/>
      </w:pPr>
      <w:r w:rsidRPr="008E2645">
        <w:t>impacts on staff health and safety, and the efficient use of our resources arising from unreasonable complainant conduct; and</w:t>
      </w:r>
    </w:p>
    <w:p w14:paraId="67446EC7" w14:textId="77777777" w:rsidR="00CB5AA7" w:rsidRPr="008E2645" w:rsidRDefault="00CB5AA7" w:rsidP="00CB5AA7">
      <w:pPr>
        <w:pStyle w:val="Bullet1"/>
      </w:pPr>
      <w:r w:rsidRPr="008E2645">
        <w:t>disaster</w:t>
      </w:r>
      <w:r w:rsidR="008A7C96" w:rsidRPr="008E2645">
        <w:t>s</w:t>
      </w:r>
      <w:r w:rsidRPr="008E2645">
        <w:t xml:space="preserve"> </w:t>
      </w:r>
      <w:r w:rsidR="00B62589" w:rsidRPr="008E2645">
        <w:t>including fire and earthquakes.</w:t>
      </w:r>
    </w:p>
    <w:p w14:paraId="475AC13A" w14:textId="37C6D721" w:rsidR="00266ECD" w:rsidRPr="008E2645" w:rsidRDefault="00266ECD" w:rsidP="00CB5AA7">
      <w:pPr>
        <w:pStyle w:val="BodyText"/>
      </w:pPr>
      <w:r w:rsidRPr="008E2645">
        <w:t xml:space="preserve">All of these risks were key factors influencing my priorities during pandemic planning. They were also core drivers for my actions and response to the work as an essential service during the </w:t>
      </w:r>
      <w:r w:rsidR="008E2645">
        <w:t>COVID</w:t>
      </w:r>
      <w:r w:rsidRPr="008E2645">
        <w:t>-19 lockdown period</w:t>
      </w:r>
      <w:r w:rsidR="00D92D71" w:rsidRPr="008E2645">
        <w:t>.</w:t>
      </w:r>
      <w:r w:rsidRPr="008E2645">
        <w:t xml:space="preserve"> </w:t>
      </w:r>
    </w:p>
    <w:p w14:paraId="7FB3AE59" w14:textId="6DADC21F" w:rsidR="00CB5AA7" w:rsidRPr="007461EE" w:rsidRDefault="0028792E" w:rsidP="00CB5AA7">
      <w:pPr>
        <w:pStyle w:val="BodyText"/>
      </w:pPr>
      <w:r w:rsidRPr="008E2645">
        <w:t>I</w:t>
      </w:r>
      <w:r w:rsidR="00CB5AA7" w:rsidRPr="008E2645">
        <w:t xml:space="preserve"> </w:t>
      </w:r>
      <w:r w:rsidR="00D92D71" w:rsidRPr="008E2645">
        <w:t xml:space="preserve">already had </w:t>
      </w:r>
      <w:r w:rsidR="00CB5AA7" w:rsidRPr="008E2645">
        <w:t xml:space="preserve">targeted measures in place to manage these specific risks. </w:t>
      </w:r>
      <w:r w:rsidR="00AD04C5" w:rsidRPr="008E2645">
        <w:t xml:space="preserve">In </w:t>
      </w:r>
      <w:r w:rsidR="00D92D71" w:rsidRPr="008E2645">
        <w:t>the past two years in particular</w:t>
      </w:r>
      <w:r w:rsidR="00AD04C5" w:rsidRPr="008E2645">
        <w:t xml:space="preserve">, </w:t>
      </w:r>
      <w:r w:rsidRPr="008E2645">
        <w:t>I</w:t>
      </w:r>
      <w:r w:rsidR="00CB5AA7" w:rsidRPr="008E2645">
        <w:t xml:space="preserve"> </w:t>
      </w:r>
      <w:r w:rsidR="00D92D71" w:rsidRPr="008E2645">
        <w:t xml:space="preserve">had </w:t>
      </w:r>
      <w:r w:rsidR="00CB5AA7" w:rsidRPr="008E2645">
        <w:t xml:space="preserve">invested in projects aimed at developing organisational values, promoting positive health and safety policies and practices </w:t>
      </w:r>
      <w:r w:rsidRPr="008E2645">
        <w:t xml:space="preserve">in the workplace, and enabling my staff </w:t>
      </w:r>
      <w:r w:rsidR="00CB5AA7" w:rsidRPr="008E2645">
        <w:t xml:space="preserve">to be confident in both responding appropriately in an emergency and ensuring business continuity </w:t>
      </w:r>
      <w:r w:rsidR="00D92D71" w:rsidRPr="008E2645">
        <w:t>when faced with a significant event</w:t>
      </w:r>
      <w:r w:rsidR="00CB5AA7" w:rsidRPr="008E2645">
        <w:t>.</w:t>
      </w:r>
      <w:r w:rsidR="00D92D71" w:rsidRPr="008E2645">
        <w:t xml:space="preserve"> I had ensured regular table top exercises had taken place with my senior management team to ensure</w:t>
      </w:r>
      <w:r w:rsidR="00D92D71">
        <w:t xml:space="preserve"> our plans were up to date and relevant. I also had engaged a consultant in 2019/20 to independently review my executive risk management framework and the currency of the mitigation plans and initiatives I was relying on. As a result, my senior management team</w:t>
      </w:r>
      <w:r w:rsidR="00F77582">
        <w:t xml:space="preserve"> and I were</w:t>
      </w:r>
      <w:r w:rsidR="00D92D71">
        <w:t xml:space="preserve"> well-placed to respond quickly and adjust plans with agility and confidence </w:t>
      </w:r>
      <w:r w:rsidR="007219BD">
        <w:t>in</w:t>
      </w:r>
      <w:r w:rsidR="00D92D71">
        <w:t xml:space="preserve"> a situation which was fast-moving, novel</w:t>
      </w:r>
      <w:r w:rsidR="00F77582">
        <w:t>,</w:t>
      </w:r>
      <w:r w:rsidR="00D92D71">
        <w:t xml:space="preserve"> and unprecedented.  </w:t>
      </w:r>
    </w:p>
    <w:p w14:paraId="2B349C32" w14:textId="7DD9A1BF" w:rsidR="00CB5AA7" w:rsidRDefault="005B795D" w:rsidP="00CB5AA7">
      <w:pPr>
        <w:pStyle w:val="BodyText"/>
      </w:pPr>
      <w:hyperlink w:anchor="Contents" w:history="1">
        <w:r w:rsidR="00CB5AA7" w:rsidRPr="00F5248A">
          <w:rPr>
            <w:rStyle w:val="Hyperlink"/>
          </w:rPr>
          <w:t>Back to contents</w:t>
        </w:r>
      </w:hyperlink>
    </w:p>
    <w:p w14:paraId="1C58FA6A" w14:textId="77777777" w:rsidR="00DF1795" w:rsidRPr="00B36520" w:rsidRDefault="00CE5E04" w:rsidP="00DF1795">
      <w:pPr>
        <w:pStyle w:val="HeadingPart"/>
      </w:pPr>
      <w:r>
        <w:br w:type="page"/>
      </w:r>
    </w:p>
    <w:bookmarkStart w:id="114" w:name="_Financial_and_performance"/>
    <w:bookmarkStart w:id="115" w:name="_Ref54686920"/>
    <w:bookmarkStart w:id="116" w:name="_Ref336353998"/>
    <w:bookmarkEnd w:id="114"/>
    <w:p w14:paraId="1C8B7C97" w14:textId="77777777" w:rsidR="00DF1795" w:rsidRPr="00256F3E" w:rsidRDefault="000032E8" w:rsidP="002B6A66">
      <w:pPr>
        <w:pStyle w:val="Heading1"/>
        <w:pageBreakBefore w:val="0"/>
        <w:tabs>
          <w:tab w:val="right" w:pos="9014"/>
        </w:tabs>
        <w:spacing w:after="1200"/>
      </w:pPr>
      <w:r>
        <w:rPr>
          <w:noProof/>
          <w:lang w:eastAsia="en-NZ"/>
        </w:rPr>
        <mc:AlternateContent>
          <mc:Choice Requires="wps">
            <w:drawing>
              <wp:anchor distT="0" distB="0" distL="114300" distR="114300" simplePos="0" relativeHeight="251693056" behindDoc="0" locked="0" layoutInCell="1" allowOverlap="1" wp14:anchorId="771DAAE0" wp14:editId="5B873DF6">
                <wp:simplePos x="0" y="0"/>
                <wp:positionH relativeFrom="margin">
                  <wp:align>right</wp:align>
                </wp:positionH>
                <wp:positionV relativeFrom="page">
                  <wp:posOffset>601073</wp:posOffset>
                </wp:positionV>
                <wp:extent cx="1189990" cy="1909267"/>
                <wp:effectExtent l="0" t="0" r="0" b="0"/>
                <wp:wrapNone/>
                <wp:docPr id="11" name="Text Box 9" title="Illustrative element - the numbe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909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94E74" w14:textId="77777777" w:rsidR="0099164B" w:rsidRPr="00C95275" w:rsidRDefault="0099164B" w:rsidP="000032E8">
                            <w:pPr>
                              <w:spacing w:after="0"/>
                              <w:jc w:val="right"/>
                              <w:rPr>
                                <w:rFonts w:ascii="Lucida Sans" w:hAnsi="Lucida Sans" w:cs="Lucida Sans"/>
                                <w:color w:val="2BB673"/>
                                <w:sz w:val="280"/>
                                <w:szCs w:val="280"/>
                              </w:rPr>
                            </w:pPr>
                            <w:r>
                              <w:rPr>
                                <w:rFonts w:ascii="Lucida Sans" w:hAnsi="Lucida Sans" w:cs="Lucida Sans"/>
                                <w:color w:val="2BB673"/>
                                <w:sz w:val="280"/>
                                <w:szCs w:val="280"/>
                              </w:rPr>
                              <w:t>6</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DAAE0" id="_x0000_s1031" type="#_x0000_t202" alt="Title: Illustrative element - the number '6'" style="position:absolute;margin-left:42.5pt;margin-top:47.35pt;width:93.7pt;height:150.3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" filled="f" stroked="f">
                <v:textbox>
                  <w:txbxContent>
                    <w:p w14:paraId="5F794E74" w14:textId="77777777" w:rsidR="0099164B" w:rsidRPr="00C95275" w:rsidRDefault="0099164B" w:rsidP="000032E8">
                      <w:pPr>
                        <w:spacing w:after="0"/>
                        <w:jc w:val="right"/>
                        <w:rPr>
                          <w:rFonts w:ascii="Lucida Sans" w:hAnsi="Lucida Sans" w:cs="Lucida Sans"/>
                          <w:color w:val="2BB673"/>
                          <w:sz w:val="280"/>
                          <w:szCs w:val="280"/>
                        </w:rPr>
                      </w:pPr>
                      <w:r>
                        <w:rPr>
                          <w:rFonts w:ascii="Lucida Sans" w:hAnsi="Lucida Sans" w:cs="Lucida Sans"/>
                          <w:color w:val="2BB673"/>
                          <w:sz w:val="280"/>
                          <w:szCs w:val="280"/>
                        </w:rPr>
                        <w:t>6</w:t>
                      </w:r>
                    </w:p>
                  </w:txbxContent>
                </v:textbox>
                <w10:wrap anchorx="margin" anchory="page"/>
              </v:shape>
            </w:pict>
          </mc:Fallback>
        </mc:AlternateContent>
      </w:r>
      <w:r w:rsidR="00DF1795" w:rsidRPr="003778D3">
        <w:t>Financial and performance</w:t>
      </w:r>
      <w:bookmarkEnd w:id="115"/>
      <w:r w:rsidR="00DF1795" w:rsidRPr="003778D3">
        <w:t xml:space="preserve"> </w:t>
      </w:r>
      <w:r w:rsidR="00DF1795" w:rsidRPr="003778D3">
        <w:br/>
      </w:r>
      <w:bookmarkEnd w:id="116"/>
    </w:p>
    <w:p w14:paraId="2E377CA8" w14:textId="77777777" w:rsidR="00DF1795" w:rsidRPr="00316E2C" w:rsidRDefault="00DF1795" w:rsidP="00DF1795">
      <w:pPr>
        <w:pStyle w:val="Whitespace"/>
        <w:rPr>
          <w:sz w:val="10"/>
          <w:szCs w:val="10"/>
        </w:rPr>
      </w:pPr>
    </w:p>
    <w:tbl>
      <w:tblPr>
        <w:tblStyle w:val="TableGridAnnualReport"/>
        <w:tblW w:w="9278" w:type="dxa"/>
        <w:tblInd w:w="10" w:type="dxa"/>
        <w:tblBorders>
          <w:left w:val="single" w:sz="8" w:space="0" w:color="FFFFFF" w:themeColor="background1"/>
          <w:bottom w:val="single" w:sz="8" w:space="0" w:color="auto"/>
          <w:right w:val="single" w:sz="8" w:space="0" w:color="FFFFFF" w:themeColor="background1"/>
          <w:insideH w:val="single" w:sz="8" w:space="0" w:color="auto"/>
          <w:insideV w:val="single" w:sz="8" w:space="0" w:color="FFFFFF" w:themeColor="background1"/>
        </w:tblBorders>
        <w:shd w:val="clear" w:color="000000" w:fill="auto"/>
        <w:tblLook w:val="04A0" w:firstRow="1" w:lastRow="0" w:firstColumn="1" w:lastColumn="0" w:noHBand="0" w:noVBand="1"/>
        <w:tblCaption w:val="Contents Section 6"/>
      </w:tblPr>
      <w:tblGrid>
        <w:gridCol w:w="8208"/>
        <w:gridCol w:w="1070"/>
      </w:tblGrid>
      <w:tr w:rsidR="002B6A66" w:rsidRPr="00F31CFD" w14:paraId="4141F1E8" w14:textId="77777777" w:rsidTr="00815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21B5FDAB" w14:textId="211F2881" w:rsidR="002B6A66" w:rsidRDefault="005B795D" w:rsidP="0081525B">
            <w:pPr>
              <w:spacing w:before="120" w:after="120" w:line="276" w:lineRule="auto"/>
            </w:pPr>
            <w:hyperlink w:anchor="_Statement_of_responsibility" w:history="1">
              <w:r w:rsidR="002B6A66" w:rsidRPr="002A2132">
                <w:rPr>
                  <w:rStyle w:val="Hyperlink"/>
                </w:rPr>
                <w:t>Statement of responsibility</w:t>
              </w:r>
            </w:hyperlink>
          </w:p>
        </w:tc>
        <w:tc>
          <w:tcPr>
            <w:tcW w:w="1070" w:type="dxa"/>
            <w:tcBorders>
              <w:left w:val="single" w:sz="8" w:space="0" w:color="FFFFFF"/>
            </w:tcBorders>
            <w:shd w:val="clear" w:color="000000" w:fill="auto"/>
            <w:vAlign w:val="center"/>
          </w:tcPr>
          <w:p w14:paraId="5DD14B48" w14:textId="14C7FECB" w:rsidR="002B6A66" w:rsidRPr="00F31CFD" w:rsidRDefault="00F31CFD" w:rsidP="002B6A66">
            <w:pPr>
              <w:spacing w:before="120" w:after="120" w:line="276" w:lineRule="auto"/>
              <w:jc w:val="right"/>
              <w:cnfStyle w:val="100000000000" w:firstRow="1" w:lastRow="0" w:firstColumn="0" w:lastColumn="0" w:oddVBand="0" w:evenVBand="0" w:oddHBand="0" w:evenHBand="0" w:firstRowFirstColumn="0" w:firstRowLastColumn="0" w:lastRowFirstColumn="0" w:lastRowLastColumn="0"/>
              <w:rPr>
                <w:sz w:val="25"/>
                <w:szCs w:val="25"/>
              </w:rPr>
            </w:pPr>
            <w:r>
              <w:rPr>
                <w:sz w:val="25"/>
                <w:szCs w:val="25"/>
              </w:rPr>
              <w:fldChar w:fldCharType="begin"/>
            </w:r>
            <w:r>
              <w:rPr>
                <w:sz w:val="25"/>
                <w:szCs w:val="25"/>
              </w:rPr>
              <w:instrText xml:space="preserve"> PAGEREF _Ref336352511 \h </w:instrText>
            </w:r>
            <w:r>
              <w:rPr>
                <w:sz w:val="25"/>
                <w:szCs w:val="25"/>
              </w:rPr>
            </w:r>
            <w:r>
              <w:rPr>
                <w:sz w:val="25"/>
                <w:szCs w:val="25"/>
              </w:rPr>
              <w:fldChar w:fldCharType="separate"/>
            </w:r>
            <w:r w:rsidR="00E36674">
              <w:rPr>
                <w:noProof/>
                <w:sz w:val="25"/>
                <w:szCs w:val="25"/>
              </w:rPr>
              <w:t>68</w:t>
            </w:r>
            <w:r>
              <w:rPr>
                <w:sz w:val="25"/>
                <w:szCs w:val="25"/>
              </w:rPr>
              <w:fldChar w:fldCharType="end"/>
            </w:r>
          </w:p>
        </w:tc>
      </w:tr>
      <w:tr w:rsidR="002B6A66" w:rsidRPr="00F31CFD" w14:paraId="324D3AEF" w14:textId="77777777" w:rsidTr="0081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19EA2893" w14:textId="56CC405D" w:rsidR="002B6A66" w:rsidRPr="005107B4" w:rsidRDefault="005B795D" w:rsidP="0081525B">
            <w:pPr>
              <w:spacing w:before="120" w:after="120" w:line="276" w:lineRule="auto"/>
              <w:rPr>
                <w:sz w:val="25"/>
                <w:szCs w:val="25"/>
              </w:rPr>
            </w:pPr>
            <w:hyperlink w:anchor="Audit" w:history="1">
              <w:r w:rsidR="002B6A66" w:rsidRPr="00AE251C">
                <w:rPr>
                  <w:rStyle w:val="Hyperlink"/>
                </w:rPr>
                <w:t>Independent auditor’s report</w:t>
              </w:r>
            </w:hyperlink>
          </w:p>
        </w:tc>
        <w:tc>
          <w:tcPr>
            <w:tcW w:w="1070" w:type="dxa"/>
            <w:tcBorders>
              <w:top w:val="nil"/>
              <w:left w:val="single" w:sz="8" w:space="0" w:color="FFFFFF"/>
            </w:tcBorders>
            <w:shd w:val="clear" w:color="000000" w:fill="auto"/>
            <w:vAlign w:val="center"/>
          </w:tcPr>
          <w:p w14:paraId="47235A55" w14:textId="15A697F8" w:rsidR="002B6A66" w:rsidRPr="00F31CFD" w:rsidRDefault="0057093C" w:rsidP="0081525B">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Pr>
                <w:sz w:val="25"/>
                <w:szCs w:val="25"/>
              </w:rPr>
              <w:fldChar w:fldCharType="begin"/>
            </w:r>
            <w:r>
              <w:rPr>
                <w:sz w:val="25"/>
                <w:szCs w:val="25"/>
              </w:rPr>
              <w:instrText xml:space="preserve"> PAGEREF Audit \h </w:instrText>
            </w:r>
            <w:r>
              <w:rPr>
                <w:sz w:val="25"/>
                <w:szCs w:val="25"/>
              </w:rPr>
            </w:r>
            <w:r>
              <w:rPr>
                <w:sz w:val="25"/>
                <w:szCs w:val="25"/>
              </w:rPr>
              <w:fldChar w:fldCharType="separate"/>
            </w:r>
            <w:r>
              <w:rPr>
                <w:noProof/>
                <w:sz w:val="25"/>
                <w:szCs w:val="25"/>
              </w:rPr>
              <w:t>69</w:t>
            </w:r>
            <w:r>
              <w:rPr>
                <w:sz w:val="25"/>
                <w:szCs w:val="25"/>
              </w:rPr>
              <w:fldChar w:fldCharType="end"/>
            </w:r>
          </w:p>
        </w:tc>
      </w:tr>
      <w:tr w:rsidR="002B6A66" w:rsidRPr="00F31CFD" w14:paraId="634DC1E2" w14:textId="77777777" w:rsidTr="008152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57DAA44F" w14:textId="603A615D" w:rsidR="002B6A66" w:rsidRDefault="005B795D" w:rsidP="0081525B">
            <w:pPr>
              <w:spacing w:before="120" w:after="120" w:line="276" w:lineRule="auto"/>
            </w:pPr>
            <w:hyperlink w:anchor="_Statement_of_objectives" w:history="1">
              <w:r w:rsidR="002B6A66" w:rsidRPr="002A2132">
                <w:rPr>
                  <w:rStyle w:val="Hyperlink"/>
                </w:rPr>
                <w:t>Statement of objectives and service performance</w:t>
              </w:r>
            </w:hyperlink>
          </w:p>
        </w:tc>
        <w:tc>
          <w:tcPr>
            <w:tcW w:w="1070" w:type="dxa"/>
            <w:tcBorders>
              <w:left w:val="single" w:sz="8" w:space="0" w:color="FFFFFF"/>
            </w:tcBorders>
            <w:shd w:val="clear" w:color="000000" w:fill="auto"/>
            <w:vAlign w:val="center"/>
          </w:tcPr>
          <w:p w14:paraId="79DE6175" w14:textId="740C3B16" w:rsidR="002B6A66" w:rsidRPr="00F31CFD" w:rsidRDefault="00F31CFD" w:rsidP="002B6A66">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Pr>
                <w:sz w:val="25"/>
                <w:szCs w:val="25"/>
              </w:rPr>
              <w:fldChar w:fldCharType="begin"/>
            </w:r>
            <w:r>
              <w:rPr>
                <w:sz w:val="25"/>
                <w:szCs w:val="25"/>
              </w:rPr>
              <w:instrText xml:space="preserve"> PAGEREF _Ref54687249 \h </w:instrText>
            </w:r>
            <w:r>
              <w:rPr>
                <w:sz w:val="25"/>
                <w:szCs w:val="25"/>
              </w:rPr>
            </w:r>
            <w:r>
              <w:rPr>
                <w:sz w:val="25"/>
                <w:szCs w:val="25"/>
              </w:rPr>
              <w:fldChar w:fldCharType="separate"/>
            </w:r>
            <w:r w:rsidR="00E36674">
              <w:rPr>
                <w:noProof/>
                <w:sz w:val="25"/>
                <w:szCs w:val="25"/>
              </w:rPr>
              <w:t>74</w:t>
            </w:r>
            <w:r>
              <w:rPr>
                <w:sz w:val="25"/>
                <w:szCs w:val="25"/>
              </w:rPr>
              <w:fldChar w:fldCharType="end"/>
            </w:r>
          </w:p>
        </w:tc>
      </w:tr>
      <w:tr w:rsidR="002B6A66" w:rsidRPr="00F31CFD" w14:paraId="512285CB" w14:textId="77777777" w:rsidTr="0081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3913E906" w14:textId="1443BD98" w:rsidR="002B6A66" w:rsidRPr="005107B4" w:rsidRDefault="005B795D" w:rsidP="0081525B">
            <w:pPr>
              <w:spacing w:before="120" w:after="120" w:line="276" w:lineRule="auto"/>
              <w:rPr>
                <w:sz w:val="25"/>
                <w:szCs w:val="25"/>
              </w:rPr>
            </w:pPr>
            <w:hyperlink w:anchor="_Statement_of_comprehensive_1" w:history="1">
              <w:r w:rsidR="002B6A66" w:rsidRPr="002A2132">
                <w:rPr>
                  <w:rStyle w:val="Hyperlink"/>
                </w:rPr>
                <w:t>Statement of comprehensive revenue and expense</w:t>
              </w:r>
            </w:hyperlink>
          </w:p>
        </w:tc>
        <w:tc>
          <w:tcPr>
            <w:tcW w:w="1070" w:type="dxa"/>
            <w:tcBorders>
              <w:left w:val="single" w:sz="8" w:space="0" w:color="FFFFFF"/>
            </w:tcBorders>
            <w:shd w:val="clear" w:color="000000" w:fill="auto"/>
            <w:vAlign w:val="center"/>
          </w:tcPr>
          <w:p w14:paraId="4BDF5090" w14:textId="2D548D81" w:rsidR="002B6A66" w:rsidRPr="00F31CFD" w:rsidRDefault="00F31CFD" w:rsidP="0081525B">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Pr>
                <w:sz w:val="25"/>
                <w:szCs w:val="25"/>
              </w:rPr>
              <w:fldChar w:fldCharType="begin"/>
            </w:r>
            <w:r>
              <w:rPr>
                <w:sz w:val="25"/>
                <w:szCs w:val="25"/>
              </w:rPr>
              <w:instrText xml:space="preserve"> PAGEREF _Ref54687254 \h </w:instrText>
            </w:r>
            <w:r>
              <w:rPr>
                <w:sz w:val="25"/>
                <w:szCs w:val="25"/>
              </w:rPr>
            </w:r>
            <w:r>
              <w:rPr>
                <w:sz w:val="25"/>
                <w:szCs w:val="25"/>
              </w:rPr>
              <w:fldChar w:fldCharType="separate"/>
            </w:r>
            <w:r w:rsidR="00E36674">
              <w:rPr>
                <w:noProof/>
                <w:sz w:val="25"/>
                <w:szCs w:val="25"/>
              </w:rPr>
              <w:t>80</w:t>
            </w:r>
            <w:r>
              <w:rPr>
                <w:sz w:val="25"/>
                <w:szCs w:val="25"/>
              </w:rPr>
              <w:fldChar w:fldCharType="end"/>
            </w:r>
          </w:p>
        </w:tc>
      </w:tr>
      <w:tr w:rsidR="002B6A66" w:rsidRPr="00F31CFD" w14:paraId="7CF51F0A" w14:textId="77777777" w:rsidTr="008152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3473A2A6" w14:textId="1FC563F5" w:rsidR="002B6A66" w:rsidRPr="005107B4" w:rsidRDefault="005B795D" w:rsidP="0081525B">
            <w:pPr>
              <w:spacing w:before="120" w:after="120" w:line="276" w:lineRule="auto"/>
              <w:rPr>
                <w:sz w:val="25"/>
                <w:szCs w:val="25"/>
              </w:rPr>
            </w:pPr>
            <w:hyperlink w:anchor="_Statement_of_financial_1" w:history="1">
              <w:r w:rsidR="002B6A66" w:rsidRPr="002A2132">
                <w:rPr>
                  <w:rStyle w:val="Hyperlink"/>
                </w:rPr>
                <w:t>Statement of financial position</w:t>
              </w:r>
            </w:hyperlink>
          </w:p>
        </w:tc>
        <w:tc>
          <w:tcPr>
            <w:tcW w:w="1070" w:type="dxa"/>
            <w:tcBorders>
              <w:left w:val="single" w:sz="8" w:space="0" w:color="FFFFFF"/>
            </w:tcBorders>
            <w:shd w:val="clear" w:color="000000" w:fill="auto"/>
            <w:vAlign w:val="center"/>
          </w:tcPr>
          <w:p w14:paraId="53339557" w14:textId="5EEE2EAB" w:rsidR="002B6A66" w:rsidRPr="00F31CFD" w:rsidRDefault="00F31CFD" w:rsidP="0081525B">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Pr>
                <w:sz w:val="25"/>
                <w:szCs w:val="25"/>
              </w:rPr>
              <w:fldChar w:fldCharType="begin"/>
            </w:r>
            <w:r>
              <w:rPr>
                <w:sz w:val="25"/>
                <w:szCs w:val="25"/>
              </w:rPr>
              <w:instrText xml:space="preserve"> PAGEREF _Ref54687258 \h </w:instrText>
            </w:r>
            <w:r>
              <w:rPr>
                <w:sz w:val="25"/>
                <w:szCs w:val="25"/>
              </w:rPr>
            </w:r>
            <w:r>
              <w:rPr>
                <w:sz w:val="25"/>
                <w:szCs w:val="25"/>
              </w:rPr>
              <w:fldChar w:fldCharType="separate"/>
            </w:r>
            <w:r w:rsidR="00E36674">
              <w:rPr>
                <w:noProof/>
                <w:sz w:val="25"/>
                <w:szCs w:val="25"/>
              </w:rPr>
              <w:t>81</w:t>
            </w:r>
            <w:r>
              <w:rPr>
                <w:sz w:val="25"/>
                <w:szCs w:val="25"/>
              </w:rPr>
              <w:fldChar w:fldCharType="end"/>
            </w:r>
          </w:p>
        </w:tc>
      </w:tr>
      <w:tr w:rsidR="002B6A66" w:rsidRPr="00F31CFD" w14:paraId="473B79AE" w14:textId="77777777" w:rsidTr="0081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62B4CD2C" w14:textId="7281380D" w:rsidR="002B6A66" w:rsidRPr="005107B4" w:rsidRDefault="005B795D" w:rsidP="0081525B">
            <w:pPr>
              <w:spacing w:before="120" w:after="120" w:line="276" w:lineRule="auto"/>
              <w:rPr>
                <w:sz w:val="25"/>
                <w:szCs w:val="25"/>
              </w:rPr>
            </w:pPr>
            <w:hyperlink w:anchor="_Statement_of_changes_1" w:history="1">
              <w:r w:rsidR="002B6A66" w:rsidRPr="002A2132">
                <w:rPr>
                  <w:rStyle w:val="Hyperlink"/>
                </w:rPr>
                <w:t>Statement of changes in equity</w:t>
              </w:r>
            </w:hyperlink>
          </w:p>
        </w:tc>
        <w:tc>
          <w:tcPr>
            <w:tcW w:w="1070" w:type="dxa"/>
            <w:tcBorders>
              <w:left w:val="single" w:sz="8" w:space="0" w:color="FFFFFF"/>
            </w:tcBorders>
            <w:shd w:val="clear" w:color="000000" w:fill="auto"/>
            <w:vAlign w:val="center"/>
          </w:tcPr>
          <w:p w14:paraId="4D300BA4" w14:textId="39EA7F5D" w:rsidR="002B6A66" w:rsidRPr="00F31CFD" w:rsidRDefault="00F31CFD" w:rsidP="0081525B">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Pr>
                <w:sz w:val="25"/>
                <w:szCs w:val="25"/>
              </w:rPr>
              <w:fldChar w:fldCharType="begin"/>
            </w:r>
            <w:r>
              <w:rPr>
                <w:sz w:val="25"/>
                <w:szCs w:val="25"/>
              </w:rPr>
              <w:instrText xml:space="preserve"> PAGEREF _Ref54687263 \h </w:instrText>
            </w:r>
            <w:r>
              <w:rPr>
                <w:sz w:val="25"/>
                <w:szCs w:val="25"/>
              </w:rPr>
            </w:r>
            <w:r>
              <w:rPr>
                <w:sz w:val="25"/>
                <w:szCs w:val="25"/>
              </w:rPr>
              <w:fldChar w:fldCharType="separate"/>
            </w:r>
            <w:r w:rsidR="00E36674">
              <w:rPr>
                <w:noProof/>
                <w:sz w:val="25"/>
                <w:szCs w:val="25"/>
              </w:rPr>
              <w:t>82</w:t>
            </w:r>
            <w:r>
              <w:rPr>
                <w:sz w:val="25"/>
                <w:szCs w:val="25"/>
              </w:rPr>
              <w:fldChar w:fldCharType="end"/>
            </w:r>
          </w:p>
        </w:tc>
      </w:tr>
      <w:tr w:rsidR="002B6A66" w:rsidRPr="00F31CFD" w14:paraId="4EFE6594" w14:textId="77777777" w:rsidTr="008152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4FB7DFA7" w14:textId="7424F10B" w:rsidR="002B6A66" w:rsidRPr="005107B4" w:rsidRDefault="005B795D" w:rsidP="0081525B">
            <w:pPr>
              <w:spacing w:before="120" w:after="120" w:line="276" w:lineRule="auto"/>
              <w:rPr>
                <w:sz w:val="25"/>
                <w:szCs w:val="25"/>
              </w:rPr>
            </w:pPr>
            <w:hyperlink w:anchor="cashflows" w:history="1">
              <w:r w:rsidR="002B6A66" w:rsidRPr="002A2132">
                <w:rPr>
                  <w:rStyle w:val="Hyperlink"/>
                </w:rPr>
                <w:t>Statement of cash flows</w:t>
              </w:r>
            </w:hyperlink>
          </w:p>
        </w:tc>
        <w:tc>
          <w:tcPr>
            <w:tcW w:w="1070" w:type="dxa"/>
            <w:tcBorders>
              <w:left w:val="single" w:sz="8" w:space="0" w:color="FFFFFF"/>
            </w:tcBorders>
            <w:shd w:val="clear" w:color="000000" w:fill="auto"/>
            <w:vAlign w:val="center"/>
          </w:tcPr>
          <w:p w14:paraId="5C0BE288" w14:textId="5F1EDE1F" w:rsidR="002B6A66" w:rsidRPr="00F31CFD" w:rsidRDefault="00F31CFD" w:rsidP="0081525B">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Pr>
                <w:sz w:val="25"/>
                <w:szCs w:val="25"/>
              </w:rPr>
              <w:fldChar w:fldCharType="begin"/>
            </w:r>
            <w:r>
              <w:rPr>
                <w:sz w:val="25"/>
                <w:szCs w:val="25"/>
              </w:rPr>
              <w:instrText xml:space="preserve"> PAGEREF _Ref54687267 \h </w:instrText>
            </w:r>
            <w:r>
              <w:rPr>
                <w:sz w:val="25"/>
                <w:szCs w:val="25"/>
              </w:rPr>
            </w:r>
            <w:r>
              <w:rPr>
                <w:sz w:val="25"/>
                <w:szCs w:val="25"/>
              </w:rPr>
              <w:fldChar w:fldCharType="separate"/>
            </w:r>
            <w:r w:rsidR="00E36674">
              <w:rPr>
                <w:noProof/>
                <w:sz w:val="25"/>
                <w:szCs w:val="25"/>
              </w:rPr>
              <w:t>83</w:t>
            </w:r>
            <w:r>
              <w:rPr>
                <w:sz w:val="25"/>
                <w:szCs w:val="25"/>
              </w:rPr>
              <w:fldChar w:fldCharType="end"/>
            </w:r>
          </w:p>
        </w:tc>
      </w:tr>
      <w:tr w:rsidR="002B6A66" w:rsidRPr="00F31CFD" w14:paraId="19A76A09" w14:textId="77777777" w:rsidTr="00815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108BC75E" w14:textId="3E3C368F" w:rsidR="002B6A66" w:rsidRPr="005107B4" w:rsidRDefault="005B795D" w:rsidP="0081525B">
            <w:pPr>
              <w:spacing w:before="120" w:after="120" w:line="276" w:lineRule="auto"/>
              <w:rPr>
                <w:sz w:val="25"/>
                <w:szCs w:val="25"/>
              </w:rPr>
            </w:pPr>
            <w:hyperlink w:anchor="_Statement_of_commitments_1" w:history="1">
              <w:r w:rsidR="002B6A66" w:rsidRPr="002A2132">
                <w:rPr>
                  <w:rStyle w:val="Hyperlink"/>
                </w:rPr>
                <w:t>Statement of commitments</w:t>
              </w:r>
            </w:hyperlink>
          </w:p>
        </w:tc>
        <w:tc>
          <w:tcPr>
            <w:tcW w:w="1070" w:type="dxa"/>
            <w:tcBorders>
              <w:left w:val="single" w:sz="8" w:space="0" w:color="FFFFFF"/>
            </w:tcBorders>
            <w:shd w:val="clear" w:color="000000" w:fill="auto"/>
            <w:vAlign w:val="center"/>
          </w:tcPr>
          <w:p w14:paraId="5D6C2A80" w14:textId="28EE40D0" w:rsidR="002B6A66" w:rsidRPr="00F31CFD" w:rsidRDefault="00F31CFD" w:rsidP="0081525B">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Pr>
                <w:sz w:val="25"/>
                <w:szCs w:val="25"/>
              </w:rPr>
              <w:fldChar w:fldCharType="begin"/>
            </w:r>
            <w:r>
              <w:rPr>
                <w:sz w:val="25"/>
                <w:szCs w:val="25"/>
              </w:rPr>
              <w:instrText xml:space="preserve"> PAGEREF _Ref54687272 \h </w:instrText>
            </w:r>
            <w:r>
              <w:rPr>
                <w:sz w:val="25"/>
                <w:szCs w:val="25"/>
              </w:rPr>
            </w:r>
            <w:r>
              <w:rPr>
                <w:sz w:val="25"/>
                <w:szCs w:val="25"/>
              </w:rPr>
              <w:fldChar w:fldCharType="separate"/>
            </w:r>
            <w:r w:rsidR="00E36674">
              <w:rPr>
                <w:noProof/>
                <w:sz w:val="25"/>
                <w:szCs w:val="25"/>
              </w:rPr>
              <w:t>84</w:t>
            </w:r>
            <w:r>
              <w:rPr>
                <w:sz w:val="25"/>
                <w:szCs w:val="25"/>
              </w:rPr>
              <w:fldChar w:fldCharType="end"/>
            </w:r>
          </w:p>
        </w:tc>
      </w:tr>
      <w:tr w:rsidR="002B6A66" w:rsidRPr="00F31CFD" w14:paraId="55532D12" w14:textId="77777777" w:rsidTr="002B6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469BA693" w14:textId="5739445A" w:rsidR="002B6A66" w:rsidRPr="005107B4" w:rsidRDefault="005B795D" w:rsidP="0081525B">
            <w:pPr>
              <w:spacing w:before="120" w:after="120" w:line="276" w:lineRule="auto"/>
              <w:rPr>
                <w:sz w:val="25"/>
                <w:szCs w:val="25"/>
              </w:rPr>
            </w:pPr>
            <w:hyperlink w:anchor="_Statement_of_contingent_1" w:history="1">
              <w:r w:rsidR="002B6A66" w:rsidRPr="002A2132">
                <w:rPr>
                  <w:rStyle w:val="Hyperlink"/>
                </w:rPr>
                <w:t>Statement of contingent liabilities and contingent assets</w:t>
              </w:r>
            </w:hyperlink>
          </w:p>
        </w:tc>
        <w:tc>
          <w:tcPr>
            <w:tcW w:w="1070" w:type="dxa"/>
            <w:tcBorders>
              <w:left w:val="single" w:sz="8" w:space="0" w:color="FFFFFF"/>
              <w:bottom w:val="nil"/>
            </w:tcBorders>
            <w:shd w:val="clear" w:color="000000" w:fill="auto"/>
            <w:vAlign w:val="center"/>
          </w:tcPr>
          <w:p w14:paraId="5C521DEE" w14:textId="5D084B46" w:rsidR="002B6A66" w:rsidRPr="00F31CFD" w:rsidRDefault="00F31CFD" w:rsidP="0081525B">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Pr>
                <w:sz w:val="25"/>
                <w:szCs w:val="25"/>
              </w:rPr>
              <w:fldChar w:fldCharType="begin"/>
            </w:r>
            <w:r>
              <w:rPr>
                <w:sz w:val="25"/>
                <w:szCs w:val="25"/>
              </w:rPr>
              <w:instrText xml:space="preserve"> PAGEREF _Ref54687283 \h </w:instrText>
            </w:r>
            <w:r>
              <w:rPr>
                <w:sz w:val="25"/>
                <w:szCs w:val="25"/>
              </w:rPr>
            </w:r>
            <w:r>
              <w:rPr>
                <w:sz w:val="25"/>
                <w:szCs w:val="25"/>
              </w:rPr>
              <w:fldChar w:fldCharType="separate"/>
            </w:r>
            <w:r w:rsidR="00E36674">
              <w:rPr>
                <w:noProof/>
                <w:sz w:val="25"/>
                <w:szCs w:val="25"/>
              </w:rPr>
              <w:t>84</w:t>
            </w:r>
            <w:r>
              <w:rPr>
                <w:sz w:val="25"/>
                <w:szCs w:val="25"/>
              </w:rPr>
              <w:fldChar w:fldCharType="end"/>
            </w:r>
          </w:p>
        </w:tc>
      </w:tr>
      <w:tr w:rsidR="002B6A66" w:rsidRPr="00F31CFD" w14:paraId="6C0C7C26" w14:textId="77777777" w:rsidTr="002B6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tcBorders>
            <w:shd w:val="clear" w:color="000000" w:fill="auto"/>
          </w:tcPr>
          <w:p w14:paraId="72F4DDCF" w14:textId="223CABC6" w:rsidR="002B6A66" w:rsidRDefault="005B795D" w:rsidP="0081525B">
            <w:pPr>
              <w:spacing w:before="120" w:after="120" w:line="276" w:lineRule="auto"/>
            </w:pPr>
            <w:hyperlink w:anchor="_Notes_to_the_1" w:history="1">
              <w:r w:rsidR="002B6A66" w:rsidRPr="0028092A">
                <w:rPr>
                  <w:rStyle w:val="Hyperlink"/>
                </w:rPr>
                <w:t>Notes to the financial statements</w:t>
              </w:r>
            </w:hyperlink>
          </w:p>
        </w:tc>
        <w:tc>
          <w:tcPr>
            <w:tcW w:w="1070" w:type="dxa"/>
            <w:tcBorders>
              <w:top w:val="nil"/>
              <w:left w:val="nil"/>
              <w:bottom w:val="nil"/>
              <w:right w:val="nil"/>
            </w:tcBorders>
            <w:shd w:val="clear" w:color="000000" w:fill="auto"/>
            <w:vAlign w:val="center"/>
          </w:tcPr>
          <w:p w14:paraId="36EE38F9" w14:textId="09C330AC" w:rsidR="002B6A66" w:rsidRPr="00F31CFD" w:rsidRDefault="00F31CFD" w:rsidP="0081525B">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Pr>
                <w:sz w:val="25"/>
                <w:szCs w:val="25"/>
              </w:rPr>
              <w:fldChar w:fldCharType="begin"/>
            </w:r>
            <w:r>
              <w:rPr>
                <w:sz w:val="25"/>
                <w:szCs w:val="25"/>
              </w:rPr>
              <w:instrText xml:space="preserve"> PAGEREF _Ref54687287 \h </w:instrText>
            </w:r>
            <w:r>
              <w:rPr>
                <w:sz w:val="25"/>
                <w:szCs w:val="25"/>
              </w:rPr>
            </w:r>
            <w:r>
              <w:rPr>
                <w:sz w:val="25"/>
                <w:szCs w:val="25"/>
              </w:rPr>
              <w:fldChar w:fldCharType="separate"/>
            </w:r>
            <w:r w:rsidR="00E36674">
              <w:rPr>
                <w:noProof/>
                <w:sz w:val="25"/>
                <w:szCs w:val="25"/>
              </w:rPr>
              <w:t>86</w:t>
            </w:r>
            <w:r>
              <w:rPr>
                <w:sz w:val="25"/>
                <w:szCs w:val="25"/>
              </w:rPr>
              <w:fldChar w:fldCharType="end"/>
            </w:r>
          </w:p>
        </w:tc>
      </w:tr>
      <w:tr w:rsidR="00AD2D94" w:rsidRPr="00F31CFD" w14:paraId="3F176518" w14:textId="77777777" w:rsidTr="002B6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6A0D813F" w14:textId="202EFD25" w:rsidR="00AD2D94" w:rsidRDefault="005B795D" w:rsidP="0081525B">
            <w:pPr>
              <w:spacing w:before="120" w:after="120" w:line="276" w:lineRule="auto"/>
            </w:pPr>
            <w:hyperlink w:anchor="_Summary_of_significant" w:history="1">
              <w:r w:rsidR="00AD2D94" w:rsidRPr="00AD2D94">
                <w:rPr>
                  <w:rStyle w:val="Hyperlink"/>
                </w:rPr>
                <w:t>Summary of significant accounting policies</w:t>
              </w:r>
            </w:hyperlink>
          </w:p>
        </w:tc>
        <w:tc>
          <w:tcPr>
            <w:tcW w:w="1070" w:type="dxa"/>
            <w:tcBorders>
              <w:top w:val="nil"/>
              <w:left w:val="single" w:sz="8" w:space="0" w:color="FFFFFF"/>
              <w:bottom w:val="nil"/>
            </w:tcBorders>
            <w:shd w:val="clear" w:color="000000" w:fill="auto"/>
            <w:vAlign w:val="center"/>
          </w:tcPr>
          <w:p w14:paraId="23243524" w14:textId="6058C108" w:rsidR="00AD2D94" w:rsidRDefault="00AD2D94" w:rsidP="0081525B">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Pr>
                <w:sz w:val="25"/>
                <w:szCs w:val="25"/>
              </w:rPr>
              <w:fldChar w:fldCharType="begin"/>
            </w:r>
            <w:r>
              <w:rPr>
                <w:sz w:val="25"/>
                <w:szCs w:val="25"/>
              </w:rPr>
              <w:instrText xml:space="preserve"> PAGEREF _Ref56757843 \h </w:instrText>
            </w:r>
            <w:r>
              <w:rPr>
                <w:sz w:val="25"/>
                <w:szCs w:val="25"/>
              </w:rPr>
            </w:r>
            <w:r>
              <w:rPr>
                <w:sz w:val="25"/>
                <w:szCs w:val="25"/>
              </w:rPr>
              <w:fldChar w:fldCharType="separate"/>
            </w:r>
            <w:r w:rsidR="00E36674">
              <w:rPr>
                <w:noProof/>
                <w:sz w:val="25"/>
                <w:szCs w:val="25"/>
              </w:rPr>
              <w:t>88</w:t>
            </w:r>
            <w:r>
              <w:rPr>
                <w:sz w:val="25"/>
                <w:szCs w:val="25"/>
              </w:rPr>
              <w:fldChar w:fldCharType="end"/>
            </w:r>
          </w:p>
        </w:tc>
      </w:tr>
      <w:tr w:rsidR="002B6A66" w:rsidRPr="00F31CFD" w14:paraId="1E697676" w14:textId="77777777" w:rsidTr="002B6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8" w:type="dxa"/>
            <w:tcBorders>
              <w:top w:val="single" w:sz="4" w:space="0" w:color="auto"/>
              <w:left w:val="single" w:sz="8" w:space="0" w:color="FFFFFF"/>
              <w:bottom w:val="single" w:sz="4" w:space="0" w:color="auto"/>
              <w:right w:val="single" w:sz="8" w:space="0" w:color="FFFFFF"/>
            </w:tcBorders>
            <w:shd w:val="clear" w:color="000000" w:fill="auto"/>
          </w:tcPr>
          <w:p w14:paraId="3603B9E3" w14:textId="47F23150" w:rsidR="002B6A66" w:rsidRDefault="005B795D" w:rsidP="0081525B">
            <w:pPr>
              <w:spacing w:before="120" w:after="120" w:line="276" w:lineRule="auto"/>
            </w:pPr>
            <w:hyperlink w:anchor="_Appropriation_statements_1" w:history="1">
              <w:r w:rsidR="002B6A66" w:rsidRPr="0028092A">
                <w:rPr>
                  <w:rStyle w:val="Hyperlink"/>
                </w:rPr>
                <w:t>Appropriation statements</w:t>
              </w:r>
            </w:hyperlink>
          </w:p>
        </w:tc>
        <w:tc>
          <w:tcPr>
            <w:tcW w:w="1070" w:type="dxa"/>
            <w:tcBorders>
              <w:top w:val="nil"/>
              <w:left w:val="single" w:sz="8" w:space="0" w:color="FFFFFF"/>
              <w:bottom w:val="nil"/>
            </w:tcBorders>
            <w:shd w:val="clear" w:color="000000" w:fill="auto"/>
            <w:vAlign w:val="center"/>
          </w:tcPr>
          <w:p w14:paraId="47FF0B83" w14:textId="7E121DCB" w:rsidR="002B6A66" w:rsidRPr="00F31CFD" w:rsidRDefault="00F31CFD" w:rsidP="0081525B">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Pr>
                <w:sz w:val="25"/>
                <w:szCs w:val="25"/>
              </w:rPr>
              <w:fldChar w:fldCharType="begin"/>
            </w:r>
            <w:r>
              <w:rPr>
                <w:sz w:val="25"/>
                <w:szCs w:val="25"/>
              </w:rPr>
              <w:instrText xml:space="preserve"> PAGEREF _Ref54687304 \h </w:instrText>
            </w:r>
            <w:r>
              <w:rPr>
                <w:sz w:val="25"/>
                <w:szCs w:val="25"/>
              </w:rPr>
            </w:r>
            <w:r>
              <w:rPr>
                <w:sz w:val="25"/>
                <w:szCs w:val="25"/>
              </w:rPr>
              <w:fldChar w:fldCharType="separate"/>
            </w:r>
            <w:r w:rsidR="00E36674">
              <w:rPr>
                <w:noProof/>
                <w:sz w:val="25"/>
                <w:szCs w:val="25"/>
              </w:rPr>
              <w:t>105</w:t>
            </w:r>
            <w:r>
              <w:rPr>
                <w:sz w:val="25"/>
                <w:szCs w:val="25"/>
              </w:rPr>
              <w:fldChar w:fldCharType="end"/>
            </w:r>
          </w:p>
        </w:tc>
      </w:tr>
    </w:tbl>
    <w:p w14:paraId="4EF2467D" w14:textId="77777777" w:rsidR="00DF1795" w:rsidRDefault="00DF1795" w:rsidP="00DF1795">
      <w:pPr>
        <w:spacing w:line="276" w:lineRule="auto"/>
      </w:pPr>
      <w:r>
        <w:br w:type="page"/>
      </w:r>
    </w:p>
    <w:p w14:paraId="3F86F709" w14:textId="77777777" w:rsidR="00DF1795" w:rsidRPr="00117030" w:rsidRDefault="00DF1795" w:rsidP="00DF1795">
      <w:pPr>
        <w:pStyle w:val="Heading2"/>
        <w:spacing w:before="240"/>
      </w:pPr>
      <w:bookmarkStart w:id="117" w:name="_Statement_of_responsibility"/>
      <w:bookmarkStart w:id="118" w:name="_Ref336352511"/>
      <w:bookmarkEnd w:id="117"/>
      <w:r w:rsidRPr="00117030">
        <w:t>Statement of responsibility</w:t>
      </w:r>
      <w:bookmarkEnd w:id="118"/>
    </w:p>
    <w:p w14:paraId="37BFF501" w14:textId="77777777" w:rsidR="00DF1795" w:rsidRPr="00117030" w:rsidRDefault="00DF1795" w:rsidP="00DF1795">
      <w:pPr>
        <w:pStyle w:val="BodyText"/>
      </w:pPr>
      <w:r>
        <w:t>I am responsible, as Chief</w:t>
      </w:r>
      <w:r w:rsidRPr="00117030">
        <w:t xml:space="preserve"> Ombudsman, for:</w:t>
      </w:r>
    </w:p>
    <w:p w14:paraId="5A26EDF2" w14:textId="77777777" w:rsidR="00DF1795" w:rsidRPr="00117030" w:rsidRDefault="00DF1795" w:rsidP="00DF1795">
      <w:pPr>
        <w:pStyle w:val="Bullet1"/>
      </w:pPr>
      <w:r w:rsidRPr="00117030">
        <w:t>the preparation of the Office</w:t>
      </w:r>
      <w:r>
        <w:t>’</w:t>
      </w:r>
      <w:r w:rsidRPr="00117030">
        <w:t>s financial statements and the statements of expenses and capital expenditure and for the judgements expressed in them;</w:t>
      </w:r>
    </w:p>
    <w:p w14:paraId="22833ACD" w14:textId="77777777" w:rsidR="00DF1795" w:rsidRPr="00117030" w:rsidRDefault="00DF1795" w:rsidP="00DF1795">
      <w:pPr>
        <w:pStyle w:val="Bullet1"/>
      </w:pPr>
      <w:r w:rsidRPr="00117030">
        <w:t>having in place a system of internal control designed to provide a reasonable assurance as to the integrity and reliability of financial reporting;</w:t>
      </w:r>
    </w:p>
    <w:p w14:paraId="1F7394CE" w14:textId="77777777" w:rsidR="00DF1795" w:rsidRPr="00117030" w:rsidRDefault="00DF1795" w:rsidP="00DF1795">
      <w:pPr>
        <w:pStyle w:val="Bullet1"/>
      </w:pPr>
      <w:r w:rsidRPr="00117030">
        <w:t xml:space="preserve">ensuring that end-of-year performance information on the appropriation administered by the Office is provided in accordance with sections 19A to 19C of the Public Finance Act 1989, whether or not that information is included in this </w:t>
      </w:r>
      <w:r>
        <w:t>A</w:t>
      </w:r>
      <w:r w:rsidRPr="00117030">
        <w:t xml:space="preserve">nnual </w:t>
      </w:r>
      <w:r>
        <w:t>R</w:t>
      </w:r>
      <w:r w:rsidRPr="00117030">
        <w:t>eport; and</w:t>
      </w:r>
    </w:p>
    <w:p w14:paraId="30205D82" w14:textId="77777777" w:rsidR="00DF1795" w:rsidRPr="00117030" w:rsidRDefault="00DF1795" w:rsidP="00DF1795">
      <w:pPr>
        <w:pStyle w:val="Bullet1"/>
      </w:pPr>
      <w:r w:rsidRPr="00117030">
        <w:t>the accuracy of any end-of-year performance information prepared by the Office, whether or not that information is included in the annual report.</w:t>
      </w:r>
    </w:p>
    <w:p w14:paraId="64B00051" w14:textId="77777777" w:rsidR="00DF1795" w:rsidRPr="00117030" w:rsidRDefault="00DF1795" w:rsidP="00DF1795">
      <w:pPr>
        <w:pStyle w:val="BodyText"/>
      </w:pPr>
      <w:r w:rsidRPr="00117030">
        <w:t>In my opinion:</w:t>
      </w:r>
    </w:p>
    <w:p w14:paraId="4F091730" w14:textId="4893420B" w:rsidR="00DF1795" w:rsidRPr="00117030" w:rsidRDefault="00DF1795" w:rsidP="00DF1795">
      <w:pPr>
        <w:pStyle w:val="Bullet1"/>
      </w:pPr>
      <w:r w:rsidRPr="00117030">
        <w:t xml:space="preserve">these financial statements fairly reflect the financial position of the Office of the Ombudsman for the year ended </w:t>
      </w:r>
      <w:r w:rsidRPr="003349E9">
        <w:t xml:space="preserve">30 June </w:t>
      </w:r>
      <w:r w:rsidR="00807855" w:rsidRPr="003349E9">
        <w:t>20</w:t>
      </w:r>
      <w:r w:rsidR="00807855">
        <w:t>20</w:t>
      </w:r>
      <w:r w:rsidR="00807855" w:rsidRPr="003349E9">
        <w:t xml:space="preserve"> </w:t>
      </w:r>
      <w:r w:rsidRPr="003349E9">
        <w:t>and</w:t>
      </w:r>
      <w:r w:rsidRPr="00117030">
        <w:t xml:space="preserve"> its operations for the year ended on that date; and</w:t>
      </w:r>
    </w:p>
    <w:p w14:paraId="2ACB7EA1" w14:textId="54597650" w:rsidR="00DF1795" w:rsidRDefault="00DF1795" w:rsidP="00DF1795">
      <w:pPr>
        <w:pStyle w:val="Bullet1"/>
      </w:pPr>
      <w:r w:rsidRPr="00117030">
        <w:t xml:space="preserve">the forecast financial statements fairly reflect the forecast financial position of the Office of the Ombudsman as at </w:t>
      </w:r>
      <w:r w:rsidRPr="003349E9">
        <w:t xml:space="preserve">30 June </w:t>
      </w:r>
      <w:r w:rsidR="00807855" w:rsidRPr="003349E9">
        <w:t>20</w:t>
      </w:r>
      <w:r w:rsidR="00807855">
        <w:t>20</w:t>
      </w:r>
      <w:r w:rsidR="00807855" w:rsidRPr="003349E9">
        <w:t xml:space="preserve"> </w:t>
      </w:r>
      <w:r w:rsidRPr="00117030">
        <w:t>and its operations for the year ending on that date.</w:t>
      </w:r>
    </w:p>
    <w:p w14:paraId="5BC5B96F" w14:textId="09F946AF" w:rsidR="00DF1795" w:rsidRDefault="00DF1795" w:rsidP="00DF1795">
      <w:pPr>
        <w:pStyle w:val="BodyText"/>
      </w:pPr>
    </w:p>
    <w:p w14:paraId="4B67B416" w14:textId="77777777" w:rsidR="00DF1795" w:rsidRDefault="00DF1795" w:rsidP="00DF1795">
      <w:pPr>
        <w:pStyle w:val="BodyText"/>
        <w:tabs>
          <w:tab w:val="left" w:pos="4536"/>
        </w:tabs>
      </w:pPr>
    </w:p>
    <w:p w14:paraId="647484E2" w14:textId="252A0F56" w:rsidR="00DF1795" w:rsidRPr="00760B4C" w:rsidRDefault="00DF1795" w:rsidP="00DF1795">
      <w:pPr>
        <w:pStyle w:val="BodyText"/>
        <w:tabs>
          <w:tab w:val="left" w:pos="4536"/>
        </w:tabs>
        <w:spacing w:after="0"/>
        <w:rPr>
          <w:rStyle w:val="Emphasis"/>
        </w:rPr>
      </w:pPr>
      <w:r w:rsidRPr="00760B4C">
        <w:rPr>
          <w:rStyle w:val="Emphasis"/>
        </w:rPr>
        <w:t>Peter Boshier</w:t>
      </w:r>
      <w:r>
        <w:rPr>
          <w:rStyle w:val="Emphasis"/>
        </w:rPr>
        <w:tab/>
      </w:r>
      <w:r>
        <w:rPr>
          <w:rStyle w:val="Emphasis"/>
        </w:rPr>
        <w:tab/>
      </w:r>
      <w:r w:rsidR="00B76DE1">
        <w:rPr>
          <w:rStyle w:val="Emphasis"/>
        </w:rPr>
        <w:t xml:space="preserve"> </w:t>
      </w:r>
    </w:p>
    <w:p w14:paraId="651ACA96" w14:textId="7E6874CE" w:rsidR="00DF1795" w:rsidRDefault="00DF1795" w:rsidP="00DF1795">
      <w:pPr>
        <w:pStyle w:val="BodyText"/>
        <w:tabs>
          <w:tab w:val="left" w:pos="4536"/>
        </w:tabs>
        <w:spacing w:after="0"/>
        <w:ind w:left="4530" w:hanging="4530"/>
      </w:pPr>
      <w:r>
        <w:t>Chief Ombudsman</w:t>
      </w:r>
      <w:r>
        <w:tab/>
      </w:r>
      <w:r w:rsidR="00B76DE1">
        <w:t xml:space="preserve"> </w:t>
      </w:r>
    </w:p>
    <w:p w14:paraId="1F0B73ED" w14:textId="77777777" w:rsidR="005B71FA" w:rsidRDefault="00F06F4E" w:rsidP="00DF1795">
      <w:pPr>
        <w:pStyle w:val="BodyText"/>
        <w:tabs>
          <w:tab w:val="left" w:pos="4536"/>
        </w:tabs>
        <w:rPr>
          <w:b/>
        </w:rPr>
      </w:pPr>
      <w:r w:rsidRPr="005213AA">
        <w:rPr>
          <w:b/>
        </w:rPr>
        <w:t xml:space="preserve">30 </w:t>
      </w:r>
      <w:r w:rsidR="00807855">
        <w:rPr>
          <w:b/>
        </w:rPr>
        <w:t>November</w:t>
      </w:r>
      <w:r w:rsidR="00807855" w:rsidRPr="005213AA">
        <w:rPr>
          <w:b/>
        </w:rPr>
        <w:t xml:space="preserve"> </w:t>
      </w:r>
      <w:r w:rsidRPr="005213AA">
        <w:rPr>
          <w:b/>
        </w:rPr>
        <w:t>20</w:t>
      </w:r>
      <w:r w:rsidR="000032E8">
        <w:rPr>
          <w:b/>
        </w:rPr>
        <w:t>20</w:t>
      </w:r>
    </w:p>
    <w:p w14:paraId="232FBF8E" w14:textId="77777777" w:rsidR="005B71FA" w:rsidRDefault="005B71FA" w:rsidP="00DF1795">
      <w:pPr>
        <w:pStyle w:val="BodyText"/>
        <w:tabs>
          <w:tab w:val="left" w:pos="4536"/>
        </w:tabs>
        <w:rPr>
          <w:b/>
        </w:rPr>
      </w:pPr>
    </w:p>
    <w:p w14:paraId="2D93E152" w14:textId="4994E652" w:rsidR="005B71FA" w:rsidRDefault="005B71FA" w:rsidP="005B71FA">
      <w:pPr>
        <w:pStyle w:val="BodyText"/>
        <w:tabs>
          <w:tab w:val="left" w:pos="4536"/>
        </w:tabs>
        <w:spacing w:after="0"/>
        <w:rPr>
          <w:rStyle w:val="Emphasis"/>
        </w:rPr>
      </w:pPr>
      <w:r>
        <w:rPr>
          <w:rStyle w:val="Emphasis"/>
        </w:rPr>
        <w:t>Meaw-Fong Phang</w:t>
      </w:r>
    </w:p>
    <w:p w14:paraId="3B96E8E9" w14:textId="690F975D" w:rsidR="005B71FA" w:rsidRPr="00760B4C" w:rsidRDefault="005B71FA" w:rsidP="005B71FA">
      <w:pPr>
        <w:pStyle w:val="BodyText"/>
        <w:tabs>
          <w:tab w:val="left" w:pos="4536"/>
        </w:tabs>
        <w:spacing w:after="0"/>
        <w:rPr>
          <w:rStyle w:val="Emphasis"/>
        </w:rPr>
      </w:pPr>
      <w:r>
        <w:t>Chief Financial Officer</w:t>
      </w:r>
    </w:p>
    <w:p w14:paraId="4FDAB954" w14:textId="0855FE19" w:rsidR="00DF1795" w:rsidRPr="005213AA" w:rsidRDefault="00F06F4E" w:rsidP="00DF1795">
      <w:pPr>
        <w:pStyle w:val="BodyText"/>
        <w:tabs>
          <w:tab w:val="left" w:pos="4536"/>
        </w:tabs>
        <w:rPr>
          <w:b/>
        </w:rPr>
      </w:pPr>
      <w:r w:rsidRPr="005213AA">
        <w:rPr>
          <w:b/>
        </w:rPr>
        <w:t xml:space="preserve">30 </w:t>
      </w:r>
      <w:r w:rsidR="00807855">
        <w:rPr>
          <w:b/>
        </w:rPr>
        <w:t>November</w:t>
      </w:r>
      <w:r w:rsidR="00807855" w:rsidRPr="005213AA">
        <w:rPr>
          <w:b/>
        </w:rPr>
        <w:t xml:space="preserve"> </w:t>
      </w:r>
      <w:r w:rsidRPr="005213AA">
        <w:rPr>
          <w:b/>
        </w:rPr>
        <w:t>20</w:t>
      </w:r>
      <w:r w:rsidR="000032E8">
        <w:rPr>
          <w:b/>
        </w:rPr>
        <w:t>20</w:t>
      </w:r>
    </w:p>
    <w:p w14:paraId="1504A761" w14:textId="77777777" w:rsidR="00DF1795" w:rsidRDefault="00DF1795" w:rsidP="00DF1795">
      <w:pPr>
        <w:spacing w:line="276" w:lineRule="auto"/>
        <w:sectPr w:rsidR="00DF1795" w:rsidSect="00037952">
          <w:headerReference w:type="even" r:id="rId38"/>
          <w:headerReference w:type="default" r:id="rId39"/>
          <w:footerReference w:type="even" r:id="rId40"/>
          <w:footerReference w:type="default" r:id="rId41"/>
          <w:headerReference w:type="first" r:id="rId42"/>
          <w:footerReference w:type="first" r:id="rId43"/>
          <w:endnotePr>
            <w:numFmt w:val="decimal"/>
          </w:endnotePr>
          <w:pgSz w:w="11906" w:h="16838" w:code="9"/>
          <w:pgMar w:top="2438" w:right="1304" w:bottom="1701" w:left="1304" w:header="680" w:footer="680" w:gutter="0"/>
          <w:cols w:space="708"/>
          <w:titlePg/>
          <w:docGrid w:linePitch="360"/>
        </w:sectPr>
      </w:pPr>
    </w:p>
    <w:p w14:paraId="177312FE" w14:textId="0AE018AE" w:rsidR="00084AE2" w:rsidRPr="00FC269F" w:rsidRDefault="00084AE2" w:rsidP="00084AE2">
      <w:pPr>
        <w:pStyle w:val="ANZBodyText"/>
        <w:rPr>
          <w:lang w:val="en-GB"/>
        </w:rPr>
      </w:pPr>
      <w:bookmarkStart w:id="119" w:name="_Toc142811732"/>
      <w:bookmarkStart w:id="120" w:name="app1"/>
      <w:bookmarkStart w:id="121" w:name="_Toc341953011"/>
      <w:r w:rsidRPr="00FC269F">
        <w:rPr>
          <w:noProof/>
          <w:lang w:eastAsia="en-NZ"/>
        </w:rPr>
        <w:drawing>
          <wp:anchor distT="0" distB="0" distL="114300" distR="114300" simplePos="0" relativeHeight="251695104" behindDoc="0" locked="0" layoutInCell="1" allowOverlap="1" wp14:anchorId="5949CF89" wp14:editId="521F7878">
            <wp:simplePos x="0" y="0"/>
            <wp:positionH relativeFrom="margin">
              <wp:align>right</wp:align>
            </wp:positionH>
            <wp:positionV relativeFrom="topMargin">
              <wp:align>bottom</wp:align>
            </wp:positionV>
            <wp:extent cx="1943100" cy="400050"/>
            <wp:effectExtent l="0" t="0" r="0" b="0"/>
            <wp:wrapSquare wrapText="bothSides"/>
            <wp:docPr id="3" name="Picture 3" descr="Mana Arotake Aotearoa" title="Audit New Zea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dit_nz_black_(new).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943100" cy="400050"/>
                    </a:xfrm>
                    <a:prstGeom prst="rect">
                      <a:avLst/>
                    </a:prstGeom>
                  </pic:spPr>
                </pic:pic>
              </a:graphicData>
            </a:graphic>
            <wp14:sizeRelH relativeFrom="margin">
              <wp14:pctWidth>0</wp14:pctWidth>
            </wp14:sizeRelH>
            <wp14:sizeRelV relativeFrom="margin">
              <wp14:pctHeight>0</wp14:pctHeight>
            </wp14:sizeRelV>
          </wp:anchor>
        </w:drawing>
      </w:r>
      <w:bookmarkEnd w:id="119"/>
      <w:bookmarkEnd w:id="120"/>
      <w:bookmarkEnd w:id="121"/>
    </w:p>
    <w:p w14:paraId="34AC47E8" w14:textId="77777777" w:rsidR="00084AE2" w:rsidRPr="00FC269F" w:rsidRDefault="00084AE2" w:rsidP="00084AE2">
      <w:pPr>
        <w:pStyle w:val="ANZHeading-L1"/>
        <w:jc w:val="center"/>
        <w:rPr>
          <w:lang w:val="en-GB"/>
        </w:rPr>
      </w:pPr>
      <w:bookmarkStart w:id="122" w:name="Audit"/>
      <w:bookmarkEnd w:id="122"/>
      <w:r w:rsidRPr="00FC269F">
        <w:rPr>
          <w:lang w:val="en-GB"/>
        </w:rPr>
        <w:t>Independent Auditor’s Report</w:t>
      </w:r>
    </w:p>
    <w:p w14:paraId="504F5A82" w14:textId="77777777" w:rsidR="00084AE2" w:rsidRPr="00FC269F" w:rsidRDefault="00084AE2" w:rsidP="00084AE2">
      <w:pPr>
        <w:pStyle w:val="ANZHeading-L1"/>
        <w:jc w:val="center"/>
        <w:rPr>
          <w:lang w:val="en-GB"/>
        </w:rPr>
      </w:pPr>
      <w:r w:rsidRPr="00FC269F">
        <w:rPr>
          <w:lang w:val="en-GB"/>
        </w:rPr>
        <w:t xml:space="preserve">To the readers of the Office of the Ombudsman’s </w:t>
      </w:r>
      <w:r w:rsidRPr="00FC269F">
        <w:rPr>
          <w:lang w:val="en-AU"/>
        </w:rPr>
        <w:t>annual report</w:t>
      </w:r>
      <w:r w:rsidRPr="00FC269F">
        <w:rPr>
          <w:lang w:val="en-GB"/>
        </w:rPr>
        <w:t xml:space="preserve"> </w:t>
      </w:r>
    </w:p>
    <w:p w14:paraId="0F501528" w14:textId="77777777" w:rsidR="00084AE2" w:rsidRPr="00FC269F" w:rsidRDefault="00084AE2" w:rsidP="00084AE2">
      <w:pPr>
        <w:pStyle w:val="ANZHeading-L1"/>
        <w:jc w:val="center"/>
        <w:rPr>
          <w:lang w:val="en-GB"/>
        </w:rPr>
      </w:pPr>
      <w:r w:rsidRPr="00FC269F">
        <w:rPr>
          <w:lang w:val="en-GB"/>
        </w:rPr>
        <w:t>for the year ended 30 June 2020</w:t>
      </w:r>
    </w:p>
    <w:p w14:paraId="0E48508A" w14:textId="77777777" w:rsidR="00084AE2" w:rsidRPr="00FC269F" w:rsidRDefault="00084AE2" w:rsidP="00084AE2">
      <w:pPr>
        <w:pStyle w:val="ANZBodyText"/>
        <w:rPr>
          <w:lang w:val="en-GB"/>
        </w:rPr>
      </w:pPr>
    </w:p>
    <w:p w14:paraId="074669AC" w14:textId="77777777" w:rsidR="00084AE2" w:rsidRPr="00FC269F" w:rsidRDefault="00084AE2" w:rsidP="00084AE2">
      <w:pPr>
        <w:pStyle w:val="ANZBodyText"/>
        <w:rPr>
          <w:lang w:val="en-AU"/>
        </w:rPr>
      </w:pPr>
      <w:r w:rsidRPr="00FC269F">
        <w:rPr>
          <w:lang w:val="en-GB"/>
        </w:rPr>
        <w:t>The Auditor</w:t>
      </w:r>
      <w:r>
        <w:rPr>
          <w:lang w:val="en-GB"/>
        </w:rPr>
        <w:noBreakHyphen/>
      </w:r>
      <w:r w:rsidRPr="00FC269F">
        <w:rPr>
          <w:lang w:val="en-GB"/>
        </w:rPr>
        <w:t>General is the auditor of the Office of the Ombudsman (</w:t>
      </w:r>
      <w:r w:rsidRPr="00FC269F">
        <w:rPr>
          <w:lang w:val="en-AU"/>
        </w:rPr>
        <w:t>the Office</w:t>
      </w:r>
      <w:r w:rsidRPr="00FC269F">
        <w:rPr>
          <w:lang w:val="en-GB"/>
        </w:rPr>
        <w:t>). The Auditor</w:t>
      </w:r>
      <w:r>
        <w:noBreakHyphen/>
      </w:r>
      <w:r w:rsidRPr="00FC269F">
        <w:rPr>
          <w:lang w:val="en-GB"/>
        </w:rPr>
        <w:t>General has appointed me, Andrew Clark, using the staff and resources of Audit New Zealand, to carry out, on his behalf, the audit of:</w:t>
      </w:r>
    </w:p>
    <w:p w14:paraId="33508D0E" w14:textId="6601B0EA" w:rsidR="00084AE2" w:rsidRPr="00FC269F" w:rsidRDefault="00084AE2" w:rsidP="00084AE2">
      <w:pPr>
        <w:pStyle w:val="ANZBulletLevel1"/>
        <w:spacing w:line="300" w:lineRule="atLeast"/>
        <w:rPr>
          <w:lang w:val="en-AU"/>
        </w:rPr>
      </w:pPr>
      <w:r w:rsidRPr="00FC269F">
        <w:rPr>
          <w:lang w:val="en-AU"/>
        </w:rPr>
        <w:t xml:space="preserve">the financial statements of the Office on pages 80 to </w:t>
      </w:r>
      <w:r w:rsidR="00205723" w:rsidRPr="00FC269F">
        <w:rPr>
          <w:lang w:val="en-AU"/>
        </w:rPr>
        <w:t>10</w:t>
      </w:r>
      <w:r w:rsidR="00205723">
        <w:rPr>
          <w:lang w:val="en-AU"/>
        </w:rPr>
        <w:t>3</w:t>
      </w:r>
      <w:r w:rsidRPr="00FC269F">
        <w:rPr>
          <w:lang w:val="en-AU"/>
        </w:rPr>
        <w:t>, that comprise the statement of financial position, statement of commitments, statement of contingent liabilities and contingent assets as at 30 June 2020, the statement of comprehensive revenue and expense, statement of changes in equity, and statement of cash flows for the year ended on that date and the notes to the financial statements that include accounting policies and other explanatory information;</w:t>
      </w:r>
    </w:p>
    <w:p w14:paraId="344013F3" w14:textId="77777777" w:rsidR="00084AE2" w:rsidRPr="00FC269F" w:rsidRDefault="00084AE2" w:rsidP="00084AE2">
      <w:pPr>
        <w:pStyle w:val="ANZBulletLevel1"/>
        <w:spacing w:line="300" w:lineRule="atLeast"/>
        <w:rPr>
          <w:lang w:val="en-AU"/>
        </w:rPr>
      </w:pPr>
      <w:r w:rsidRPr="00FC269F">
        <w:rPr>
          <w:lang w:val="en-AU"/>
        </w:rPr>
        <w:t>the performance information prepared by the Office for the year ended 30 June 2020 on pages 21 to 60 and 74 to 79, comprising the outputs and operations, and the statement of objectives and service performance; and</w:t>
      </w:r>
    </w:p>
    <w:p w14:paraId="194A1E28" w14:textId="4012D74E" w:rsidR="00084AE2" w:rsidRPr="00FC269F" w:rsidRDefault="00084AE2" w:rsidP="00084AE2">
      <w:pPr>
        <w:pStyle w:val="ANZBulletLevel1"/>
        <w:spacing w:line="300" w:lineRule="atLeast"/>
        <w:rPr>
          <w:lang w:val="en-AU"/>
        </w:rPr>
      </w:pPr>
      <w:r w:rsidRPr="00FC269F">
        <w:rPr>
          <w:lang w:val="en-AU"/>
        </w:rPr>
        <w:t xml:space="preserve">the appropriation statements of the Office for the year ended 30 June 2020 on pages </w:t>
      </w:r>
      <w:r w:rsidR="00205723" w:rsidRPr="00FC269F">
        <w:rPr>
          <w:lang w:val="en-AU"/>
        </w:rPr>
        <w:t>10</w:t>
      </w:r>
      <w:r w:rsidR="00205723">
        <w:rPr>
          <w:lang w:val="en-AU"/>
        </w:rPr>
        <w:t>4</w:t>
      </w:r>
      <w:r w:rsidR="00205723" w:rsidRPr="00FC269F">
        <w:rPr>
          <w:lang w:val="en-AU"/>
        </w:rPr>
        <w:t xml:space="preserve"> </w:t>
      </w:r>
      <w:r w:rsidRPr="00FC269F">
        <w:rPr>
          <w:lang w:val="en-AU"/>
        </w:rPr>
        <w:t xml:space="preserve">and </w:t>
      </w:r>
      <w:r w:rsidR="00205723" w:rsidRPr="00FC269F">
        <w:rPr>
          <w:lang w:val="en-AU"/>
        </w:rPr>
        <w:t>10</w:t>
      </w:r>
      <w:r w:rsidR="00205723">
        <w:rPr>
          <w:lang w:val="en-AU"/>
        </w:rPr>
        <w:t>5</w:t>
      </w:r>
      <w:r w:rsidRPr="00FC269F">
        <w:rPr>
          <w:lang w:val="en-AU"/>
        </w:rPr>
        <w:t xml:space="preserve">. </w:t>
      </w:r>
    </w:p>
    <w:p w14:paraId="4B73A5F1" w14:textId="77777777" w:rsidR="00084AE2" w:rsidRPr="00FC269F" w:rsidRDefault="00084AE2" w:rsidP="00084AE2">
      <w:pPr>
        <w:pStyle w:val="ANZHeading-L1"/>
        <w:rPr>
          <w:lang w:val="en-AU"/>
        </w:rPr>
      </w:pPr>
      <w:r w:rsidRPr="00FC269F">
        <w:rPr>
          <w:lang w:val="en-AU"/>
        </w:rPr>
        <w:t>Opinion</w:t>
      </w:r>
    </w:p>
    <w:p w14:paraId="2EB1FE58" w14:textId="77777777" w:rsidR="00084AE2" w:rsidRPr="00FC269F" w:rsidRDefault="00084AE2" w:rsidP="00084AE2">
      <w:pPr>
        <w:pStyle w:val="ANZBodyText"/>
        <w:keepNext/>
        <w:rPr>
          <w:lang w:val="en-AU"/>
        </w:rPr>
      </w:pPr>
      <w:r w:rsidRPr="00FC269F">
        <w:rPr>
          <w:lang w:val="en-AU"/>
        </w:rPr>
        <w:t>In our opinion:</w:t>
      </w:r>
    </w:p>
    <w:p w14:paraId="7D77501B" w14:textId="2DDA99B6" w:rsidR="00084AE2" w:rsidRPr="00FC269F" w:rsidRDefault="00084AE2" w:rsidP="00084AE2">
      <w:pPr>
        <w:pStyle w:val="ANZBulletLevel1"/>
        <w:spacing w:line="300" w:lineRule="atLeast"/>
        <w:rPr>
          <w:lang w:val="en-AU"/>
        </w:rPr>
      </w:pPr>
      <w:r w:rsidRPr="00FC269F">
        <w:rPr>
          <w:lang w:val="en-AU"/>
        </w:rPr>
        <w:t xml:space="preserve">The financial statements of the Office on pages 80 to </w:t>
      </w:r>
      <w:r w:rsidR="00205723" w:rsidRPr="00FC269F">
        <w:rPr>
          <w:lang w:val="en-AU"/>
        </w:rPr>
        <w:t>10</w:t>
      </w:r>
      <w:r w:rsidR="00205723">
        <w:rPr>
          <w:lang w:val="en-AU"/>
        </w:rPr>
        <w:t>3</w:t>
      </w:r>
      <w:r w:rsidRPr="00FC269F">
        <w:rPr>
          <w:lang w:val="en-AU"/>
        </w:rPr>
        <w:t>:</w:t>
      </w:r>
    </w:p>
    <w:p w14:paraId="6549095A" w14:textId="77777777" w:rsidR="00084AE2" w:rsidRPr="00FC269F" w:rsidRDefault="00084AE2" w:rsidP="00084AE2">
      <w:pPr>
        <w:pStyle w:val="ANZBulletLevel2"/>
        <w:tabs>
          <w:tab w:val="clear" w:pos="851"/>
        </w:tabs>
        <w:spacing w:line="300" w:lineRule="atLeast"/>
        <w:rPr>
          <w:lang w:val="en-AU"/>
        </w:rPr>
      </w:pPr>
      <w:r w:rsidRPr="00FC269F">
        <w:rPr>
          <w:lang w:val="en-AU"/>
        </w:rPr>
        <w:t>present fairly, in all material respects:</w:t>
      </w:r>
    </w:p>
    <w:p w14:paraId="3DF8B11D" w14:textId="77777777" w:rsidR="00084AE2" w:rsidRPr="00FC269F" w:rsidRDefault="00084AE2" w:rsidP="00084AE2">
      <w:pPr>
        <w:pStyle w:val="ANZBulletLevel3"/>
        <w:tabs>
          <w:tab w:val="num" w:pos="1701"/>
        </w:tabs>
        <w:spacing w:line="300" w:lineRule="atLeast"/>
        <w:rPr>
          <w:lang w:val="en-AU"/>
        </w:rPr>
      </w:pPr>
      <w:r w:rsidRPr="00FC269F">
        <w:rPr>
          <w:lang w:val="en-AU"/>
        </w:rPr>
        <w:t>its financial position as at 30 June 2020; and</w:t>
      </w:r>
    </w:p>
    <w:p w14:paraId="08AF8333" w14:textId="77777777" w:rsidR="00084AE2" w:rsidRPr="00FC269F" w:rsidRDefault="00084AE2" w:rsidP="00084AE2">
      <w:pPr>
        <w:pStyle w:val="ANZBulletLevel3"/>
        <w:tabs>
          <w:tab w:val="num" w:pos="1701"/>
        </w:tabs>
        <w:spacing w:line="300" w:lineRule="atLeast"/>
        <w:rPr>
          <w:lang w:val="en-AU"/>
        </w:rPr>
      </w:pPr>
      <w:r w:rsidRPr="00FC269F">
        <w:rPr>
          <w:lang w:val="en-AU"/>
        </w:rPr>
        <w:t>its financial performance and cash flows for the year ended on that date; and</w:t>
      </w:r>
    </w:p>
    <w:p w14:paraId="5048F0F3" w14:textId="77777777" w:rsidR="00084AE2" w:rsidRPr="00FC269F" w:rsidRDefault="00084AE2" w:rsidP="00084AE2">
      <w:pPr>
        <w:pStyle w:val="ANZBulletLevel2"/>
        <w:tabs>
          <w:tab w:val="clear" w:pos="851"/>
        </w:tabs>
        <w:spacing w:line="300" w:lineRule="atLeast"/>
        <w:rPr>
          <w:lang w:val="en-AU"/>
        </w:rPr>
      </w:pPr>
      <w:r w:rsidRPr="00FC269F">
        <w:rPr>
          <w:lang w:val="en-AU"/>
        </w:rPr>
        <w:t xml:space="preserve">comply with generally accepted accounting practice in New Zealand </w:t>
      </w:r>
      <w:r w:rsidRPr="00FC269F">
        <w:t xml:space="preserve">in accordance with </w:t>
      </w:r>
      <w:r w:rsidRPr="00FC269F">
        <w:rPr>
          <w:lang w:val="en-AU"/>
        </w:rPr>
        <w:t>Public Benefit Entity Standards Reduced Disclosure Regime.</w:t>
      </w:r>
    </w:p>
    <w:p w14:paraId="195087AD" w14:textId="77777777" w:rsidR="00084AE2" w:rsidRPr="00FC269F" w:rsidRDefault="00084AE2" w:rsidP="00084AE2">
      <w:pPr>
        <w:spacing w:after="0" w:line="240" w:lineRule="auto"/>
        <w:rPr>
          <w:rFonts w:eastAsia="Times New Roman"/>
          <w:lang w:val="en-AU" w:eastAsia="en-GB"/>
        </w:rPr>
      </w:pPr>
      <w:r w:rsidRPr="00FC269F">
        <w:rPr>
          <w:lang w:val="en-AU"/>
        </w:rPr>
        <w:br w:type="page"/>
      </w:r>
    </w:p>
    <w:p w14:paraId="4171B2D1" w14:textId="77777777" w:rsidR="00084AE2" w:rsidRPr="00FC269F" w:rsidRDefault="00084AE2" w:rsidP="00084AE2">
      <w:pPr>
        <w:pStyle w:val="ANZBulletLevel1"/>
        <w:spacing w:line="300" w:lineRule="atLeast"/>
        <w:rPr>
          <w:lang w:val="en-AU"/>
        </w:rPr>
      </w:pPr>
      <w:r w:rsidRPr="00FC269F">
        <w:rPr>
          <w:lang w:val="en-AU"/>
        </w:rPr>
        <w:t>The performance information of the Office on pages 21 to 60 and 74 to 79:</w:t>
      </w:r>
    </w:p>
    <w:p w14:paraId="41E5D3E4" w14:textId="77777777" w:rsidR="00084AE2" w:rsidRPr="00FC269F" w:rsidRDefault="00084AE2" w:rsidP="00084AE2">
      <w:pPr>
        <w:pStyle w:val="ANZBulletLevel2"/>
        <w:tabs>
          <w:tab w:val="clear" w:pos="851"/>
        </w:tabs>
        <w:spacing w:line="300" w:lineRule="atLeast"/>
        <w:rPr>
          <w:lang w:val="en-AU"/>
        </w:rPr>
      </w:pPr>
      <w:r w:rsidRPr="00FC269F">
        <w:rPr>
          <w:lang w:val="en-AU"/>
        </w:rPr>
        <w:t>presents fairly, in all material respects, for the year ended 30 June 2020:</w:t>
      </w:r>
    </w:p>
    <w:p w14:paraId="28FEB51C" w14:textId="77777777" w:rsidR="00084AE2" w:rsidRPr="00FC269F" w:rsidRDefault="00084AE2" w:rsidP="00084AE2">
      <w:pPr>
        <w:pStyle w:val="ANZBulletLevel3"/>
        <w:tabs>
          <w:tab w:val="num" w:pos="1701"/>
        </w:tabs>
        <w:spacing w:line="300" w:lineRule="atLeast"/>
        <w:rPr>
          <w:lang w:val="en-AU"/>
        </w:rPr>
      </w:pPr>
      <w:r w:rsidRPr="00FC269F">
        <w:rPr>
          <w:lang w:val="en-AU"/>
        </w:rPr>
        <w:t>what has been achieved with the appropriation; and</w:t>
      </w:r>
    </w:p>
    <w:p w14:paraId="4E76C07F" w14:textId="77777777" w:rsidR="00084AE2" w:rsidRPr="00FC269F" w:rsidRDefault="00084AE2" w:rsidP="00084AE2">
      <w:pPr>
        <w:pStyle w:val="ANZBulletLevel3"/>
        <w:tabs>
          <w:tab w:val="num" w:pos="1701"/>
        </w:tabs>
        <w:spacing w:line="300" w:lineRule="atLeast"/>
        <w:rPr>
          <w:lang w:val="en-AU"/>
        </w:rPr>
      </w:pPr>
      <w:r w:rsidRPr="00FC269F">
        <w:rPr>
          <w:lang w:val="en-AU"/>
        </w:rPr>
        <w:t>the actual expenses or capital expenditure incurred compared with the appropriated or forecast expenses or capital expenditure; and</w:t>
      </w:r>
    </w:p>
    <w:p w14:paraId="3CC3B35C" w14:textId="77777777" w:rsidR="00084AE2" w:rsidRPr="00FC269F" w:rsidRDefault="00084AE2" w:rsidP="00084AE2">
      <w:pPr>
        <w:pStyle w:val="ANZBulletLevel2"/>
        <w:tabs>
          <w:tab w:val="clear" w:pos="851"/>
        </w:tabs>
        <w:spacing w:line="300" w:lineRule="atLeast"/>
        <w:rPr>
          <w:lang w:val="en-AU"/>
        </w:rPr>
      </w:pPr>
      <w:r w:rsidRPr="00FC269F">
        <w:rPr>
          <w:lang w:val="en-AU"/>
        </w:rPr>
        <w:t>complies with generally accepted accounting practice in New Zealand.</w:t>
      </w:r>
    </w:p>
    <w:p w14:paraId="3AC4A77D" w14:textId="77F02CEE" w:rsidR="00084AE2" w:rsidRPr="00FC269F" w:rsidRDefault="00084AE2" w:rsidP="00084AE2">
      <w:pPr>
        <w:pStyle w:val="ANZBulletLevel1"/>
        <w:spacing w:line="300" w:lineRule="atLeast"/>
        <w:rPr>
          <w:lang w:val="en-AU"/>
        </w:rPr>
      </w:pPr>
      <w:r w:rsidRPr="00FC269F">
        <w:rPr>
          <w:lang w:val="en-AU"/>
        </w:rPr>
        <w:t xml:space="preserve">The appropriation statements of the Office on pages </w:t>
      </w:r>
      <w:r w:rsidR="00205723" w:rsidRPr="00FC269F">
        <w:rPr>
          <w:lang w:val="en-AU"/>
        </w:rPr>
        <w:t>10</w:t>
      </w:r>
      <w:r w:rsidR="00205723">
        <w:rPr>
          <w:lang w:val="en-AU"/>
        </w:rPr>
        <w:t>4</w:t>
      </w:r>
      <w:r w:rsidR="00205723" w:rsidRPr="00FC269F">
        <w:rPr>
          <w:lang w:val="en-AU"/>
        </w:rPr>
        <w:t xml:space="preserve"> </w:t>
      </w:r>
      <w:r w:rsidRPr="00FC269F">
        <w:rPr>
          <w:lang w:val="en-AU"/>
        </w:rPr>
        <w:t xml:space="preserve">and </w:t>
      </w:r>
      <w:r w:rsidR="00205723" w:rsidRPr="00FC269F">
        <w:rPr>
          <w:lang w:val="en-AU"/>
        </w:rPr>
        <w:t>10</w:t>
      </w:r>
      <w:r w:rsidR="00205723">
        <w:rPr>
          <w:lang w:val="en-AU"/>
        </w:rPr>
        <w:t>5</w:t>
      </w:r>
      <w:r w:rsidR="00205723" w:rsidRPr="00FC269F">
        <w:rPr>
          <w:lang w:val="en-AU"/>
        </w:rPr>
        <w:t xml:space="preserve"> </w:t>
      </w:r>
      <w:r w:rsidRPr="00FC269F">
        <w:rPr>
          <w:lang w:val="en-AU"/>
        </w:rPr>
        <w:t>are presented fairly, in all material respects, in accordance with the requirements of section 45A of the Public Finance Act 1989.</w:t>
      </w:r>
    </w:p>
    <w:p w14:paraId="255A42CC" w14:textId="77777777" w:rsidR="00084AE2" w:rsidRPr="00FC269F" w:rsidRDefault="00084AE2" w:rsidP="00084AE2">
      <w:pPr>
        <w:pStyle w:val="ANZBodyText"/>
        <w:rPr>
          <w:lang w:val="en-AU"/>
        </w:rPr>
      </w:pPr>
      <w:r w:rsidRPr="00FC269F">
        <w:rPr>
          <w:lang w:val="en-AU"/>
        </w:rPr>
        <w:t>Our audit was completed on 30 November 2020. This is the date at which our opinion is expressed.</w:t>
      </w:r>
    </w:p>
    <w:p w14:paraId="12C16487" w14:textId="77777777" w:rsidR="00084AE2" w:rsidRPr="00FC269F" w:rsidRDefault="00084AE2" w:rsidP="00084AE2">
      <w:pPr>
        <w:pStyle w:val="ANZBodyText"/>
        <w:rPr>
          <w:lang w:val="en-GB"/>
        </w:rPr>
      </w:pPr>
      <w:r w:rsidRPr="00FC269F">
        <w:rPr>
          <w:lang w:val="en-GB"/>
        </w:rPr>
        <w:t xml:space="preserve">The basis for our opinion is explained below. In addition, we outline the responsibilities of the </w:t>
      </w:r>
      <w:r w:rsidRPr="00FC269F">
        <w:rPr>
          <w:lang w:val="en-AU"/>
        </w:rPr>
        <w:t xml:space="preserve">Chief Ombudsman </w:t>
      </w:r>
      <w:r w:rsidRPr="00FC269F">
        <w:rPr>
          <w:lang w:val="en-GB"/>
        </w:rPr>
        <w:t>and our responsibilities relating to the information to be audited, we comment on other information, and we explain our independence.</w:t>
      </w:r>
    </w:p>
    <w:p w14:paraId="203A4F69" w14:textId="77777777" w:rsidR="00084AE2" w:rsidRPr="00FC269F" w:rsidRDefault="00084AE2" w:rsidP="00084AE2">
      <w:pPr>
        <w:pStyle w:val="ANZBodyText"/>
        <w:spacing w:line="240" w:lineRule="auto"/>
        <w:rPr>
          <w:lang w:val="en-AU"/>
        </w:rPr>
      </w:pPr>
      <w:r w:rsidRPr="00FC269F">
        <w:rPr>
          <w:lang w:val="en-AU"/>
        </w:rPr>
        <w:t xml:space="preserve">The basis for our opinion is explained below, and we draw </w:t>
      </w:r>
      <w:r>
        <w:rPr>
          <w:lang w:val="en-AU"/>
        </w:rPr>
        <w:t>attention to the impact of Covid</w:t>
      </w:r>
      <w:r>
        <w:rPr>
          <w:lang w:val="en-AU"/>
        </w:rPr>
        <w:noBreakHyphen/>
      </w:r>
      <w:r w:rsidRPr="00FC269F">
        <w:rPr>
          <w:lang w:val="en-AU"/>
        </w:rPr>
        <w:t xml:space="preserve">19 on </w:t>
      </w:r>
      <w:r w:rsidRPr="00FC269F">
        <w:rPr>
          <w:lang w:val="en-GB"/>
        </w:rPr>
        <w:t>the Office</w:t>
      </w:r>
      <w:r w:rsidRPr="00FC269F">
        <w:rPr>
          <w:bCs/>
          <w:lang w:val="en-GB"/>
        </w:rPr>
        <w:t xml:space="preserve">. </w:t>
      </w:r>
      <w:r w:rsidRPr="00FC269F">
        <w:rPr>
          <w:lang w:val="en-AU"/>
        </w:rPr>
        <w:t>In addition, we outline the responsibilities of the Chief Ombudsman and our responsibilities relating to the financial statements and the performance information, we comment on other information, and we explain our independence.</w:t>
      </w:r>
    </w:p>
    <w:p w14:paraId="780523BE" w14:textId="77777777" w:rsidR="00084AE2" w:rsidRPr="00FC269F" w:rsidRDefault="00084AE2" w:rsidP="00084AE2">
      <w:pPr>
        <w:pStyle w:val="ANZHeading-L1"/>
        <w:spacing w:line="240" w:lineRule="auto"/>
        <w:rPr>
          <w:lang w:val="en-AU"/>
        </w:rPr>
      </w:pPr>
      <w:r w:rsidRPr="00FC269F">
        <w:rPr>
          <w:lang w:val="en-AU"/>
        </w:rPr>
        <w:t>Emph</w:t>
      </w:r>
      <w:r>
        <w:rPr>
          <w:lang w:val="en-AU"/>
        </w:rPr>
        <w:t>asis of matter – Impact of Covid</w:t>
      </w:r>
      <w:r>
        <w:rPr>
          <w:lang w:val="en-AU"/>
        </w:rPr>
        <w:noBreakHyphen/>
      </w:r>
      <w:r w:rsidRPr="00FC269F">
        <w:rPr>
          <w:lang w:val="en-AU"/>
        </w:rPr>
        <w:t>19</w:t>
      </w:r>
    </w:p>
    <w:p w14:paraId="78391D7E" w14:textId="77777777" w:rsidR="00084AE2" w:rsidRPr="00FC269F" w:rsidRDefault="00084AE2" w:rsidP="00084AE2">
      <w:pPr>
        <w:pStyle w:val="ANZBodyText"/>
        <w:rPr>
          <w:lang w:val="en-GB"/>
        </w:rPr>
      </w:pPr>
      <w:r w:rsidRPr="00FC269F">
        <w:rPr>
          <w:rFonts w:cs="Calibri"/>
          <w:lang w:val="en-GB"/>
        </w:rPr>
        <w:t xml:space="preserve">Without modifying our opinion, we draw your attention to the disclosures about the impact of the </w:t>
      </w:r>
      <w:r>
        <w:rPr>
          <w:rFonts w:cs="Calibri"/>
          <w:lang w:val="en-GB"/>
        </w:rPr>
        <w:t>Covid</w:t>
      </w:r>
      <w:r>
        <w:rPr>
          <w:rFonts w:cs="Calibri"/>
          <w:lang w:val="en-GB"/>
        </w:rPr>
        <w:noBreakHyphen/>
      </w:r>
      <w:r w:rsidRPr="00FC269F">
        <w:rPr>
          <w:rFonts w:cs="Calibri"/>
          <w:lang w:val="en-GB"/>
        </w:rPr>
        <w:t>19 pandemic on the Office as set out in note 1 to the financial statements and pages 21 and 74 of the performance information.</w:t>
      </w:r>
    </w:p>
    <w:p w14:paraId="422D5326" w14:textId="77777777" w:rsidR="00084AE2" w:rsidRPr="00FC269F" w:rsidRDefault="00084AE2" w:rsidP="00084AE2">
      <w:pPr>
        <w:pStyle w:val="ANZHeading-L1"/>
        <w:rPr>
          <w:lang w:val="en-AU"/>
        </w:rPr>
      </w:pPr>
      <w:r w:rsidRPr="00FC269F">
        <w:rPr>
          <w:lang w:val="en-AU"/>
        </w:rPr>
        <w:t>Basis for our opinion</w:t>
      </w:r>
    </w:p>
    <w:p w14:paraId="5FDBB3B1" w14:textId="77777777" w:rsidR="00084AE2" w:rsidRPr="00FC269F" w:rsidRDefault="00084AE2" w:rsidP="00084AE2">
      <w:pPr>
        <w:pStyle w:val="ANZBodyText"/>
        <w:rPr>
          <w:lang w:val="en-AU"/>
        </w:rPr>
      </w:pPr>
      <w:r w:rsidRPr="00FC269F">
        <w:rPr>
          <w:lang w:val="en-AU"/>
        </w:rPr>
        <w:t>We carried out our audit in accordance with the Auditor</w:t>
      </w:r>
      <w:r>
        <w:rPr>
          <w:lang w:val="en-AU"/>
        </w:rPr>
        <w:noBreakHyphen/>
      </w:r>
      <w:r w:rsidRPr="00FC269F">
        <w:rPr>
          <w:lang w:val="en-AU"/>
        </w:rPr>
        <w:t>General’s Auditing Standards, which incorporate the Professional and Ethical Standards and the International Standards on Auditing (New Zealand) issued by the New Zealand Auditing and Assurance Standards Board. Our responsibilities under those standards are further described in the Responsibilities of the auditor section of our report.</w:t>
      </w:r>
    </w:p>
    <w:p w14:paraId="0A8973CE" w14:textId="77777777" w:rsidR="00084AE2" w:rsidRPr="00FC269F" w:rsidRDefault="00084AE2" w:rsidP="00084AE2">
      <w:pPr>
        <w:pStyle w:val="ANZBodyText"/>
        <w:rPr>
          <w:lang w:val="en-AU"/>
        </w:rPr>
      </w:pPr>
      <w:r w:rsidRPr="00FC269F">
        <w:rPr>
          <w:lang w:val="en-AU"/>
        </w:rPr>
        <w:t>We have fulfilled our responsibilities in accordance with the Auditor</w:t>
      </w:r>
      <w:r>
        <w:rPr>
          <w:lang w:val="en-AU"/>
        </w:rPr>
        <w:noBreakHyphen/>
      </w:r>
      <w:r w:rsidRPr="00FC269F">
        <w:rPr>
          <w:lang w:val="en-AU"/>
        </w:rPr>
        <w:t>General’s Auditing Standards.</w:t>
      </w:r>
    </w:p>
    <w:p w14:paraId="562C6BE5" w14:textId="77777777" w:rsidR="00084AE2" w:rsidRPr="00FC269F" w:rsidRDefault="00084AE2" w:rsidP="00084AE2">
      <w:pPr>
        <w:pStyle w:val="ANZBodyText"/>
        <w:rPr>
          <w:lang w:val="en-AU"/>
        </w:rPr>
      </w:pPr>
      <w:r w:rsidRPr="00FC269F">
        <w:rPr>
          <w:lang w:val="en-AU"/>
        </w:rPr>
        <w:t>We believe that the audit evidence we have obtained is sufficient and appropriate to provide a basis for our audit opinion.</w:t>
      </w:r>
    </w:p>
    <w:p w14:paraId="437D5192" w14:textId="77777777" w:rsidR="00084AE2" w:rsidRPr="00FC269F" w:rsidRDefault="00084AE2" w:rsidP="00084AE2">
      <w:pPr>
        <w:pStyle w:val="ANZHeading-L1"/>
        <w:rPr>
          <w:lang w:val="en-AU"/>
        </w:rPr>
      </w:pPr>
      <w:r w:rsidRPr="00FC269F">
        <w:rPr>
          <w:lang w:val="en-AU"/>
        </w:rPr>
        <w:t>Responsibilities of the Chief Ombudsman for the information to be audited</w:t>
      </w:r>
    </w:p>
    <w:p w14:paraId="39AF2C73" w14:textId="77777777" w:rsidR="00084AE2" w:rsidRPr="00FC269F" w:rsidRDefault="00084AE2" w:rsidP="00084AE2">
      <w:pPr>
        <w:pStyle w:val="ANZBodyText"/>
        <w:rPr>
          <w:lang w:val="en-AU"/>
        </w:rPr>
      </w:pPr>
      <w:r w:rsidRPr="00FC269F">
        <w:rPr>
          <w:lang w:val="en-AU"/>
        </w:rPr>
        <w:t>The Chief Ombudsman is responsible on behalf of the Office</w:t>
      </w:r>
      <w:r w:rsidRPr="00FC269F">
        <w:rPr>
          <w:lang w:val="en-GB"/>
        </w:rPr>
        <w:t xml:space="preserve"> </w:t>
      </w:r>
      <w:r w:rsidRPr="00FC269F">
        <w:rPr>
          <w:lang w:val="en-AU"/>
        </w:rPr>
        <w:t>for preparing:</w:t>
      </w:r>
    </w:p>
    <w:p w14:paraId="104917FD" w14:textId="77777777" w:rsidR="00084AE2" w:rsidRPr="00FC269F" w:rsidRDefault="00084AE2" w:rsidP="00084AE2">
      <w:pPr>
        <w:pStyle w:val="ANZBulletLevel1"/>
        <w:spacing w:line="300" w:lineRule="atLeast"/>
        <w:rPr>
          <w:lang w:val="en-AU"/>
        </w:rPr>
      </w:pPr>
      <w:r w:rsidRPr="00FC269F">
        <w:rPr>
          <w:lang w:val="en-AU"/>
        </w:rPr>
        <w:t>financial statements that present fairly the Office’s financial position, financial performance, and its cash flows, and that comply with generally accepted accounting practice in New Zealand;</w:t>
      </w:r>
    </w:p>
    <w:p w14:paraId="5F2A0113" w14:textId="77777777" w:rsidR="00084AE2" w:rsidRPr="00FC269F" w:rsidRDefault="00084AE2" w:rsidP="00084AE2">
      <w:pPr>
        <w:pStyle w:val="ANZBulletLevel1"/>
        <w:spacing w:line="300" w:lineRule="atLeast"/>
        <w:rPr>
          <w:lang w:val="en-AU"/>
        </w:rPr>
      </w:pPr>
      <w:r w:rsidRPr="00FC269F">
        <w:rPr>
          <w:lang w:val="en-AU"/>
        </w:rPr>
        <w:t>performance information that presents fairly what has been achieved with each appropriation, the expenditure incurred as compared with expenditure expected to be incurred, and that complies with generally accepted accounting practice in New Zealand; and</w:t>
      </w:r>
    </w:p>
    <w:p w14:paraId="697830A2" w14:textId="77777777" w:rsidR="00084AE2" w:rsidRPr="00FC269F" w:rsidRDefault="00084AE2" w:rsidP="00084AE2">
      <w:pPr>
        <w:pStyle w:val="ANZBulletLevel1"/>
        <w:spacing w:line="300" w:lineRule="atLeast"/>
        <w:rPr>
          <w:lang w:val="en-AU"/>
        </w:rPr>
      </w:pPr>
      <w:r w:rsidRPr="00FC269F">
        <w:rPr>
          <w:lang w:val="en-AU"/>
        </w:rPr>
        <w:t>appropriation statements of the Office, that are presented fairly, in accordance with the requirements of the Public Finance Act 1989.</w:t>
      </w:r>
    </w:p>
    <w:p w14:paraId="42EEA4EC" w14:textId="77777777" w:rsidR="00084AE2" w:rsidRPr="00FC269F" w:rsidRDefault="00084AE2" w:rsidP="00084AE2">
      <w:pPr>
        <w:pStyle w:val="ANZBodyText"/>
        <w:rPr>
          <w:lang w:val="en-AU"/>
        </w:rPr>
      </w:pPr>
      <w:r w:rsidRPr="00FC269F">
        <w:rPr>
          <w:lang w:val="en-AU"/>
        </w:rPr>
        <w:t>The Chief Ombudsman is responsible for such internal control as is determined is necessary to enable the preparation of the information to be audited that is free from material misstatement, whether due to fraud or error.</w:t>
      </w:r>
    </w:p>
    <w:p w14:paraId="5839C50E" w14:textId="77777777" w:rsidR="00084AE2" w:rsidRPr="00FC269F" w:rsidRDefault="00084AE2" w:rsidP="00084AE2">
      <w:pPr>
        <w:pStyle w:val="ANZBodyText"/>
        <w:rPr>
          <w:lang w:val="en-GB"/>
        </w:rPr>
      </w:pPr>
      <w:r w:rsidRPr="00FC269F">
        <w:rPr>
          <w:lang w:val="en-GB"/>
        </w:rPr>
        <w:t xml:space="preserve">In preparing the information to be audited, the </w:t>
      </w:r>
      <w:r w:rsidRPr="00FC269F">
        <w:rPr>
          <w:lang w:val="en-AU"/>
        </w:rPr>
        <w:t xml:space="preserve">Chief Ombudsman </w:t>
      </w:r>
      <w:r w:rsidRPr="00FC269F">
        <w:rPr>
          <w:lang w:val="en-GB"/>
        </w:rPr>
        <w:t xml:space="preserve">is responsible on behalf of the Office for assessing the Office’s ability to continue as a going concern. The </w:t>
      </w:r>
      <w:r w:rsidRPr="00FC269F">
        <w:rPr>
          <w:lang w:val="en-AU"/>
        </w:rPr>
        <w:t xml:space="preserve">Chief Ombudsman </w:t>
      </w:r>
      <w:r w:rsidRPr="00FC269F">
        <w:rPr>
          <w:lang w:val="en-GB"/>
        </w:rPr>
        <w:t xml:space="preserve">is also responsible for disclosing, as applicable, matters related to going concern and using the going concern basis of accounting, </w:t>
      </w:r>
      <w:r w:rsidRPr="00FC269F">
        <w:rPr>
          <w:lang w:val="en-AU"/>
        </w:rPr>
        <w:t>unless there is an intention to merge or to terminate the activities of the Office, or there is no realistic alternative but to do so</w:t>
      </w:r>
      <w:r w:rsidRPr="00FC269F">
        <w:rPr>
          <w:lang w:val="en-GB"/>
        </w:rPr>
        <w:t>.</w:t>
      </w:r>
    </w:p>
    <w:p w14:paraId="3B498353" w14:textId="77777777" w:rsidR="00084AE2" w:rsidRPr="00FC269F" w:rsidRDefault="00084AE2" w:rsidP="00084AE2">
      <w:pPr>
        <w:pStyle w:val="ANZBodyText"/>
        <w:rPr>
          <w:lang w:val="en-AU"/>
        </w:rPr>
      </w:pPr>
      <w:r w:rsidRPr="00FC269F">
        <w:rPr>
          <w:lang w:val="en-GB"/>
        </w:rPr>
        <w:t xml:space="preserve">The </w:t>
      </w:r>
      <w:r w:rsidRPr="00FC269F">
        <w:rPr>
          <w:lang w:val="en-AU"/>
        </w:rPr>
        <w:t>Chief Ombudsman</w:t>
      </w:r>
      <w:r w:rsidRPr="00FC269F">
        <w:rPr>
          <w:lang w:val="en-GB"/>
        </w:rPr>
        <w:t xml:space="preserve">’s </w:t>
      </w:r>
      <w:r w:rsidRPr="00FC269F">
        <w:rPr>
          <w:lang w:val="en-AU"/>
        </w:rPr>
        <w:t>responsibilities arise from the Ombudsmen Act 1975 and the Public Finance Act 1989.</w:t>
      </w:r>
    </w:p>
    <w:p w14:paraId="0E3FEDCF" w14:textId="77777777" w:rsidR="00084AE2" w:rsidRPr="00FC269F" w:rsidRDefault="00084AE2" w:rsidP="00084AE2">
      <w:pPr>
        <w:pStyle w:val="ANZHeading-L1"/>
        <w:rPr>
          <w:lang w:val="en-AU"/>
        </w:rPr>
      </w:pPr>
      <w:r w:rsidRPr="00FC269F">
        <w:rPr>
          <w:lang w:val="en-AU"/>
        </w:rPr>
        <w:t>Responsibilities of the auditor for the information to be audited</w:t>
      </w:r>
    </w:p>
    <w:p w14:paraId="4592CBD5" w14:textId="77777777" w:rsidR="00084AE2" w:rsidRPr="00FC269F" w:rsidRDefault="00084AE2" w:rsidP="00084AE2">
      <w:pPr>
        <w:pStyle w:val="ANZBodyText"/>
        <w:rPr>
          <w:lang w:val="en-AU"/>
        </w:rPr>
      </w:pPr>
      <w:r w:rsidRPr="00FC269F">
        <w:rPr>
          <w:lang w:val="en-AU"/>
        </w:rPr>
        <w:t>Our objectives are to obtain reasonable assurance about whether the information we audited, as a whole, is free from material misstatement, whether due to fraud or error, and to issue an auditor’s report that includes our opinion.</w:t>
      </w:r>
    </w:p>
    <w:p w14:paraId="2BA2759C" w14:textId="77777777" w:rsidR="00084AE2" w:rsidRPr="00FC269F" w:rsidRDefault="00084AE2" w:rsidP="00084AE2">
      <w:pPr>
        <w:pStyle w:val="ANZBodyText"/>
        <w:rPr>
          <w:lang w:val="en-AU"/>
        </w:rPr>
      </w:pPr>
      <w:r w:rsidRPr="00FC269F">
        <w:rPr>
          <w:lang w:val="en-AU"/>
        </w:rPr>
        <w:t>Reasonable assurance is a high level of assurance, but is not a guarantee that an audit carried out in accordance with the Auditor</w:t>
      </w:r>
      <w:r>
        <w:rPr>
          <w:lang w:val="en-AU"/>
        </w:rPr>
        <w:noBreakHyphen/>
      </w:r>
      <w:r w:rsidRPr="00FC269F">
        <w:rPr>
          <w:lang w:val="en-AU"/>
        </w:rPr>
        <w:t>General’s Auditing Standards will always detect a material misstatement when it exists. Misstatements are differences or omissions of amounts or disclosures, and can arise from fraud or error. Misstatements are considered material if, individually or in the aggregate, they could reasonably be expected to influence the decisions of readers, taken on the basis of the information we audited.</w:t>
      </w:r>
    </w:p>
    <w:p w14:paraId="1286A33D" w14:textId="77777777" w:rsidR="00084AE2" w:rsidRPr="00FC269F" w:rsidRDefault="00084AE2" w:rsidP="00084AE2">
      <w:pPr>
        <w:pStyle w:val="ANZBodyText"/>
        <w:rPr>
          <w:lang w:val="en-AU"/>
        </w:rPr>
      </w:pPr>
      <w:r w:rsidRPr="00FC269F">
        <w:rPr>
          <w:lang w:val="en-AU"/>
        </w:rPr>
        <w:t>For the budget information reported in the information we audited, our procedures were limited to checking that the information agreed to the relevant Estimates and Supplementary Estimates and Additional Supplementary Estimates of Appropriation for 2019/20, and the 2019/20 forecast financial figures included in the Office’s 2018/19 annual report.</w:t>
      </w:r>
    </w:p>
    <w:p w14:paraId="52310C2A" w14:textId="77777777" w:rsidR="00084AE2" w:rsidRPr="00FC269F" w:rsidRDefault="00084AE2" w:rsidP="00084AE2">
      <w:pPr>
        <w:pStyle w:val="ANZBodyText"/>
        <w:rPr>
          <w:lang w:val="en-AU"/>
        </w:rPr>
      </w:pPr>
      <w:r w:rsidRPr="00FC269F">
        <w:rPr>
          <w:lang w:val="en-AU"/>
        </w:rPr>
        <w:t>We did not evaluate the security and controls over the electronic publication of the information we audited.</w:t>
      </w:r>
    </w:p>
    <w:p w14:paraId="3EAC7928" w14:textId="77777777" w:rsidR="00084AE2" w:rsidRPr="00FC269F" w:rsidRDefault="00084AE2" w:rsidP="00084AE2">
      <w:pPr>
        <w:pStyle w:val="ANZBodyText"/>
        <w:rPr>
          <w:lang w:val="en-AU"/>
        </w:rPr>
      </w:pPr>
      <w:r w:rsidRPr="00FC269F">
        <w:rPr>
          <w:lang w:val="en-AU"/>
        </w:rPr>
        <w:t>As part of an audit in accordance with the Auditor</w:t>
      </w:r>
      <w:r>
        <w:rPr>
          <w:lang w:val="en-AU"/>
        </w:rPr>
        <w:noBreakHyphen/>
      </w:r>
      <w:r w:rsidRPr="00FC269F">
        <w:rPr>
          <w:lang w:val="en-AU"/>
        </w:rPr>
        <w:t>General’s Auditing Standards, we exercise professional judgement and maintain professional scepticism throughout the audit. Also:</w:t>
      </w:r>
    </w:p>
    <w:p w14:paraId="79B0BB76" w14:textId="77777777" w:rsidR="00084AE2" w:rsidRPr="00FC269F" w:rsidRDefault="00084AE2" w:rsidP="00084AE2">
      <w:pPr>
        <w:pStyle w:val="ANZBulletLevel1"/>
        <w:spacing w:line="300" w:lineRule="atLeast"/>
        <w:rPr>
          <w:lang w:val="en-AU"/>
        </w:rPr>
      </w:pPr>
      <w:r w:rsidRPr="00FC269F">
        <w:rPr>
          <w:lang w:val="en-AU"/>
        </w:rPr>
        <w:t>We identify and assess the risks of material misstatement of the information we audited,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0C148619" w14:textId="77777777" w:rsidR="00084AE2" w:rsidRPr="00FC269F" w:rsidRDefault="00084AE2" w:rsidP="00084AE2">
      <w:pPr>
        <w:pStyle w:val="ANZBulletLevel1"/>
        <w:spacing w:line="300" w:lineRule="atLeast"/>
        <w:rPr>
          <w:lang w:val="en-AU"/>
        </w:rPr>
      </w:pPr>
      <w:r w:rsidRPr="00FC269F">
        <w:rPr>
          <w:lang w:val="en-AU"/>
        </w:rPr>
        <w:t>We obtain an understanding of internal control relevant to the audit in order to design audit procedures that are appropriate in the circumstances, but not for the purpose of expressing an opinion on the effectiveness of the Office’s internal control.</w:t>
      </w:r>
    </w:p>
    <w:p w14:paraId="0A6913AC" w14:textId="77777777" w:rsidR="00084AE2" w:rsidRPr="00FC269F" w:rsidRDefault="00084AE2" w:rsidP="00084AE2">
      <w:pPr>
        <w:pStyle w:val="ANZBulletLevel1"/>
        <w:spacing w:line="300" w:lineRule="atLeast"/>
        <w:rPr>
          <w:lang w:val="en-AU"/>
        </w:rPr>
      </w:pPr>
      <w:r w:rsidRPr="00FC269F">
        <w:rPr>
          <w:lang w:val="en-AU"/>
        </w:rPr>
        <w:t>We evaluate the appropriateness of accounting policies used and the reasonableness of accounting estimates and related disclosures made by the Chief Ombudsman.</w:t>
      </w:r>
    </w:p>
    <w:p w14:paraId="7C2475DD" w14:textId="77777777" w:rsidR="00084AE2" w:rsidRPr="00FC269F" w:rsidRDefault="00084AE2" w:rsidP="00084AE2">
      <w:pPr>
        <w:pStyle w:val="ANZBulletLevel1"/>
        <w:spacing w:line="300" w:lineRule="atLeast"/>
        <w:rPr>
          <w:lang w:val="en-AU"/>
        </w:rPr>
      </w:pPr>
      <w:r w:rsidRPr="00FC269F">
        <w:rPr>
          <w:lang w:val="en-AU"/>
        </w:rPr>
        <w:t>We evaluate the appropriateness of the reported performance information within the Office’s framework for reporting its performance.</w:t>
      </w:r>
    </w:p>
    <w:p w14:paraId="1DCA8AF6" w14:textId="77777777" w:rsidR="00084AE2" w:rsidRPr="00FC269F" w:rsidRDefault="00084AE2" w:rsidP="00084AE2">
      <w:pPr>
        <w:pStyle w:val="ANZBulletLevel1"/>
        <w:spacing w:line="300" w:lineRule="atLeast"/>
        <w:rPr>
          <w:lang w:val="en-AU"/>
        </w:rPr>
      </w:pPr>
      <w:r w:rsidRPr="00FC269F">
        <w:rPr>
          <w:lang w:val="en-AU"/>
        </w:rPr>
        <w:t>We conclude on the appropriateness of the use of the going concern basis of accounting by the Chief Ombudsman and, based on the audit evidence obtained, whether a material uncertainty exists related to events or conditions that may cast significant doubt on the Office’s ability to continue as a going concern. If we conclude that a material uncertainty exists, we are required to draw attention in our auditor’s report to the related disclosures in the information we audited or, if such disclosures are inadequate, to modify our opinion. Our conclusions are based on the audit evidence obtained up to the date of our auditor’s report. However, future events or conditions may cause the Office to cease to continue as a going concern.</w:t>
      </w:r>
    </w:p>
    <w:p w14:paraId="7E41B397" w14:textId="77777777" w:rsidR="00084AE2" w:rsidRPr="00FC269F" w:rsidRDefault="00084AE2" w:rsidP="00084AE2">
      <w:pPr>
        <w:pStyle w:val="ANZBulletLevel1"/>
        <w:spacing w:line="300" w:lineRule="atLeast"/>
        <w:rPr>
          <w:lang w:val="en-AU"/>
        </w:rPr>
      </w:pPr>
      <w:r w:rsidRPr="00FC269F">
        <w:rPr>
          <w:lang w:val="en-AU"/>
        </w:rPr>
        <w:t>We evaluate the overall presentation, structure and content of the information we audited, including the disclosures, and whether the information we audited</w:t>
      </w:r>
      <w:r w:rsidRPr="00FC269F">
        <w:rPr>
          <w:lang w:val="en-GB"/>
        </w:rPr>
        <w:t xml:space="preserve"> </w:t>
      </w:r>
      <w:r w:rsidRPr="00FC269F">
        <w:rPr>
          <w:lang w:val="en-AU"/>
        </w:rPr>
        <w:t>represents the underlying transactions and events in a manner that achieves fair presentation.</w:t>
      </w:r>
    </w:p>
    <w:p w14:paraId="399398D9" w14:textId="77777777" w:rsidR="00084AE2" w:rsidRPr="00FC269F" w:rsidRDefault="00084AE2" w:rsidP="00084AE2">
      <w:pPr>
        <w:pStyle w:val="ANZBodyText"/>
        <w:rPr>
          <w:lang w:val="en-AU"/>
        </w:rPr>
      </w:pPr>
      <w:r w:rsidRPr="00FC269F">
        <w:rPr>
          <w:lang w:val="en-AU"/>
        </w:rPr>
        <w:t>We communicate with the Chief Ombudsman regarding, among other matters, the planned scope and timing of the audit and significant audit findings, including any significant deficiencies in internal control that we identify during our audit.</w:t>
      </w:r>
    </w:p>
    <w:p w14:paraId="6E5B935F" w14:textId="77777777" w:rsidR="00084AE2" w:rsidRPr="00FC269F" w:rsidRDefault="00084AE2" w:rsidP="00084AE2">
      <w:pPr>
        <w:pStyle w:val="ANZBodyText"/>
        <w:rPr>
          <w:lang w:val="en-AU"/>
        </w:rPr>
      </w:pPr>
      <w:r w:rsidRPr="00FC269F">
        <w:rPr>
          <w:lang w:val="en-AU"/>
        </w:rPr>
        <w:t>Our responsibilities arise from the Public Audit Act 2001.</w:t>
      </w:r>
    </w:p>
    <w:p w14:paraId="4A319BD9" w14:textId="77777777" w:rsidR="00084AE2" w:rsidRPr="00FC269F" w:rsidRDefault="00084AE2" w:rsidP="00084AE2">
      <w:pPr>
        <w:pStyle w:val="ANZHeading-L1"/>
        <w:rPr>
          <w:lang w:val="en-GB"/>
        </w:rPr>
      </w:pPr>
      <w:r w:rsidRPr="00FC269F">
        <w:rPr>
          <w:lang w:val="en-GB"/>
        </w:rPr>
        <w:t>Other information</w:t>
      </w:r>
    </w:p>
    <w:p w14:paraId="6C34A2E1" w14:textId="53F8AE74" w:rsidR="00084AE2" w:rsidRPr="00FC269F" w:rsidRDefault="00084AE2" w:rsidP="00084AE2">
      <w:pPr>
        <w:pStyle w:val="ANZBodyText"/>
        <w:rPr>
          <w:lang w:val="en-AU"/>
        </w:rPr>
      </w:pPr>
      <w:r w:rsidRPr="00FC269F">
        <w:rPr>
          <w:lang w:val="en-AU"/>
        </w:rPr>
        <w:t xml:space="preserve">The Chief Ombudsman is responsible for the other information. The other information comprises the information included on pages 5 to </w:t>
      </w:r>
      <w:r w:rsidR="00205723" w:rsidRPr="00FC269F">
        <w:rPr>
          <w:lang w:val="en-AU"/>
        </w:rPr>
        <w:t>13</w:t>
      </w:r>
      <w:r w:rsidR="00205723">
        <w:rPr>
          <w:lang w:val="en-AU"/>
        </w:rPr>
        <w:t>8</w:t>
      </w:r>
      <w:r w:rsidRPr="00FC269F">
        <w:rPr>
          <w:lang w:val="en-AU"/>
        </w:rPr>
        <w:t>, but does not include the information we audited, and our auditor’s report thereon.</w:t>
      </w:r>
    </w:p>
    <w:p w14:paraId="3A5983C8" w14:textId="77777777" w:rsidR="00084AE2" w:rsidRPr="00FC269F" w:rsidRDefault="00084AE2" w:rsidP="00084AE2">
      <w:pPr>
        <w:pStyle w:val="ANZBodyText"/>
        <w:rPr>
          <w:lang w:val="en-AU"/>
        </w:rPr>
      </w:pPr>
      <w:r w:rsidRPr="00FC269F">
        <w:rPr>
          <w:lang w:val="en-AU"/>
        </w:rPr>
        <w:t>Our opinion on the information we audited does not cover the other information and we do not express any form of audit opinion or assurance conclusion thereon.</w:t>
      </w:r>
    </w:p>
    <w:p w14:paraId="172154D1" w14:textId="77777777" w:rsidR="00084AE2" w:rsidRPr="00FC269F" w:rsidRDefault="00084AE2" w:rsidP="00084AE2">
      <w:pPr>
        <w:pStyle w:val="ANZBodyText"/>
        <w:rPr>
          <w:lang w:val="en-AU"/>
        </w:rPr>
      </w:pPr>
      <w:r w:rsidRPr="00FC269F">
        <w:rPr>
          <w:lang w:val="en-AU"/>
        </w:rPr>
        <w:t>Our responsibility is to read the other information. In doing so, we consider whether the other information is materially inconsistent with the information we audited or our knowledge obtained in the audit, or otherwise appears to be materially misstated. If, based on our work, we conclude that there is a material misstatement of this other information, we are required to report that fact. We have nothing to report in this regard.</w:t>
      </w:r>
    </w:p>
    <w:p w14:paraId="74BFA280" w14:textId="77777777" w:rsidR="00084AE2" w:rsidRPr="00FC269F" w:rsidRDefault="00084AE2" w:rsidP="00084AE2">
      <w:pPr>
        <w:pStyle w:val="ANZHeading-L1"/>
        <w:rPr>
          <w:lang w:val="en-GB"/>
        </w:rPr>
      </w:pPr>
      <w:r w:rsidRPr="00FC269F">
        <w:rPr>
          <w:lang w:val="en-GB"/>
        </w:rPr>
        <w:t>Independence</w:t>
      </w:r>
    </w:p>
    <w:p w14:paraId="76C9FAC3" w14:textId="77777777" w:rsidR="00084AE2" w:rsidRPr="00FC269F" w:rsidRDefault="00084AE2" w:rsidP="00084AE2">
      <w:pPr>
        <w:pStyle w:val="ANZBodyText"/>
        <w:rPr>
          <w:lang w:val="en-GB"/>
        </w:rPr>
      </w:pPr>
      <w:r w:rsidRPr="00FC269F">
        <w:rPr>
          <w:lang w:val="en-GB"/>
        </w:rPr>
        <w:t>We are independent of the Office in accordance with the independence requirements of the Auditor</w:t>
      </w:r>
      <w:r>
        <w:rPr>
          <w:lang w:val="en-GB"/>
        </w:rPr>
        <w:noBreakHyphen/>
      </w:r>
      <w:r w:rsidRPr="00FC269F">
        <w:rPr>
          <w:lang w:val="en-GB"/>
        </w:rPr>
        <w:t>General’s Auditing Standards, which incorporate the independence requirements of Professional and Ethical Standard 1 (Revised): Code of Ethics for Assurance Practitioners issued by the New Zealand Auditing and Assurance Standards Board.</w:t>
      </w:r>
    </w:p>
    <w:p w14:paraId="3DA60B31" w14:textId="77777777" w:rsidR="00084AE2" w:rsidRPr="00FC269F" w:rsidRDefault="00084AE2" w:rsidP="00084AE2">
      <w:pPr>
        <w:pStyle w:val="ANZBodyText"/>
        <w:rPr>
          <w:lang w:val="en-GB"/>
        </w:rPr>
      </w:pPr>
      <w:r w:rsidRPr="00FC269F">
        <w:rPr>
          <w:lang w:val="en-AU"/>
        </w:rPr>
        <w:t>Other than in our capacity as auditor, we have no relationship with, or interests, in the Office.</w:t>
      </w:r>
    </w:p>
    <w:p w14:paraId="2608367C" w14:textId="3E998EAD" w:rsidR="00084AE2" w:rsidRPr="00FC269F" w:rsidRDefault="00084AE2" w:rsidP="00084AE2">
      <w:pPr>
        <w:pStyle w:val="ANZBodyText"/>
        <w:rPr>
          <w:lang w:val="en-AU"/>
        </w:rPr>
      </w:pPr>
    </w:p>
    <w:p w14:paraId="241F0B2A" w14:textId="77777777" w:rsidR="00084AE2" w:rsidRPr="00FC269F" w:rsidRDefault="00084AE2" w:rsidP="00084AE2">
      <w:pPr>
        <w:pStyle w:val="ANZBodyText"/>
        <w:spacing w:after="0"/>
        <w:rPr>
          <w:lang w:val="en-AU"/>
        </w:rPr>
      </w:pPr>
      <w:r w:rsidRPr="00FC269F">
        <w:rPr>
          <w:lang w:val="en-AU"/>
        </w:rPr>
        <w:t>Andrew Clark</w:t>
      </w:r>
    </w:p>
    <w:p w14:paraId="55FC151C" w14:textId="77777777" w:rsidR="00084AE2" w:rsidRPr="00FC269F" w:rsidRDefault="00084AE2" w:rsidP="00084AE2">
      <w:pPr>
        <w:pStyle w:val="ANZBodyText"/>
        <w:spacing w:after="0"/>
        <w:rPr>
          <w:lang w:val="en-AU"/>
        </w:rPr>
      </w:pPr>
      <w:r w:rsidRPr="00FC269F">
        <w:rPr>
          <w:lang w:val="en-AU"/>
        </w:rPr>
        <w:t>Audit New Zealand</w:t>
      </w:r>
    </w:p>
    <w:p w14:paraId="42C2BE9F" w14:textId="77777777" w:rsidR="00084AE2" w:rsidRPr="00FC269F" w:rsidRDefault="00084AE2" w:rsidP="00084AE2">
      <w:pPr>
        <w:pStyle w:val="ANZBodyText"/>
        <w:spacing w:after="0"/>
        <w:rPr>
          <w:lang w:val="en-AU"/>
        </w:rPr>
      </w:pPr>
      <w:r w:rsidRPr="00FC269F">
        <w:rPr>
          <w:lang w:val="en-AU"/>
        </w:rPr>
        <w:t>On behalf of the Auditor</w:t>
      </w:r>
      <w:r>
        <w:rPr>
          <w:lang w:val="en-AU"/>
        </w:rPr>
        <w:noBreakHyphen/>
      </w:r>
      <w:r w:rsidRPr="00FC269F">
        <w:rPr>
          <w:lang w:val="en-AU"/>
        </w:rPr>
        <w:t>General</w:t>
      </w:r>
    </w:p>
    <w:p w14:paraId="44179F5F" w14:textId="77777777" w:rsidR="00084AE2" w:rsidRDefault="00084AE2" w:rsidP="00084AE2">
      <w:pPr>
        <w:pStyle w:val="ANZBodyText"/>
        <w:spacing w:after="0"/>
        <w:rPr>
          <w:lang w:val="en-AU"/>
        </w:rPr>
      </w:pPr>
      <w:r w:rsidRPr="00FC269F">
        <w:rPr>
          <w:lang w:val="en-AU"/>
        </w:rPr>
        <w:t>Wellington, New Zealand</w:t>
      </w:r>
    </w:p>
    <w:p w14:paraId="4C6DE01C" w14:textId="77777777" w:rsidR="00DF1795" w:rsidRDefault="00DF1795" w:rsidP="00DF1795">
      <w:pPr>
        <w:pStyle w:val="BodyText"/>
        <w:sectPr w:rsidR="00DF1795" w:rsidSect="00037952">
          <w:footerReference w:type="default" r:id="rId45"/>
          <w:endnotePr>
            <w:numFmt w:val="decimal"/>
          </w:endnotePr>
          <w:pgSz w:w="11906" w:h="16838" w:code="9"/>
          <w:pgMar w:top="2438" w:right="1304" w:bottom="1701" w:left="1304" w:header="680" w:footer="680" w:gutter="0"/>
          <w:cols w:space="708"/>
          <w:docGrid w:linePitch="360"/>
        </w:sectPr>
      </w:pPr>
      <w:r w:rsidRPr="007C49E9">
        <w:br w:type="page"/>
      </w:r>
    </w:p>
    <w:p w14:paraId="2E3B7E5F" w14:textId="77777777" w:rsidR="00DF1795" w:rsidRDefault="00DF1795" w:rsidP="00DF1795">
      <w:pPr>
        <w:pStyle w:val="Heading2"/>
      </w:pPr>
      <w:bookmarkStart w:id="123" w:name="_Statement_of_objectives"/>
      <w:bookmarkStart w:id="124" w:name="_Ref54687249"/>
      <w:bookmarkEnd w:id="123"/>
      <w:r w:rsidRPr="00BE4BB3">
        <w:t xml:space="preserve">Statement of objectives and service performance for the year ended </w:t>
      </w:r>
      <w:r w:rsidRPr="00E8775C">
        <w:t>30 June 20</w:t>
      </w:r>
      <w:r w:rsidR="005F457B">
        <w:t>20</w:t>
      </w:r>
      <w:bookmarkEnd w:id="124"/>
    </w:p>
    <w:p w14:paraId="3B6BC114" w14:textId="77777777" w:rsidR="000032E8" w:rsidRDefault="00DF1795" w:rsidP="000032E8">
      <w:pPr>
        <w:pStyle w:val="BodyText"/>
      </w:pPr>
      <w:r>
        <w:t xml:space="preserve">This section provides detailed reporting on our performance against our targets. Key targets are included in </w:t>
      </w:r>
      <w:r w:rsidRPr="00023AB0">
        <w:rPr>
          <w:rStyle w:val="Italics"/>
        </w:rPr>
        <w:t xml:space="preserve">The Estimates of Appropriations for the Government of New Zealand for the year ended </w:t>
      </w:r>
      <w:r w:rsidRPr="00E8775C">
        <w:rPr>
          <w:rStyle w:val="Italics"/>
        </w:rPr>
        <w:t>30 June 20</w:t>
      </w:r>
      <w:r w:rsidR="005F457B">
        <w:rPr>
          <w:rStyle w:val="Italics"/>
        </w:rPr>
        <w:t>20</w:t>
      </w:r>
      <w:r>
        <w:t>. Full details can be found on the Treasury’s website.</w:t>
      </w:r>
      <w:r w:rsidR="000032E8" w:rsidRPr="000032E8">
        <w:t xml:space="preserve"> </w:t>
      </w:r>
    </w:p>
    <w:p w14:paraId="2FDAE971" w14:textId="77777777" w:rsidR="00DF1795" w:rsidRDefault="000032E8" w:rsidP="00DF1795">
      <w:pPr>
        <w:pStyle w:val="BodyText"/>
      </w:pPr>
      <w:r>
        <w:t xml:space="preserve">The general impacts of COVID-19 on service performance during the reporting period were </w:t>
      </w:r>
      <w:r w:rsidR="000222B7">
        <w:t>466</w:t>
      </w:r>
      <w:r>
        <w:t xml:space="preserve"> complaints and other matters were received concerning COVID-19 matters; 27 COVID-19 focused inspections of places of detention were conducted during Alert Levels 4, 3, 2 and 1; and some proactive work was re-prioritised to ensure there was sufficient resource available for complaints, enquiries and inspections. Further detail is provided in footnotes below</w:t>
      </w:r>
      <w:r w:rsidR="003C3875">
        <w:t xml:space="preserve">. </w:t>
      </w:r>
    </w:p>
    <w:p w14:paraId="7C3A7155" w14:textId="77777777" w:rsidR="00DF1795" w:rsidRPr="00023AB0" w:rsidRDefault="00DF1795" w:rsidP="00DF1795">
      <w:pPr>
        <w:pStyle w:val="BodyText"/>
        <w:rPr>
          <w:b/>
          <w:sz w:val="28"/>
          <w:szCs w:val="28"/>
        </w:rPr>
      </w:pPr>
      <w:r>
        <w:rPr>
          <w:b/>
          <w:sz w:val="28"/>
          <w:szCs w:val="28"/>
        </w:rPr>
        <w:t>Investigation and r</w:t>
      </w:r>
      <w:r w:rsidRPr="00023AB0">
        <w:rPr>
          <w:b/>
          <w:sz w:val="28"/>
          <w:szCs w:val="28"/>
        </w:rPr>
        <w:t xml:space="preserve">esolution of </w:t>
      </w:r>
      <w:r>
        <w:rPr>
          <w:b/>
          <w:sz w:val="28"/>
          <w:szCs w:val="28"/>
        </w:rPr>
        <w:t>c</w:t>
      </w:r>
      <w:r w:rsidRPr="00023AB0">
        <w:rPr>
          <w:b/>
          <w:sz w:val="28"/>
          <w:szCs w:val="28"/>
        </w:rPr>
        <w:t xml:space="preserve">omplaints </w:t>
      </w:r>
      <w:r>
        <w:rPr>
          <w:b/>
          <w:sz w:val="28"/>
          <w:szCs w:val="28"/>
        </w:rPr>
        <w:t>a</w:t>
      </w:r>
      <w:r w:rsidRPr="00023AB0">
        <w:rPr>
          <w:b/>
          <w:sz w:val="28"/>
          <w:szCs w:val="28"/>
        </w:rPr>
        <w:t xml:space="preserve">bout </w:t>
      </w:r>
      <w:r>
        <w:rPr>
          <w:b/>
          <w:sz w:val="28"/>
          <w:szCs w:val="28"/>
        </w:rPr>
        <w:t>g</w:t>
      </w:r>
      <w:r w:rsidRPr="00023AB0">
        <w:rPr>
          <w:b/>
          <w:sz w:val="28"/>
          <w:szCs w:val="28"/>
        </w:rPr>
        <w:t xml:space="preserve">overnment </w:t>
      </w:r>
      <w:r>
        <w:rPr>
          <w:b/>
          <w:sz w:val="28"/>
          <w:szCs w:val="28"/>
        </w:rPr>
        <w:t>a</w:t>
      </w:r>
      <w:r w:rsidRPr="00023AB0">
        <w:rPr>
          <w:b/>
          <w:sz w:val="28"/>
          <w:szCs w:val="28"/>
        </w:rPr>
        <w:t>dministration</w:t>
      </w:r>
    </w:p>
    <w:tbl>
      <w:tblPr>
        <w:tblStyle w:val="TableGridAnnualReport"/>
        <w:tblW w:w="9508" w:type="dxa"/>
        <w:tblInd w:w="-40" w:type="dxa"/>
        <w:tblLayout w:type="fixed"/>
        <w:tblLook w:val="0420" w:firstRow="1" w:lastRow="0" w:firstColumn="0" w:lastColumn="0" w:noHBand="0" w:noVBand="1"/>
        <w:tblCaption w:val="Table for formatting purposes"/>
      </w:tblPr>
      <w:tblGrid>
        <w:gridCol w:w="6126"/>
        <w:gridCol w:w="1127"/>
        <w:gridCol w:w="1127"/>
        <w:gridCol w:w="1128"/>
      </w:tblGrid>
      <w:tr w:rsidR="00DF1795" w:rsidRPr="00387B61" w14:paraId="0C778B85" w14:textId="77777777" w:rsidTr="00222C74">
        <w:trPr>
          <w:cnfStyle w:val="100000000000" w:firstRow="1" w:lastRow="0" w:firstColumn="0" w:lastColumn="0" w:oddVBand="0" w:evenVBand="0" w:oddHBand="0" w:evenHBand="0" w:firstRowFirstColumn="0" w:firstRowLastColumn="0" w:lastRowFirstColumn="0" w:lastRowLastColumn="0"/>
          <w:cantSplit/>
          <w:trHeight w:val="510"/>
        </w:trPr>
        <w:tc>
          <w:tcPr>
            <w:tcW w:w="6126" w:type="dxa"/>
          </w:tcPr>
          <w:p w14:paraId="691ACF8C" w14:textId="77777777" w:rsidR="00DF1795" w:rsidRPr="00387B61" w:rsidRDefault="00DF1795" w:rsidP="00506E02">
            <w:pPr>
              <w:pStyle w:val="Tableheadingrow1"/>
            </w:pPr>
            <w:r>
              <w:t>Performance m</w:t>
            </w:r>
            <w:r w:rsidRPr="00387B61">
              <w:t>easures</w:t>
            </w:r>
          </w:p>
        </w:tc>
        <w:tc>
          <w:tcPr>
            <w:tcW w:w="1127" w:type="dxa"/>
            <w:tcBorders>
              <w:top w:val="single" w:sz="4" w:space="0" w:color="FFFFFF" w:themeColor="background1"/>
            </w:tcBorders>
          </w:tcPr>
          <w:p w14:paraId="44992FDC" w14:textId="77777777" w:rsidR="00DF1795" w:rsidRDefault="00DF1795" w:rsidP="00506E02">
            <w:pPr>
              <w:pStyle w:val="Tableheadingrow1"/>
              <w:jc w:val="center"/>
            </w:pPr>
            <w:r>
              <w:t>201</w:t>
            </w:r>
            <w:r w:rsidR="005F457B">
              <w:t>9</w:t>
            </w:r>
            <w:r>
              <w:t>/</w:t>
            </w:r>
            <w:r w:rsidR="005F457B">
              <w:t>20</w:t>
            </w:r>
          </w:p>
          <w:p w14:paraId="43CDEA61" w14:textId="77777777" w:rsidR="00DF1795" w:rsidRPr="00387B61" w:rsidRDefault="00DF1795" w:rsidP="00506E02">
            <w:pPr>
              <w:pStyle w:val="Tableheadingrow1"/>
              <w:jc w:val="center"/>
            </w:pPr>
            <w:r>
              <w:t>Budget standard</w:t>
            </w:r>
          </w:p>
        </w:tc>
        <w:tc>
          <w:tcPr>
            <w:tcW w:w="1127" w:type="dxa"/>
            <w:tcBorders>
              <w:top w:val="single" w:sz="4" w:space="0" w:color="FFFFFF" w:themeColor="background1"/>
            </w:tcBorders>
          </w:tcPr>
          <w:p w14:paraId="4DA574D0" w14:textId="77777777" w:rsidR="00DF1795" w:rsidRDefault="00DF1795" w:rsidP="00506E02">
            <w:pPr>
              <w:pStyle w:val="Tableheadingrow1"/>
              <w:jc w:val="center"/>
            </w:pPr>
            <w:r>
              <w:t>20</w:t>
            </w:r>
            <w:r w:rsidR="005F457B">
              <w:t>19/20</w:t>
            </w:r>
          </w:p>
          <w:p w14:paraId="5F7F26C7" w14:textId="77777777" w:rsidR="00DF1795" w:rsidRPr="00387B61" w:rsidRDefault="00DF1795" w:rsidP="00506E02">
            <w:pPr>
              <w:pStyle w:val="Tableheadingrow1"/>
              <w:jc w:val="center"/>
            </w:pPr>
            <w:r>
              <w:t>Actual</w:t>
            </w:r>
          </w:p>
        </w:tc>
        <w:tc>
          <w:tcPr>
            <w:tcW w:w="1128" w:type="dxa"/>
            <w:tcBorders>
              <w:top w:val="single" w:sz="4" w:space="0" w:color="FFFFFF" w:themeColor="background1"/>
            </w:tcBorders>
          </w:tcPr>
          <w:p w14:paraId="2BFF8A9E" w14:textId="77777777" w:rsidR="00DF1795" w:rsidRDefault="00DF1795" w:rsidP="00506E02">
            <w:pPr>
              <w:pStyle w:val="Tableheadingrow1"/>
              <w:jc w:val="center"/>
            </w:pPr>
            <w:r>
              <w:t>201</w:t>
            </w:r>
            <w:r w:rsidR="005F457B">
              <w:t>8</w:t>
            </w:r>
            <w:r>
              <w:t>/1</w:t>
            </w:r>
            <w:r w:rsidR="005F457B">
              <w:t>9</w:t>
            </w:r>
          </w:p>
          <w:p w14:paraId="05759F93" w14:textId="77777777" w:rsidR="00DF1795" w:rsidRPr="00387B61" w:rsidRDefault="00DF1795" w:rsidP="00506E02">
            <w:pPr>
              <w:pStyle w:val="Tableheadingrow1"/>
              <w:jc w:val="center"/>
            </w:pPr>
            <w:r>
              <w:t>Actual</w:t>
            </w:r>
          </w:p>
        </w:tc>
      </w:tr>
      <w:tr w:rsidR="00A85D0C" w:rsidRPr="00387B61" w14:paraId="0D83C7A3"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shd w:val="clear" w:color="auto" w:fill="BFBFBF"/>
          </w:tcPr>
          <w:p w14:paraId="3C08191A" w14:textId="77777777" w:rsidR="00A85D0C" w:rsidRPr="00387B61" w:rsidRDefault="00A85D0C" w:rsidP="00506E02">
            <w:pPr>
              <w:pStyle w:val="Tablebodytextnospaceafter"/>
              <w:rPr>
                <w:rStyle w:val="Emphasis"/>
              </w:rPr>
            </w:pPr>
            <w:r w:rsidRPr="00387B61">
              <w:rPr>
                <w:rStyle w:val="Emphasis"/>
              </w:rPr>
              <w:t>Impact measures</w:t>
            </w:r>
          </w:p>
        </w:tc>
        <w:tc>
          <w:tcPr>
            <w:tcW w:w="1127" w:type="dxa"/>
            <w:shd w:val="clear" w:color="auto" w:fill="BFBFBF"/>
          </w:tcPr>
          <w:p w14:paraId="1DB7D58F" w14:textId="77777777" w:rsidR="00A85D0C" w:rsidRPr="00387B61" w:rsidRDefault="00A85D0C" w:rsidP="00506E02">
            <w:pPr>
              <w:pStyle w:val="Tablebodytextnospaceafter"/>
              <w:rPr>
                <w:rStyle w:val="Emphasis"/>
              </w:rPr>
            </w:pPr>
          </w:p>
        </w:tc>
        <w:tc>
          <w:tcPr>
            <w:tcW w:w="1127" w:type="dxa"/>
            <w:shd w:val="clear" w:color="auto" w:fill="BFBFBF"/>
          </w:tcPr>
          <w:p w14:paraId="3088A3FE" w14:textId="77777777" w:rsidR="00A85D0C" w:rsidRPr="00387B61" w:rsidRDefault="00A85D0C" w:rsidP="00506E02">
            <w:pPr>
              <w:pStyle w:val="Tablebodytextnospaceafter"/>
              <w:rPr>
                <w:rStyle w:val="Emphasis"/>
              </w:rPr>
            </w:pPr>
          </w:p>
        </w:tc>
        <w:tc>
          <w:tcPr>
            <w:tcW w:w="1128" w:type="dxa"/>
            <w:shd w:val="clear" w:color="auto" w:fill="BFBFBF"/>
          </w:tcPr>
          <w:p w14:paraId="61301ADF" w14:textId="1797F7BF" w:rsidR="00A85D0C" w:rsidRPr="00387B61" w:rsidRDefault="00A85D0C" w:rsidP="00506E02">
            <w:pPr>
              <w:pStyle w:val="Tablebodytextnospaceafter"/>
              <w:rPr>
                <w:rStyle w:val="Emphasis"/>
              </w:rPr>
            </w:pPr>
          </w:p>
        </w:tc>
      </w:tr>
      <w:tr w:rsidR="00DF1795" w:rsidRPr="00387B61" w14:paraId="163ADFDF"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Pr>
          <w:p w14:paraId="138E7DE7" w14:textId="77777777" w:rsidR="00DF1795" w:rsidRPr="00387B61" w:rsidRDefault="00DF1795" w:rsidP="00462B77">
            <w:pPr>
              <w:pStyle w:val="Tablebodytextnospaceafter"/>
            </w:pPr>
            <w:r w:rsidRPr="00387B61">
              <w:t xml:space="preserve">Overall quality of public services </w:t>
            </w:r>
            <w:r w:rsidR="00462B77">
              <w:t xml:space="preserve">maintained or </w:t>
            </w:r>
            <w:r w:rsidR="00462B77" w:rsidRPr="00387B61">
              <w:t>improve</w:t>
            </w:r>
            <w:r w:rsidR="00462B77">
              <w:t>d</w:t>
            </w:r>
            <w:r w:rsidR="00462B77" w:rsidRPr="00387B61">
              <w:t xml:space="preserve"> </w:t>
            </w:r>
            <w:r w:rsidRPr="00387B61">
              <w:t>over time</w:t>
            </w:r>
            <w:r w:rsidR="00462B77">
              <w:t xml:space="preserve"> (amended measure)</w:t>
            </w:r>
          </w:p>
        </w:tc>
        <w:tc>
          <w:tcPr>
            <w:tcW w:w="1127" w:type="dxa"/>
          </w:tcPr>
          <w:p w14:paraId="5C80B78C" w14:textId="77777777" w:rsidR="00DF1795" w:rsidRPr="00387B61" w:rsidRDefault="00DF1795" w:rsidP="00506E02">
            <w:pPr>
              <w:pStyle w:val="Tablebodytextnospaceafter"/>
              <w:jc w:val="right"/>
            </w:pPr>
            <w:r w:rsidRPr="00387B61">
              <w:t>75 points or higher in Kiwis Count Survey</w:t>
            </w:r>
          </w:p>
        </w:tc>
        <w:tc>
          <w:tcPr>
            <w:tcW w:w="1127" w:type="dxa"/>
          </w:tcPr>
          <w:p w14:paraId="510E4B47" w14:textId="77777777" w:rsidR="00DF1795" w:rsidRPr="00035C85" w:rsidRDefault="00DF1795" w:rsidP="00506E02">
            <w:pPr>
              <w:pStyle w:val="Tablebodytextnospaceafter"/>
              <w:jc w:val="right"/>
              <w:rPr>
                <w:rStyle w:val="Emphasis"/>
                <w:highlight w:val="yellow"/>
              </w:rPr>
            </w:pPr>
            <w:r w:rsidRPr="007461EE">
              <w:rPr>
                <w:rStyle w:val="Emphasis"/>
              </w:rPr>
              <w:t>77</w:t>
            </w:r>
            <w:r>
              <w:rPr>
                <w:rStyle w:val="Emphasis"/>
              </w:rPr>
              <w:t xml:space="preserve"> points</w:t>
            </w:r>
            <w:r w:rsidRPr="00387B61">
              <w:rPr>
                <w:rStyle w:val="FootnoteReference"/>
              </w:rPr>
              <w:footnoteReference w:id="51"/>
            </w:r>
          </w:p>
        </w:tc>
        <w:tc>
          <w:tcPr>
            <w:tcW w:w="1128" w:type="dxa"/>
          </w:tcPr>
          <w:p w14:paraId="2C6ABF55" w14:textId="77777777" w:rsidR="00DF1795" w:rsidRPr="00387B61" w:rsidRDefault="00DF1795" w:rsidP="005F457B">
            <w:pPr>
              <w:pStyle w:val="Tablebodytextnospaceafter"/>
              <w:jc w:val="right"/>
            </w:pPr>
            <w:r w:rsidRPr="00387B61">
              <w:t>7</w:t>
            </w:r>
            <w:r w:rsidR="005F457B">
              <w:t>7</w:t>
            </w:r>
            <w:r w:rsidRPr="00387B61">
              <w:t xml:space="preserve"> points</w:t>
            </w:r>
          </w:p>
        </w:tc>
      </w:tr>
      <w:tr w:rsidR="00DF1795" w:rsidRPr="00387B61" w14:paraId="229819A1"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Pr>
          <w:p w14:paraId="6BAB2621" w14:textId="77777777" w:rsidR="00DF1795" w:rsidRPr="00387B61" w:rsidRDefault="00DF1795" w:rsidP="00506E02">
            <w:pPr>
              <w:pStyle w:val="Tablebodytextnospaceafter"/>
            </w:pPr>
            <w:r w:rsidRPr="00387B61">
              <w:t>N</w:t>
            </w:r>
            <w:r>
              <w:t>ew Zealand</w:t>
            </w:r>
            <w:r w:rsidRPr="00387B61">
              <w:t xml:space="preserve"> ranked as one of the leading countries in public service probity</w:t>
            </w:r>
            <w:r w:rsidRPr="00387B61">
              <w:rPr>
                <w:rStyle w:val="FootnoteReference"/>
              </w:rPr>
              <w:footnoteReference w:id="52"/>
            </w:r>
          </w:p>
        </w:tc>
        <w:tc>
          <w:tcPr>
            <w:tcW w:w="1127" w:type="dxa"/>
          </w:tcPr>
          <w:p w14:paraId="1FE2C211" w14:textId="77777777" w:rsidR="00DF1795" w:rsidRPr="00387B61" w:rsidRDefault="00DF1795" w:rsidP="00506E02">
            <w:pPr>
              <w:pStyle w:val="Tablebodytextnospaceafter"/>
              <w:jc w:val="right"/>
            </w:pPr>
            <w:r w:rsidRPr="00387B61">
              <w:t>NZ in top 3 on average over next 5 years</w:t>
            </w:r>
          </w:p>
        </w:tc>
        <w:tc>
          <w:tcPr>
            <w:tcW w:w="1127" w:type="dxa"/>
          </w:tcPr>
          <w:p w14:paraId="593BC63D" w14:textId="77777777" w:rsidR="00DF1795" w:rsidRPr="00555FC5" w:rsidRDefault="00DF1795" w:rsidP="00AB5BA6">
            <w:pPr>
              <w:pStyle w:val="Tablebodytextnospaceafter"/>
              <w:jc w:val="right"/>
              <w:rPr>
                <w:rStyle w:val="Emphasis"/>
                <w:highlight w:val="yellow"/>
              </w:rPr>
            </w:pPr>
            <w:r w:rsidRPr="00B30C17">
              <w:rPr>
                <w:rStyle w:val="Emphasis"/>
              </w:rPr>
              <w:t>In 201</w:t>
            </w:r>
            <w:r w:rsidR="00AB5BA6">
              <w:rPr>
                <w:rStyle w:val="Emphasis"/>
              </w:rPr>
              <w:t>9</w:t>
            </w:r>
            <w:r w:rsidRPr="00B30C17">
              <w:rPr>
                <w:rStyle w:val="Emphasis"/>
              </w:rPr>
              <w:t xml:space="preserve">, New Zealand ranked </w:t>
            </w:r>
            <w:r w:rsidR="00AB5BA6">
              <w:rPr>
                <w:rStyle w:val="Emphasis"/>
              </w:rPr>
              <w:t>first</w:t>
            </w:r>
            <w:r w:rsidRPr="00B30C17">
              <w:rPr>
                <w:rStyle w:val="FootnoteReference"/>
              </w:rPr>
              <w:footnoteReference w:id="53"/>
            </w:r>
          </w:p>
        </w:tc>
        <w:tc>
          <w:tcPr>
            <w:tcW w:w="1128" w:type="dxa"/>
          </w:tcPr>
          <w:p w14:paraId="6530F79C" w14:textId="77777777" w:rsidR="00DF1795" w:rsidRPr="00387B61" w:rsidRDefault="00DF1795" w:rsidP="005F457B">
            <w:pPr>
              <w:pStyle w:val="Tablebodytextnospaceafter"/>
              <w:jc w:val="right"/>
            </w:pPr>
            <w:r w:rsidRPr="00387B61">
              <w:t>In 201</w:t>
            </w:r>
            <w:r w:rsidR="005F457B">
              <w:t>8</w:t>
            </w:r>
            <w:r w:rsidRPr="00387B61">
              <w:t xml:space="preserve">, New Zealand ranked </w:t>
            </w:r>
            <w:r w:rsidR="005F457B">
              <w:t>second</w:t>
            </w:r>
          </w:p>
        </w:tc>
      </w:tr>
      <w:tr w:rsidR="00401965" w:rsidRPr="00387B61" w14:paraId="0BB66708" w14:textId="77777777" w:rsidTr="00401965">
        <w:trPr>
          <w:cnfStyle w:val="000000010000" w:firstRow="0" w:lastRow="0" w:firstColumn="0" w:lastColumn="0" w:oddVBand="0" w:evenVBand="0" w:oddHBand="0" w:evenHBand="1" w:firstRowFirstColumn="0" w:firstRowLastColumn="0" w:lastRowFirstColumn="0" w:lastRowLastColumn="0"/>
          <w:cantSplit/>
          <w:trHeight w:val="60"/>
        </w:trPr>
        <w:tc>
          <w:tcPr>
            <w:tcW w:w="6126" w:type="dxa"/>
            <w:shd w:val="clear" w:color="auto" w:fill="BFBFBF"/>
          </w:tcPr>
          <w:p w14:paraId="0A0AE9B2" w14:textId="77777777" w:rsidR="000E431E" w:rsidRPr="00387B61" w:rsidRDefault="000E431E" w:rsidP="00506E02">
            <w:pPr>
              <w:pStyle w:val="Tablebodytextnospaceafter"/>
              <w:rPr>
                <w:rStyle w:val="Emphasis"/>
              </w:rPr>
            </w:pPr>
            <w:r w:rsidRPr="00387B61">
              <w:rPr>
                <w:rStyle w:val="Emphasis"/>
              </w:rPr>
              <w:t>Output 1 – Inform the public to enable them to take constructive action to realise their rights</w:t>
            </w:r>
          </w:p>
        </w:tc>
        <w:tc>
          <w:tcPr>
            <w:tcW w:w="1127" w:type="dxa"/>
            <w:shd w:val="clear" w:color="auto" w:fill="BFBFBF"/>
          </w:tcPr>
          <w:p w14:paraId="5FB40F1B" w14:textId="77777777" w:rsidR="000E431E" w:rsidRPr="00387B61" w:rsidRDefault="000E431E" w:rsidP="00506E02">
            <w:pPr>
              <w:pStyle w:val="Tablebodytextnospaceafter"/>
              <w:rPr>
                <w:rStyle w:val="Emphasis"/>
              </w:rPr>
            </w:pPr>
          </w:p>
        </w:tc>
        <w:tc>
          <w:tcPr>
            <w:tcW w:w="1127" w:type="dxa"/>
            <w:shd w:val="clear" w:color="auto" w:fill="BFBFBF"/>
          </w:tcPr>
          <w:p w14:paraId="19B4568D" w14:textId="77777777" w:rsidR="000E431E" w:rsidRPr="00387B61" w:rsidRDefault="000E431E" w:rsidP="00506E02">
            <w:pPr>
              <w:pStyle w:val="Tablebodytextnospaceafter"/>
              <w:rPr>
                <w:rStyle w:val="Emphasis"/>
              </w:rPr>
            </w:pPr>
          </w:p>
        </w:tc>
        <w:tc>
          <w:tcPr>
            <w:tcW w:w="1128" w:type="dxa"/>
            <w:shd w:val="clear" w:color="auto" w:fill="BFBFBF"/>
          </w:tcPr>
          <w:p w14:paraId="401BF5ED" w14:textId="67141F8A" w:rsidR="000E431E" w:rsidRPr="00387B61" w:rsidRDefault="000E431E" w:rsidP="00506E02">
            <w:pPr>
              <w:pStyle w:val="Tablebodytextnospaceafter"/>
              <w:rPr>
                <w:rStyle w:val="Emphasis"/>
              </w:rPr>
            </w:pPr>
          </w:p>
        </w:tc>
      </w:tr>
      <w:tr w:rsidR="00401965" w:rsidRPr="00387B61" w14:paraId="36E0F381" w14:textId="77777777" w:rsidTr="00401965">
        <w:trPr>
          <w:cnfStyle w:val="000000100000" w:firstRow="0" w:lastRow="0" w:firstColumn="0" w:lastColumn="0" w:oddVBand="0" w:evenVBand="0" w:oddHBand="1" w:evenHBand="0" w:firstRowFirstColumn="0" w:firstRowLastColumn="0" w:lastRowFirstColumn="0" w:lastRowLastColumn="0"/>
          <w:cantSplit/>
          <w:trHeight w:val="60"/>
        </w:trPr>
        <w:tc>
          <w:tcPr>
            <w:tcW w:w="6126" w:type="dxa"/>
            <w:shd w:val="clear" w:color="auto" w:fill="D3D3D3"/>
          </w:tcPr>
          <w:p w14:paraId="54D7CA94" w14:textId="77777777" w:rsidR="000E431E" w:rsidRPr="00387B61" w:rsidRDefault="000E431E" w:rsidP="00506E02">
            <w:pPr>
              <w:pStyle w:val="Tablebodytextnospaceafter"/>
            </w:pPr>
            <w:r w:rsidRPr="00387B61">
              <w:t xml:space="preserve">Demand-driven measures </w:t>
            </w:r>
          </w:p>
        </w:tc>
        <w:tc>
          <w:tcPr>
            <w:tcW w:w="1127" w:type="dxa"/>
            <w:shd w:val="clear" w:color="auto" w:fill="D3D3D3"/>
          </w:tcPr>
          <w:p w14:paraId="7583603C" w14:textId="77777777" w:rsidR="000E431E" w:rsidRPr="00387B61" w:rsidRDefault="000E431E" w:rsidP="00506E02">
            <w:pPr>
              <w:pStyle w:val="Tablebodytextnospaceafter"/>
            </w:pPr>
          </w:p>
        </w:tc>
        <w:tc>
          <w:tcPr>
            <w:tcW w:w="1127" w:type="dxa"/>
            <w:shd w:val="clear" w:color="auto" w:fill="D3D3D3"/>
          </w:tcPr>
          <w:p w14:paraId="4C0FE125" w14:textId="77777777" w:rsidR="000E431E" w:rsidRPr="00387B61" w:rsidRDefault="000E431E" w:rsidP="00506E02">
            <w:pPr>
              <w:pStyle w:val="Tablebodytextnospaceafter"/>
            </w:pPr>
          </w:p>
        </w:tc>
        <w:tc>
          <w:tcPr>
            <w:tcW w:w="1128" w:type="dxa"/>
            <w:shd w:val="clear" w:color="auto" w:fill="D3D3D3"/>
          </w:tcPr>
          <w:p w14:paraId="6F9B60E4" w14:textId="2B897EF2" w:rsidR="000E431E" w:rsidRPr="00387B61" w:rsidRDefault="000E431E" w:rsidP="00506E02">
            <w:pPr>
              <w:pStyle w:val="Tablebodytextnospaceafter"/>
            </w:pPr>
          </w:p>
        </w:tc>
      </w:tr>
      <w:tr w:rsidR="00DF1795" w:rsidRPr="002B02AF" w14:paraId="306FD229"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top w:val="single" w:sz="4" w:space="0" w:color="FFFFFF" w:themeColor="background1"/>
              <w:bottom w:val="single" w:sz="4" w:space="0" w:color="FFFFFF" w:themeColor="background1"/>
            </w:tcBorders>
          </w:tcPr>
          <w:p w14:paraId="6EEA6C42" w14:textId="77777777" w:rsidR="00DF1795" w:rsidRPr="006A1352" w:rsidRDefault="00DF1795" w:rsidP="009E78CF">
            <w:pPr>
              <w:pStyle w:val="Tablebodytextnospaceafter"/>
            </w:pPr>
            <w:r w:rsidRPr="006A1352">
              <w:t xml:space="preserve"># </w:t>
            </w:r>
            <w:r w:rsidR="009E78CF">
              <w:t>of new or updated external resources and presentations for the public (amended measure)</w:t>
            </w:r>
            <w:r w:rsidRPr="006A1352">
              <w:rPr>
                <w:rStyle w:val="FootnoteReference"/>
              </w:rPr>
              <w:footnoteReference w:id="54"/>
            </w:r>
            <w:r w:rsidRPr="006A1352">
              <w:t xml:space="preserve"> </w:t>
            </w:r>
          </w:p>
        </w:tc>
        <w:tc>
          <w:tcPr>
            <w:tcW w:w="1127" w:type="dxa"/>
            <w:tcBorders>
              <w:bottom w:val="single" w:sz="4" w:space="0" w:color="FFFFFF" w:themeColor="background1"/>
            </w:tcBorders>
          </w:tcPr>
          <w:p w14:paraId="32481C5C" w14:textId="77777777" w:rsidR="00DF1795" w:rsidRPr="006A1352" w:rsidRDefault="005F457B" w:rsidP="005F457B">
            <w:pPr>
              <w:pStyle w:val="Tablebodytextnospaceafter"/>
              <w:jc w:val="right"/>
            </w:pPr>
            <w:r>
              <w:t>55</w:t>
            </w:r>
          </w:p>
        </w:tc>
        <w:tc>
          <w:tcPr>
            <w:tcW w:w="1127" w:type="dxa"/>
            <w:tcBorders>
              <w:bottom w:val="single" w:sz="4" w:space="0" w:color="FFFFFF" w:themeColor="background1"/>
            </w:tcBorders>
          </w:tcPr>
          <w:p w14:paraId="1374BCFB" w14:textId="77777777" w:rsidR="00DF1795" w:rsidRPr="00B30C39" w:rsidRDefault="00EA36E4" w:rsidP="00512322">
            <w:pPr>
              <w:pStyle w:val="Tablebodytextnospaceafter"/>
              <w:jc w:val="right"/>
              <w:rPr>
                <w:rStyle w:val="Emphasis"/>
                <w:highlight w:val="yellow"/>
              </w:rPr>
            </w:pPr>
            <w:r w:rsidRPr="00243029">
              <w:rPr>
                <w:rStyle w:val="Emphasis"/>
              </w:rPr>
              <w:t>106</w:t>
            </w:r>
            <w:r w:rsidR="008E4883">
              <w:rPr>
                <w:rStyle w:val="FootnoteReference"/>
                <w:b/>
                <w:bCs/>
                <w:iCs/>
              </w:rPr>
              <w:footnoteReference w:id="55"/>
            </w:r>
          </w:p>
        </w:tc>
        <w:tc>
          <w:tcPr>
            <w:tcW w:w="1128" w:type="dxa"/>
            <w:tcBorders>
              <w:bottom w:val="single" w:sz="4" w:space="0" w:color="FFFFFF"/>
            </w:tcBorders>
          </w:tcPr>
          <w:p w14:paraId="0082AE92" w14:textId="77777777" w:rsidR="00DF1795" w:rsidRPr="009D239C" w:rsidRDefault="005F457B" w:rsidP="005F457B">
            <w:pPr>
              <w:pStyle w:val="Tablebodytextnospaceafter"/>
              <w:jc w:val="right"/>
              <w:rPr>
                <w:rStyle w:val="Italics"/>
                <w:i w:val="0"/>
              </w:rPr>
            </w:pPr>
            <w:r>
              <w:rPr>
                <w:rStyle w:val="Italics"/>
                <w:i w:val="0"/>
              </w:rPr>
              <w:t>52</w:t>
            </w:r>
          </w:p>
        </w:tc>
      </w:tr>
      <w:tr w:rsidR="00DF1795" w:rsidRPr="002B02AF" w14:paraId="416F6CBB"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bottom w:val="single" w:sz="4" w:space="0" w:color="FFFFFF" w:themeColor="background1"/>
            </w:tcBorders>
          </w:tcPr>
          <w:p w14:paraId="4CDE2E6F" w14:textId="77777777" w:rsidR="00DF1795" w:rsidRPr="006450B3" w:rsidRDefault="00DF1795" w:rsidP="005F457B">
            <w:pPr>
              <w:pStyle w:val="Tablebodytextnospaceafter"/>
            </w:pPr>
            <w:r w:rsidRPr="006450B3">
              <w:t xml:space="preserve"># of media mentions of the Ombudsman </w:t>
            </w:r>
          </w:p>
        </w:tc>
        <w:tc>
          <w:tcPr>
            <w:tcW w:w="1127" w:type="dxa"/>
            <w:tcBorders>
              <w:bottom w:val="single" w:sz="4" w:space="0" w:color="FFFFFF" w:themeColor="background1"/>
            </w:tcBorders>
          </w:tcPr>
          <w:p w14:paraId="02A83EDE" w14:textId="77777777" w:rsidR="00DF1795" w:rsidRPr="006450B3" w:rsidRDefault="005F457B" w:rsidP="00506E02">
            <w:pPr>
              <w:pStyle w:val="Tablebodytextnospaceafter"/>
              <w:jc w:val="right"/>
            </w:pPr>
            <w:r>
              <w:t>1,100</w:t>
            </w:r>
          </w:p>
        </w:tc>
        <w:tc>
          <w:tcPr>
            <w:tcW w:w="1127" w:type="dxa"/>
            <w:tcBorders>
              <w:bottom w:val="single" w:sz="4" w:space="0" w:color="FFFFFF" w:themeColor="background1"/>
            </w:tcBorders>
          </w:tcPr>
          <w:p w14:paraId="0B80810D" w14:textId="77777777" w:rsidR="00DF1795" w:rsidRPr="00243029" w:rsidRDefault="00C267F4" w:rsidP="009E78CF">
            <w:pPr>
              <w:pStyle w:val="Tablebodytextnospaceafter"/>
              <w:jc w:val="right"/>
              <w:rPr>
                <w:rStyle w:val="Emphasis"/>
              </w:rPr>
            </w:pPr>
            <w:r w:rsidRPr="00243029">
              <w:rPr>
                <w:rStyle w:val="Emphasis"/>
              </w:rPr>
              <w:t>1,</w:t>
            </w:r>
            <w:r w:rsidR="009E78CF" w:rsidRPr="00243029">
              <w:rPr>
                <w:rStyle w:val="Emphasis"/>
              </w:rPr>
              <w:t>267</w:t>
            </w:r>
          </w:p>
        </w:tc>
        <w:tc>
          <w:tcPr>
            <w:tcW w:w="1128" w:type="dxa"/>
            <w:tcBorders>
              <w:bottom w:val="single" w:sz="4" w:space="0" w:color="FFFFFF"/>
            </w:tcBorders>
          </w:tcPr>
          <w:p w14:paraId="5BE37E41" w14:textId="77777777" w:rsidR="00DF1795" w:rsidRPr="009D239C" w:rsidRDefault="005F457B" w:rsidP="005F457B">
            <w:pPr>
              <w:pStyle w:val="Tablebodytextnospaceafter"/>
              <w:jc w:val="right"/>
              <w:rPr>
                <w:rStyle w:val="Italics"/>
                <w:i w:val="0"/>
              </w:rPr>
            </w:pPr>
            <w:r>
              <w:rPr>
                <w:rStyle w:val="Italics"/>
                <w:i w:val="0"/>
              </w:rPr>
              <w:t>1,172</w:t>
            </w:r>
          </w:p>
        </w:tc>
      </w:tr>
      <w:tr w:rsidR="00DF1795" w:rsidRPr="00387B61" w14:paraId="18E2E12F"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top w:val="single" w:sz="4" w:space="0" w:color="FFFFFF" w:themeColor="background1"/>
            </w:tcBorders>
          </w:tcPr>
          <w:p w14:paraId="6AAB066A" w14:textId="77777777" w:rsidR="00DF1795" w:rsidRPr="006450B3" w:rsidRDefault="00DF1795" w:rsidP="005F457B">
            <w:pPr>
              <w:pStyle w:val="Tablebodytextnospaceafter"/>
            </w:pPr>
            <w:r w:rsidRPr="006450B3">
              <w:t xml:space="preserve"># of unique visitors to Ombudsman website </w:t>
            </w:r>
          </w:p>
        </w:tc>
        <w:tc>
          <w:tcPr>
            <w:tcW w:w="1127" w:type="dxa"/>
          </w:tcPr>
          <w:p w14:paraId="3E221176" w14:textId="77777777" w:rsidR="00DF1795" w:rsidRPr="006450B3" w:rsidRDefault="005F457B" w:rsidP="00506E02">
            <w:pPr>
              <w:pStyle w:val="Tablebodytextnospaceafter"/>
              <w:jc w:val="right"/>
            </w:pPr>
            <w:r>
              <w:t>82,5</w:t>
            </w:r>
            <w:r w:rsidR="00DF1795" w:rsidRPr="006450B3">
              <w:t>00</w:t>
            </w:r>
          </w:p>
        </w:tc>
        <w:tc>
          <w:tcPr>
            <w:tcW w:w="1127" w:type="dxa"/>
          </w:tcPr>
          <w:p w14:paraId="3C04A67F" w14:textId="77777777" w:rsidR="00DF1795" w:rsidRPr="00243029" w:rsidRDefault="002F258F" w:rsidP="00506E02">
            <w:pPr>
              <w:pStyle w:val="Tablebodytextnospaceafter"/>
              <w:jc w:val="right"/>
              <w:rPr>
                <w:rStyle w:val="Emphasis"/>
              </w:rPr>
            </w:pPr>
            <w:r w:rsidRPr="00243029">
              <w:rPr>
                <w:rStyle w:val="Emphasis"/>
              </w:rPr>
              <w:t>108,947</w:t>
            </w:r>
            <w:r w:rsidR="0077075C">
              <w:rPr>
                <w:rStyle w:val="FootnoteReference"/>
                <w:b/>
                <w:bCs/>
                <w:iCs/>
              </w:rPr>
              <w:footnoteReference w:id="56"/>
            </w:r>
          </w:p>
        </w:tc>
        <w:tc>
          <w:tcPr>
            <w:tcW w:w="1128" w:type="dxa"/>
          </w:tcPr>
          <w:p w14:paraId="19742CAE" w14:textId="77777777" w:rsidR="00DF1795" w:rsidRPr="009D239C" w:rsidRDefault="005F457B" w:rsidP="00506E02">
            <w:pPr>
              <w:pStyle w:val="Tablebodytextnospaceafter"/>
              <w:jc w:val="right"/>
              <w:rPr>
                <w:rStyle w:val="Italics"/>
                <w:i w:val="0"/>
              </w:rPr>
            </w:pPr>
            <w:r>
              <w:rPr>
                <w:rStyle w:val="Italics"/>
                <w:i w:val="0"/>
              </w:rPr>
              <w:t>89,162</w:t>
            </w:r>
          </w:p>
        </w:tc>
      </w:tr>
      <w:tr w:rsidR="00D149B6" w:rsidRPr="00387B61" w14:paraId="4CDDB290"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shd w:val="clear" w:color="auto" w:fill="D3D3D3"/>
          </w:tcPr>
          <w:p w14:paraId="77E7F0F9" w14:textId="77777777" w:rsidR="00D149B6" w:rsidRPr="00D149B6" w:rsidRDefault="00D149B6" w:rsidP="00506E02">
            <w:pPr>
              <w:pStyle w:val="Tablebodytextnospaceafter"/>
              <w:rPr>
                <w:b/>
              </w:rPr>
            </w:pPr>
            <w:r w:rsidRPr="00D149B6">
              <w:rPr>
                <w:b/>
              </w:rPr>
              <w:t xml:space="preserve">Proactive measures </w:t>
            </w:r>
          </w:p>
        </w:tc>
        <w:tc>
          <w:tcPr>
            <w:tcW w:w="1127" w:type="dxa"/>
            <w:shd w:val="clear" w:color="auto" w:fill="D3D3D3"/>
          </w:tcPr>
          <w:p w14:paraId="18146670" w14:textId="77777777" w:rsidR="00D149B6" w:rsidRPr="00387B61" w:rsidRDefault="00D149B6" w:rsidP="00506E02">
            <w:pPr>
              <w:pStyle w:val="Tablebodytextnospaceafter"/>
            </w:pPr>
          </w:p>
        </w:tc>
        <w:tc>
          <w:tcPr>
            <w:tcW w:w="1127" w:type="dxa"/>
            <w:shd w:val="clear" w:color="auto" w:fill="D3D3D3"/>
          </w:tcPr>
          <w:p w14:paraId="61AA9267" w14:textId="77777777" w:rsidR="00D149B6" w:rsidRPr="00387B61" w:rsidRDefault="00D149B6" w:rsidP="00506E02">
            <w:pPr>
              <w:pStyle w:val="Tablebodytextnospaceafter"/>
            </w:pPr>
          </w:p>
        </w:tc>
        <w:tc>
          <w:tcPr>
            <w:tcW w:w="1128" w:type="dxa"/>
            <w:shd w:val="clear" w:color="auto" w:fill="D3D3D3"/>
          </w:tcPr>
          <w:p w14:paraId="52E596F9" w14:textId="14ED8A86" w:rsidR="00D149B6" w:rsidRPr="00387B61" w:rsidRDefault="00D149B6" w:rsidP="00506E02">
            <w:pPr>
              <w:pStyle w:val="Tablebodytextnospaceafter"/>
            </w:pPr>
          </w:p>
        </w:tc>
      </w:tr>
      <w:tr w:rsidR="00DF1795" w:rsidRPr="00387B61" w14:paraId="19173555"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top w:val="single" w:sz="4" w:space="0" w:color="FFFFFF" w:themeColor="background1"/>
              <w:bottom w:val="single" w:sz="4" w:space="0" w:color="FFFFFF" w:themeColor="background1"/>
            </w:tcBorders>
          </w:tcPr>
          <w:p w14:paraId="70180B90" w14:textId="77777777" w:rsidR="00DF1795" w:rsidRPr="00387B61" w:rsidRDefault="00DF1795" w:rsidP="00506E02">
            <w:pPr>
              <w:pStyle w:val="Tablebodytextnospaceafter"/>
            </w:pPr>
            <w:r w:rsidRPr="00387B61">
              <w:t>% of members of the public who have heard of the Ombudsman</w:t>
            </w:r>
          </w:p>
        </w:tc>
        <w:tc>
          <w:tcPr>
            <w:tcW w:w="1127" w:type="dxa"/>
            <w:tcBorders>
              <w:bottom w:val="single" w:sz="4" w:space="0" w:color="FFFFFF" w:themeColor="background1"/>
            </w:tcBorders>
          </w:tcPr>
          <w:p w14:paraId="65807791" w14:textId="77777777" w:rsidR="00DF1795" w:rsidRPr="00387B61" w:rsidRDefault="005F457B" w:rsidP="00506E02">
            <w:pPr>
              <w:pStyle w:val="Tablebodytextnospaceafter"/>
              <w:jc w:val="right"/>
            </w:pPr>
            <w:r>
              <w:t>70</w:t>
            </w:r>
            <w:r w:rsidR="00DF1795" w:rsidRPr="00387B61">
              <w:t>%</w:t>
            </w:r>
          </w:p>
        </w:tc>
        <w:tc>
          <w:tcPr>
            <w:tcW w:w="1127" w:type="dxa"/>
            <w:tcBorders>
              <w:bottom w:val="single" w:sz="4" w:space="0" w:color="FFFFFF" w:themeColor="background1"/>
            </w:tcBorders>
          </w:tcPr>
          <w:p w14:paraId="0C77D104" w14:textId="77777777" w:rsidR="00DF1795" w:rsidRPr="009A6D2A" w:rsidRDefault="00987634" w:rsidP="00506E02">
            <w:pPr>
              <w:pStyle w:val="Tablebodytextnospaceafter"/>
              <w:jc w:val="right"/>
              <w:rPr>
                <w:rStyle w:val="Emphasis"/>
              </w:rPr>
            </w:pPr>
            <w:r>
              <w:rPr>
                <w:rStyle w:val="Emphasis"/>
              </w:rPr>
              <w:t>77</w:t>
            </w:r>
            <w:r w:rsidR="00DF1795" w:rsidRPr="009A6D2A">
              <w:rPr>
                <w:rStyle w:val="Emphasis"/>
              </w:rPr>
              <w:t>%</w:t>
            </w:r>
          </w:p>
        </w:tc>
        <w:tc>
          <w:tcPr>
            <w:tcW w:w="1128" w:type="dxa"/>
            <w:tcBorders>
              <w:bottom w:val="single" w:sz="4" w:space="0" w:color="FFFFFF"/>
            </w:tcBorders>
          </w:tcPr>
          <w:p w14:paraId="6B9A4A09" w14:textId="77777777" w:rsidR="00DF1795" w:rsidRPr="00F41135" w:rsidRDefault="005F457B" w:rsidP="00506E02">
            <w:pPr>
              <w:pStyle w:val="Tablebodytextnospaceafter"/>
              <w:jc w:val="right"/>
            </w:pPr>
            <w:r>
              <w:t>76</w:t>
            </w:r>
            <w:r w:rsidR="00DF1795" w:rsidRPr="00F41135">
              <w:t>%</w:t>
            </w:r>
          </w:p>
        </w:tc>
      </w:tr>
      <w:tr w:rsidR="00DF1795" w:rsidRPr="00387B61" w14:paraId="22A84911"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bottom w:val="single" w:sz="4" w:space="0" w:color="FFFFFF" w:themeColor="background1"/>
            </w:tcBorders>
          </w:tcPr>
          <w:p w14:paraId="2A65AD4F" w14:textId="77777777" w:rsidR="00DF1795" w:rsidRPr="00387B61" w:rsidRDefault="00DF1795" w:rsidP="00321401">
            <w:pPr>
              <w:pStyle w:val="Tablebodytextnospaceafter"/>
            </w:pPr>
            <w:r w:rsidRPr="00387B61">
              <w:t xml:space="preserve">% of complainants who found </w:t>
            </w:r>
            <w:r w:rsidR="0077075C">
              <w:t>the Ombudsman</w:t>
            </w:r>
            <w:r w:rsidR="0077075C" w:rsidRPr="00387B61">
              <w:t xml:space="preserve"> </w:t>
            </w:r>
            <w:r w:rsidRPr="00387B61">
              <w:t>website useful</w:t>
            </w:r>
            <w:r w:rsidRPr="00387B61">
              <w:rPr>
                <w:rStyle w:val="FootnoteReference"/>
                <w:szCs w:val="20"/>
              </w:rPr>
              <w:footnoteReference w:id="57"/>
            </w:r>
          </w:p>
        </w:tc>
        <w:tc>
          <w:tcPr>
            <w:tcW w:w="1127" w:type="dxa"/>
            <w:tcBorders>
              <w:bottom w:val="single" w:sz="4" w:space="0" w:color="FFFFFF" w:themeColor="background1"/>
            </w:tcBorders>
          </w:tcPr>
          <w:p w14:paraId="19B688B7" w14:textId="77777777" w:rsidR="00DF1795" w:rsidRPr="00387B61" w:rsidRDefault="00DF1795" w:rsidP="00506E02">
            <w:pPr>
              <w:pStyle w:val="Tablebodytextnospaceafter"/>
              <w:jc w:val="right"/>
            </w:pPr>
            <w:r w:rsidRPr="00387B61">
              <w:t>80%</w:t>
            </w:r>
          </w:p>
        </w:tc>
        <w:tc>
          <w:tcPr>
            <w:tcW w:w="1127" w:type="dxa"/>
            <w:tcBorders>
              <w:bottom w:val="single" w:sz="4" w:space="0" w:color="FFFFFF" w:themeColor="background1"/>
            </w:tcBorders>
          </w:tcPr>
          <w:p w14:paraId="0AA7A63B" w14:textId="77777777" w:rsidR="00DF1795" w:rsidRPr="009A6D2A" w:rsidRDefault="006B5E09" w:rsidP="00506E02">
            <w:pPr>
              <w:pStyle w:val="Tablebodytextnospaceafter"/>
              <w:jc w:val="right"/>
              <w:rPr>
                <w:rStyle w:val="Emphasis"/>
              </w:rPr>
            </w:pPr>
            <w:r>
              <w:rPr>
                <w:rStyle w:val="Emphasis"/>
              </w:rPr>
              <w:t>82</w:t>
            </w:r>
            <w:r w:rsidR="00DF1795" w:rsidRPr="009A6D2A">
              <w:rPr>
                <w:rStyle w:val="Emphasis"/>
              </w:rPr>
              <w:t>%</w:t>
            </w:r>
          </w:p>
        </w:tc>
        <w:tc>
          <w:tcPr>
            <w:tcW w:w="1128" w:type="dxa"/>
            <w:tcBorders>
              <w:bottom w:val="single" w:sz="4" w:space="0" w:color="FFFFFF"/>
            </w:tcBorders>
          </w:tcPr>
          <w:p w14:paraId="5CA0DF6D" w14:textId="77777777" w:rsidR="00DF1795" w:rsidRPr="00387B61" w:rsidRDefault="005F457B" w:rsidP="00506E02">
            <w:pPr>
              <w:pStyle w:val="Tablebodytextnospaceafter"/>
              <w:jc w:val="right"/>
            </w:pPr>
            <w:r>
              <w:t>90</w:t>
            </w:r>
            <w:r w:rsidR="00DF1795" w:rsidRPr="00387B61">
              <w:t>%</w:t>
            </w:r>
          </w:p>
        </w:tc>
      </w:tr>
      <w:tr w:rsidR="00401965" w:rsidRPr="00387B61" w14:paraId="21C1C1CB" w14:textId="77777777" w:rsidTr="00401965">
        <w:trPr>
          <w:cnfStyle w:val="000000010000" w:firstRow="0" w:lastRow="0" w:firstColumn="0" w:lastColumn="0" w:oddVBand="0" w:evenVBand="0" w:oddHBand="0" w:evenHBand="1" w:firstRowFirstColumn="0" w:firstRowLastColumn="0" w:lastRowFirstColumn="0" w:lastRowLastColumn="0"/>
          <w:cantSplit/>
          <w:trHeight w:val="60"/>
        </w:trPr>
        <w:tc>
          <w:tcPr>
            <w:tcW w:w="6126" w:type="dxa"/>
            <w:shd w:val="clear" w:color="auto" w:fill="BFBFBF"/>
          </w:tcPr>
          <w:p w14:paraId="68F77EAF" w14:textId="77777777" w:rsidR="000E431E" w:rsidRPr="009A6D2A" w:rsidRDefault="000E431E" w:rsidP="00506E02">
            <w:pPr>
              <w:pStyle w:val="Tablebodytextnospaceafter"/>
              <w:rPr>
                <w:rStyle w:val="Emphasis"/>
              </w:rPr>
            </w:pPr>
            <w:r w:rsidRPr="009A6D2A">
              <w:rPr>
                <w:rStyle w:val="Emphasis"/>
              </w:rPr>
              <w:t>Output 2 – Improve public sector capability to do its work and make decisions</w:t>
            </w:r>
          </w:p>
        </w:tc>
        <w:tc>
          <w:tcPr>
            <w:tcW w:w="1127" w:type="dxa"/>
            <w:shd w:val="clear" w:color="auto" w:fill="BFBFBF"/>
          </w:tcPr>
          <w:p w14:paraId="79C401B9" w14:textId="77777777" w:rsidR="000E431E" w:rsidRPr="009A6D2A" w:rsidRDefault="000E431E" w:rsidP="00506E02">
            <w:pPr>
              <w:pStyle w:val="Tablebodytextnospaceafter"/>
              <w:rPr>
                <w:rStyle w:val="Emphasis"/>
              </w:rPr>
            </w:pPr>
          </w:p>
        </w:tc>
        <w:tc>
          <w:tcPr>
            <w:tcW w:w="1127" w:type="dxa"/>
            <w:shd w:val="clear" w:color="auto" w:fill="BFBFBF"/>
          </w:tcPr>
          <w:p w14:paraId="6F83039A" w14:textId="77777777" w:rsidR="000E431E" w:rsidRPr="009A6D2A" w:rsidRDefault="000E431E" w:rsidP="00506E02">
            <w:pPr>
              <w:pStyle w:val="Tablebodytextnospaceafter"/>
              <w:rPr>
                <w:rStyle w:val="Emphasis"/>
              </w:rPr>
            </w:pPr>
          </w:p>
        </w:tc>
        <w:tc>
          <w:tcPr>
            <w:tcW w:w="1128" w:type="dxa"/>
            <w:shd w:val="clear" w:color="auto" w:fill="BFBFBF"/>
          </w:tcPr>
          <w:p w14:paraId="2D07DD4E" w14:textId="6AB626B3" w:rsidR="000E431E" w:rsidRPr="009A6D2A" w:rsidRDefault="000E431E" w:rsidP="00506E02">
            <w:pPr>
              <w:pStyle w:val="Tablebodytextnospaceafter"/>
              <w:rPr>
                <w:rStyle w:val="Emphasis"/>
              </w:rPr>
            </w:pPr>
          </w:p>
        </w:tc>
      </w:tr>
      <w:tr w:rsidR="00401965" w:rsidRPr="00387B61" w14:paraId="6FAE9D92" w14:textId="77777777" w:rsidTr="00401965">
        <w:trPr>
          <w:cnfStyle w:val="000000100000" w:firstRow="0" w:lastRow="0" w:firstColumn="0" w:lastColumn="0" w:oddVBand="0" w:evenVBand="0" w:oddHBand="1" w:evenHBand="0" w:firstRowFirstColumn="0" w:firstRowLastColumn="0" w:lastRowFirstColumn="0" w:lastRowLastColumn="0"/>
          <w:cantSplit/>
          <w:trHeight w:val="60"/>
        </w:trPr>
        <w:tc>
          <w:tcPr>
            <w:tcW w:w="6126" w:type="dxa"/>
            <w:shd w:val="clear" w:color="auto" w:fill="D3D3D3"/>
          </w:tcPr>
          <w:p w14:paraId="587D04F2" w14:textId="77777777" w:rsidR="000E431E" w:rsidRPr="009A6D2A" w:rsidRDefault="000E431E" w:rsidP="00506E02">
            <w:pPr>
              <w:pStyle w:val="Tablebodytextnospaceafter"/>
            </w:pPr>
            <w:r w:rsidRPr="009A6D2A">
              <w:t>Demand-driven measures</w:t>
            </w:r>
          </w:p>
        </w:tc>
        <w:tc>
          <w:tcPr>
            <w:tcW w:w="1127" w:type="dxa"/>
            <w:shd w:val="clear" w:color="auto" w:fill="D3D3D3"/>
          </w:tcPr>
          <w:p w14:paraId="4F33A250" w14:textId="77777777" w:rsidR="000E431E" w:rsidRPr="009A6D2A" w:rsidRDefault="000E431E" w:rsidP="00506E02">
            <w:pPr>
              <w:pStyle w:val="Tablebodytextnospaceafter"/>
            </w:pPr>
          </w:p>
        </w:tc>
        <w:tc>
          <w:tcPr>
            <w:tcW w:w="1127" w:type="dxa"/>
            <w:shd w:val="clear" w:color="auto" w:fill="D3D3D3"/>
          </w:tcPr>
          <w:p w14:paraId="0AE6AE35" w14:textId="77777777" w:rsidR="000E431E" w:rsidRPr="009A6D2A" w:rsidRDefault="000E431E" w:rsidP="00506E02">
            <w:pPr>
              <w:pStyle w:val="Tablebodytextnospaceafter"/>
            </w:pPr>
          </w:p>
        </w:tc>
        <w:tc>
          <w:tcPr>
            <w:tcW w:w="1128" w:type="dxa"/>
            <w:shd w:val="clear" w:color="auto" w:fill="D3D3D3"/>
          </w:tcPr>
          <w:p w14:paraId="21345506" w14:textId="195B23E7" w:rsidR="000E431E" w:rsidRPr="009A6D2A" w:rsidRDefault="000E431E" w:rsidP="00506E02">
            <w:pPr>
              <w:pStyle w:val="Tablebodytextnospaceafter"/>
            </w:pPr>
          </w:p>
        </w:tc>
      </w:tr>
      <w:tr w:rsidR="00DF1795" w:rsidRPr="002B02AF" w14:paraId="344CACF0"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top w:val="single" w:sz="4" w:space="0" w:color="FFFFFF" w:themeColor="background1"/>
            </w:tcBorders>
          </w:tcPr>
          <w:p w14:paraId="18DFD471" w14:textId="77777777" w:rsidR="00DF1795" w:rsidRPr="006450B3" w:rsidRDefault="00DF1795" w:rsidP="00506E02">
            <w:pPr>
              <w:pStyle w:val="Tablebodytextnospaceafter"/>
            </w:pPr>
            <w:r w:rsidRPr="006450B3">
              <w:t># of requests for advice or comment</w:t>
            </w:r>
            <w:r w:rsidRPr="006450B3">
              <w:rPr>
                <w:rStyle w:val="FootnoteReference"/>
              </w:rPr>
              <w:footnoteReference w:id="58"/>
            </w:r>
            <w:r w:rsidRPr="006450B3">
              <w:rPr>
                <w:rStyle w:val="FootnoteReference"/>
              </w:rPr>
              <w:t xml:space="preserve"> </w:t>
            </w:r>
            <w:r w:rsidRPr="006450B3">
              <w:t>from public sector agencies</w:t>
            </w:r>
            <w:r w:rsidRPr="006450B3">
              <w:rPr>
                <w:rStyle w:val="FootnoteReference"/>
              </w:rPr>
              <w:footnoteReference w:id="59"/>
            </w:r>
            <w:r w:rsidRPr="006450B3">
              <w:rPr>
                <w:rStyle w:val="FootnoteReference"/>
              </w:rPr>
              <w:t xml:space="preserve"> </w:t>
            </w:r>
            <w:r w:rsidRPr="006450B3">
              <w:t>responded to</w:t>
            </w:r>
          </w:p>
        </w:tc>
        <w:tc>
          <w:tcPr>
            <w:tcW w:w="1127" w:type="dxa"/>
          </w:tcPr>
          <w:p w14:paraId="5DE5A3D4" w14:textId="77777777" w:rsidR="00DF1795" w:rsidRPr="006450B3" w:rsidRDefault="005F457B" w:rsidP="00506E02">
            <w:pPr>
              <w:pStyle w:val="Tablebodytextnospaceafter"/>
              <w:jc w:val="right"/>
            </w:pPr>
            <w:r>
              <w:t>350</w:t>
            </w:r>
          </w:p>
        </w:tc>
        <w:tc>
          <w:tcPr>
            <w:tcW w:w="1127" w:type="dxa"/>
          </w:tcPr>
          <w:p w14:paraId="4DCADF5F" w14:textId="77777777" w:rsidR="00DF1795" w:rsidRPr="00B30C39" w:rsidRDefault="009A6D2A" w:rsidP="00462B77">
            <w:pPr>
              <w:pStyle w:val="Tablebodytextnospaceafter"/>
              <w:jc w:val="right"/>
              <w:rPr>
                <w:rStyle w:val="Emphasis"/>
                <w:highlight w:val="yellow"/>
              </w:rPr>
            </w:pPr>
            <w:r w:rsidRPr="00462B77">
              <w:rPr>
                <w:rStyle w:val="Emphasis"/>
              </w:rPr>
              <w:t>38</w:t>
            </w:r>
            <w:r w:rsidR="00462B77" w:rsidRPr="00462B77">
              <w:rPr>
                <w:rStyle w:val="Emphasis"/>
              </w:rPr>
              <w:t>5</w:t>
            </w:r>
          </w:p>
        </w:tc>
        <w:tc>
          <w:tcPr>
            <w:tcW w:w="1128" w:type="dxa"/>
          </w:tcPr>
          <w:p w14:paraId="7AE813CE" w14:textId="77777777" w:rsidR="00DF1795" w:rsidRPr="00CB5F18" w:rsidRDefault="005F457B" w:rsidP="005F457B">
            <w:pPr>
              <w:pStyle w:val="Tablebodytextnospaceafter"/>
              <w:jc w:val="right"/>
              <w:rPr>
                <w:b/>
              </w:rPr>
            </w:pPr>
            <w:r>
              <w:rPr>
                <w:rStyle w:val="Emphasis"/>
                <w:b w:val="0"/>
              </w:rPr>
              <w:t>440</w:t>
            </w:r>
          </w:p>
        </w:tc>
      </w:tr>
      <w:tr w:rsidR="00DF1795" w:rsidRPr="00387B61" w14:paraId="6D65EA62"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tcBorders>
          </w:tcPr>
          <w:p w14:paraId="7C934AA0" w14:textId="77777777" w:rsidR="00DF1795" w:rsidRPr="006A1352" w:rsidRDefault="00DF1795" w:rsidP="005F457B">
            <w:pPr>
              <w:pStyle w:val="Tablebodytextnospaceafter"/>
            </w:pPr>
            <w:r w:rsidRPr="006A1352">
              <w:t># of external speeches, presentations</w:t>
            </w:r>
            <w:r w:rsidR="00462B77">
              <w:t>,</w:t>
            </w:r>
            <w:r w:rsidRPr="006A1352">
              <w:t xml:space="preserve"> and training sessions provided to public sector agencies </w:t>
            </w:r>
          </w:p>
        </w:tc>
        <w:tc>
          <w:tcPr>
            <w:tcW w:w="1127" w:type="dxa"/>
          </w:tcPr>
          <w:p w14:paraId="39A2DB5B" w14:textId="77777777" w:rsidR="00DF1795" w:rsidRPr="006A1352" w:rsidRDefault="005F457B" w:rsidP="00506E02">
            <w:pPr>
              <w:pStyle w:val="Tablebodytextnospaceafter"/>
              <w:jc w:val="right"/>
            </w:pPr>
            <w:r>
              <w:t>30</w:t>
            </w:r>
          </w:p>
        </w:tc>
        <w:tc>
          <w:tcPr>
            <w:tcW w:w="1127" w:type="dxa"/>
          </w:tcPr>
          <w:p w14:paraId="37C5F605" w14:textId="385C59E6" w:rsidR="00DF1795" w:rsidRPr="00B30C39" w:rsidRDefault="00425C01">
            <w:pPr>
              <w:pStyle w:val="Tablebodytextnospaceafter"/>
              <w:jc w:val="right"/>
              <w:rPr>
                <w:rStyle w:val="Emphasis"/>
                <w:highlight w:val="yellow"/>
              </w:rPr>
            </w:pPr>
            <w:r w:rsidRPr="00243029">
              <w:rPr>
                <w:rStyle w:val="Emphasis"/>
              </w:rPr>
              <w:t>3</w:t>
            </w:r>
            <w:r>
              <w:rPr>
                <w:rStyle w:val="Emphasis"/>
              </w:rPr>
              <w:t>7</w:t>
            </w:r>
          </w:p>
        </w:tc>
        <w:tc>
          <w:tcPr>
            <w:tcW w:w="1128" w:type="dxa"/>
          </w:tcPr>
          <w:p w14:paraId="407BEDFD" w14:textId="77777777" w:rsidR="00DF1795" w:rsidRPr="009D239C" w:rsidRDefault="005F457B" w:rsidP="00506E02">
            <w:pPr>
              <w:pStyle w:val="Tablebodytextnospaceafter"/>
              <w:jc w:val="right"/>
              <w:rPr>
                <w:rStyle w:val="Italics"/>
                <w:i w:val="0"/>
              </w:rPr>
            </w:pPr>
            <w:r>
              <w:rPr>
                <w:rStyle w:val="Italics"/>
                <w:i w:val="0"/>
              </w:rPr>
              <w:t>52</w:t>
            </w:r>
            <w:r w:rsidR="00797507">
              <w:rPr>
                <w:rStyle w:val="FootnoteReference"/>
                <w:szCs w:val="20"/>
              </w:rPr>
              <w:footnoteReference w:id="60"/>
            </w:r>
          </w:p>
        </w:tc>
      </w:tr>
      <w:tr w:rsidR="00401965" w:rsidRPr="00387B61" w14:paraId="4817E7B9" w14:textId="77777777" w:rsidTr="00401965">
        <w:trPr>
          <w:cnfStyle w:val="000000010000" w:firstRow="0" w:lastRow="0" w:firstColumn="0" w:lastColumn="0" w:oddVBand="0" w:evenVBand="0" w:oddHBand="0" w:evenHBand="1" w:firstRowFirstColumn="0" w:firstRowLastColumn="0" w:lastRowFirstColumn="0" w:lastRowLastColumn="0"/>
          <w:cantSplit/>
          <w:trHeight w:val="60"/>
        </w:trPr>
        <w:tc>
          <w:tcPr>
            <w:tcW w:w="6126" w:type="dxa"/>
            <w:shd w:val="clear" w:color="auto" w:fill="D3D3D3"/>
          </w:tcPr>
          <w:p w14:paraId="3C0777C5" w14:textId="77777777" w:rsidR="000E431E" w:rsidRPr="009A6D2A" w:rsidRDefault="000E431E" w:rsidP="00506E02">
            <w:pPr>
              <w:pStyle w:val="Tablebodytextnospaceafter"/>
            </w:pPr>
            <w:r w:rsidRPr="009A6D2A">
              <w:t>Proactive measures</w:t>
            </w:r>
          </w:p>
        </w:tc>
        <w:tc>
          <w:tcPr>
            <w:tcW w:w="1127" w:type="dxa"/>
            <w:shd w:val="clear" w:color="auto" w:fill="D3D3D3"/>
          </w:tcPr>
          <w:p w14:paraId="058A8907" w14:textId="77777777" w:rsidR="000E431E" w:rsidRPr="009A6D2A" w:rsidRDefault="000E431E" w:rsidP="00506E02">
            <w:pPr>
              <w:pStyle w:val="Tablebodytextnospaceafter"/>
            </w:pPr>
          </w:p>
        </w:tc>
        <w:tc>
          <w:tcPr>
            <w:tcW w:w="1127" w:type="dxa"/>
            <w:shd w:val="clear" w:color="auto" w:fill="D3D3D3"/>
          </w:tcPr>
          <w:p w14:paraId="2EB77775" w14:textId="77777777" w:rsidR="000E431E" w:rsidRPr="009A6D2A" w:rsidRDefault="000E431E" w:rsidP="00506E02">
            <w:pPr>
              <w:pStyle w:val="Tablebodytextnospaceafter"/>
            </w:pPr>
          </w:p>
        </w:tc>
        <w:tc>
          <w:tcPr>
            <w:tcW w:w="1128" w:type="dxa"/>
            <w:shd w:val="clear" w:color="auto" w:fill="D3D3D3"/>
          </w:tcPr>
          <w:p w14:paraId="79DDABE2" w14:textId="7D36D7F3" w:rsidR="000E431E" w:rsidRPr="009A6D2A" w:rsidRDefault="000E431E" w:rsidP="00506E02">
            <w:pPr>
              <w:pStyle w:val="Tablebodytextnospaceafter"/>
            </w:pPr>
          </w:p>
        </w:tc>
      </w:tr>
      <w:tr w:rsidR="00DF1795" w:rsidRPr="002B02AF" w14:paraId="468E3B49"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tcBorders>
          </w:tcPr>
          <w:p w14:paraId="58219054" w14:textId="77777777" w:rsidR="00DF1795" w:rsidRPr="00DB2486" w:rsidRDefault="00DF1795" w:rsidP="005F457B">
            <w:pPr>
              <w:pStyle w:val="Tablebodytextnospaceafter"/>
            </w:pPr>
            <w:r w:rsidRPr="00DB2486">
              <w:t>% of public sector agency participants in Ombudsman external training sessions who report the training will assist them in their work</w:t>
            </w:r>
            <w:r w:rsidRPr="0098146B">
              <w:rPr>
                <w:rStyle w:val="FootnoteReference"/>
                <w:bCs/>
                <w:iCs/>
              </w:rPr>
              <w:footnoteReference w:id="61"/>
            </w:r>
          </w:p>
        </w:tc>
        <w:tc>
          <w:tcPr>
            <w:tcW w:w="1127" w:type="dxa"/>
          </w:tcPr>
          <w:p w14:paraId="1AAAC47A" w14:textId="77777777" w:rsidR="00DF1795" w:rsidRPr="00DB2486" w:rsidRDefault="00DF1795" w:rsidP="00506E02">
            <w:pPr>
              <w:pStyle w:val="Tablebodytextnospaceafter"/>
              <w:jc w:val="right"/>
            </w:pPr>
            <w:r w:rsidRPr="00DB2486">
              <w:t>95%</w:t>
            </w:r>
          </w:p>
        </w:tc>
        <w:tc>
          <w:tcPr>
            <w:tcW w:w="1127" w:type="dxa"/>
          </w:tcPr>
          <w:p w14:paraId="24404D9F" w14:textId="77777777" w:rsidR="00DF1795" w:rsidRPr="009A6D2A" w:rsidRDefault="009E78CF" w:rsidP="00506E02">
            <w:pPr>
              <w:pStyle w:val="Tablebodytextnospaceafter"/>
              <w:jc w:val="right"/>
              <w:rPr>
                <w:rStyle w:val="Emphasis"/>
              </w:rPr>
            </w:pPr>
            <w:r>
              <w:rPr>
                <w:rStyle w:val="Emphasis"/>
              </w:rPr>
              <w:t>97</w:t>
            </w:r>
            <w:r w:rsidR="00DF1795" w:rsidRPr="009A6D2A">
              <w:rPr>
                <w:rStyle w:val="Emphasis"/>
              </w:rPr>
              <w:t>%</w:t>
            </w:r>
          </w:p>
          <w:p w14:paraId="51EE834F" w14:textId="77777777" w:rsidR="00DF1795" w:rsidRPr="009A6D2A" w:rsidRDefault="00DF1795" w:rsidP="00506E02">
            <w:pPr>
              <w:pStyle w:val="Tablebodytextnospaceafter"/>
              <w:jc w:val="right"/>
              <w:rPr>
                <w:rStyle w:val="Emphasis"/>
              </w:rPr>
            </w:pPr>
          </w:p>
        </w:tc>
        <w:tc>
          <w:tcPr>
            <w:tcW w:w="1128" w:type="dxa"/>
          </w:tcPr>
          <w:p w14:paraId="46305088" w14:textId="77777777" w:rsidR="00DF1795" w:rsidRPr="00CB5F18" w:rsidRDefault="005F457B" w:rsidP="00506E02">
            <w:pPr>
              <w:pStyle w:val="Tablebodytextnospaceafter"/>
              <w:jc w:val="right"/>
            </w:pPr>
            <w:r>
              <w:rPr>
                <w:rStyle w:val="Emphasis"/>
                <w:b w:val="0"/>
              </w:rPr>
              <w:t>87</w:t>
            </w:r>
            <w:r w:rsidR="00DF1795" w:rsidRPr="00CB5F18">
              <w:rPr>
                <w:rStyle w:val="Emphasis"/>
                <w:b w:val="0"/>
              </w:rPr>
              <w:t>%</w:t>
            </w:r>
          </w:p>
        </w:tc>
      </w:tr>
      <w:tr w:rsidR="00DF1795" w:rsidRPr="00387B61" w14:paraId="15163743"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top w:val="single" w:sz="4" w:space="0" w:color="FFFFFF" w:themeColor="background1"/>
            </w:tcBorders>
          </w:tcPr>
          <w:p w14:paraId="59853D1B" w14:textId="77777777" w:rsidR="00DF1795" w:rsidRPr="006450B3" w:rsidRDefault="00DF1795" w:rsidP="005F457B">
            <w:pPr>
              <w:pStyle w:val="Tablebodytextnospaceafter"/>
            </w:pPr>
            <w:r w:rsidRPr="006450B3">
              <w:t xml:space="preserve"># of guidance materials for public sector agencies </w:t>
            </w:r>
            <w:r w:rsidR="005F457B">
              <w:t>produced or updated</w:t>
            </w:r>
          </w:p>
        </w:tc>
        <w:tc>
          <w:tcPr>
            <w:tcW w:w="1127" w:type="dxa"/>
          </w:tcPr>
          <w:p w14:paraId="678609A0" w14:textId="77777777" w:rsidR="00DF1795" w:rsidRPr="006450B3" w:rsidRDefault="005F457B" w:rsidP="00506E02">
            <w:pPr>
              <w:pStyle w:val="Tablebodytextnospaceafter"/>
              <w:jc w:val="right"/>
            </w:pPr>
            <w:r>
              <w:t>30</w:t>
            </w:r>
          </w:p>
        </w:tc>
        <w:tc>
          <w:tcPr>
            <w:tcW w:w="1127" w:type="dxa"/>
          </w:tcPr>
          <w:p w14:paraId="1C2C30A5" w14:textId="77777777" w:rsidR="00DF1795" w:rsidRPr="009A6D2A" w:rsidRDefault="00F8631A" w:rsidP="00174922">
            <w:pPr>
              <w:pStyle w:val="Tablebodytextnospaceafter"/>
              <w:jc w:val="right"/>
              <w:rPr>
                <w:rStyle w:val="Emphasis"/>
              </w:rPr>
            </w:pPr>
            <w:r w:rsidRPr="00311EB4">
              <w:rPr>
                <w:rStyle w:val="Emphasis"/>
              </w:rPr>
              <w:t>25</w:t>
            </w:r>
            <w:r w:rsidR="00174922" w:rsidRPr="00311EB4">
              <w:rPr>
                <w:rStyle w:val="Emphasis"/>
              </w:rPr>
              <w:t>2</w:t>
            </w:r>
            <w:r w:rsidR="0077075C">
              <w:rPr>
                <w:rStyle w:val="FootnoteReference"/>
                <w:b/>
                <w:bCs/>
                <w:iCs/>
              </w:rPr>
              <w:footnoteReference w:id="62"/>
            </w:r>
          </w:p>
        </w:tc>
        <w:tc>
          <w:tcPr>
            <w:tcW w:w="1128" w:type="dxa"/>
          </w:tcPr>
          <w:p w14:paraId="6652E489" w14:textId="77777777" w:rsidR="00DF1795" w:rsidRPr="009D239C" w:rsidRDefault="005F457B" w:rsidP="00506E02">
            <w:pPr>
              <w:pStyle w:val="Tablebodytextnospaceafter"/>
              <w:jc w:val="right"/>
              <w:rPr>
                <w:rStyle w:val="Italics"/>
                <w:i w:val="0"/>
              </w:rPr>
            </w:pPr>
            <w:r>
              <w:rPr>
                <w:rStyle w:val="Italics"/>
                <w:i w:val="0"/>
              </w:rPr>
              <w:t>23</w:t>
            </w:r>
          </w:p>
        </w:tc>
      </w:tr>
      <w:tr w:rsidR="00DF1795" w:rsidRPr="00387B61" w14:paraId="771BE65D"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tcBorders>
          </w:tcPr>
          <w:p w14:paraId="1052B080" w14:textId="77777777" w:rsidR="00DF1795" w:rsidRPr="00387B61" w:rsidRDefault="00DF1795" w:rsidP="005F457B">
            <w:pPr>
              <w:pStyle w:val="Tablebodytextnospaceafter"/>
            </w:pPr>
            <w:r w:rsidRPr="00387B61">
              <w:t>% of public sector agencies which report Ombudsman information resources assist them in their work</w:t>
            </w:r>
            <w:r w:rsidRPr="00387B61">
              <w:rPr>
                <w:rStyle w:val="FootnoteReference"/>
              </w:rPr>
              <w:footnoteReference w:id="63"/>
            </w:r>
          </w:p>
        </w:tc>
        <w:tc>
          <w:tcPr>
            <w:tcW w:w="1127" w:type="dxa"/>
          </w:tcPr>
          <w:p w14:paraId="4F49E9F4" w14:textId="77777777" w:rsidR="00DF1795" w:rsidRPr="00387B61" w:rsidRDefault="00DF1795" w:rsidP="00506E02">
            <w:pPr>
              <w:pStyle w:val="Tablebodytextnospaceafter"/>
              <w:jc w:val="right"/>
            </w:pPr>
            <w:r w:rsidRPr="00387B61">
              <w:t>80%</w:t>
            </w:r>
          </w:p>
        </w:tc>
        <w:tc>
          <w:tcPr>
            <w:tcW w:w="1127" w:type="dxa"/>
          </w:tcPr>
          <w:p w14:paraId="61A10C1B" w14:textId="77777777" w:rsidR="00DF1795" w:rsidRPr="009A6D2A" w:rsidRDefault="00D14576" w:rsidP="00D14576">
            <w:pPr>
              <w:pStyle w:val="Tablebodytextnospaceafter"/>
              <w:jc w:val="right"/>
              <w:rPr>
                <w:rStyle w:val="Emphasis"/>
              </w:rPr>
            </w:pPr>
            <w:r>
              <w:rPr>
                <w:rStyle w:val="Emphasis"/>
              </w:rPr>
              <w:t>86</w:t>
            </w:r>
            <w:r w:rsidR="00DF1795" w:rsidRPr="009A6D2A">
              <w:rPr>
                <w:rStyle w:val="Emphasis"/>
              </w:rPr>
              <w:t>%</w:t>
            </w:r>
          </w:p>
        </w:tc>
        <w:tc>
          <w:tcPr>
            <w:tcW w:w="1128" w:type="dxa"/>
          </w:tcPr>
          <w:p w14:paraId="7A5A592C" w14:textId="77777777" w:rsidR="00DF1795" w:rsidRPr="009D239C" w:rsidRDefault="005F457B" w:rsidP="00506E02">
            <w:pPr>
              <w:pStyle w:val="Tablebodytextnospaceafter"/>
              <w:jc w:val="right"/>
              <w:rPr>
                <w:rStyle w:val="Italics"/>
                <w:i w:val="0"/>
              </w:rPr>
            </w:pPr>
            <w:r>
              <w:rPr>
                <w:rStyle w:val="Italics"/>
                <w:i w:val="0"/>
              </w:rPr>
              <w:t>81%</w:t>
            </w:r>
          </w:p>
        </w:tc>
      </w:tr>
      <w:tr w:rsidR="00DF1795" w:rsidRPr="00387B61" w14:paraId="51F85228"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top w:val="single" w:sz="4" w:space="0" w:color="FFFFFF" w:themeColor="background1"/>
            </w:tcBorders>
          </w:tcPr>
          <w:p w14:paraId="046187E2" w14:textId="77777777" w:rsidR="00DF1795" w:rsidRPr="00387B61" w:rsidRDefault="00DF1795" w:rsidP="00506E02">
            <w:pPr>
              <w:pStyle w:val="Tablebodytextnospaceafter"/>
            </w:pPr>
            <w:r w:rsidRPr="00387B61">
              <w:t>% of public sector agencies satisfied with our communication overall</w:t>
            </w:r>
            <w:r w:rsidRPr="00387B61">
              <w:rPr>
                <w:rStyle w:val="FootnoteReference"/>
              </w:rPr>
              <w:footnoteReference w:id="64"/>
            </w:r>
          </w:p>
        </w:tc>
        <w:tc>
          <w:tcPr>
            <w:tcW w:w="1127" w:type="dxa"/>
          </w:tcPr>
          <w:p w14:paraId="2CA69396" w14:textId="77777777" w:rsidR="00DF1795" w:rsidRPr="00387B61" w:rsidRDefault="00DF1795" w:rsidP="00506E02">
            <w:pPr>
              <w:pStyle w:val="Tablebodytextnospaceafter"/>
              <w:jc w:val="right"/>
            </w:pPr>
            <w:r w:rsidRPr="00387B61">
              <w:t>75%</w:t>
            </w:r>
          </w:p>
        </w:tc>
        <w:tc>
          <w:tcPr>
            <w:tcW w:w="1127" w:type="dxa"/>
          </w:tcPr>
          <w:p w14:paraId="0D78BAF6" w14:textId="77777777" w:rsidR="00DF1795" w:rsidRPr="009A6D2A" w:rsidRDefault="00D14576" w:rsidP="00506E02">
            <w:pPr>
              <w:pStyle w:val="Tablebodytextnospaceafter"/>
              <w:jc w:val="right"/>
              <w:rPr>
                <w:rStyle w:val="Emphasis"/>
              </w:rPr>
            </w:pPr>
            <w:r>
              <w:rPr>
                <w:rStyle w:val="Emphasis"/>
              </w:rPr>
              <w:t>83</w:t>
            </w:r>
            <w:r w:rsidR="00DF1795" w:rsidRPr="009A6D2A">
              <w:rPr>
                <w:rStyle w:val="Emphasis"/>
              </w:rPr>
              <w:t>%</w:t>
            </w:r>
          </w:p>
        </w:tc>
        <w:tc>
          <w:tcPr>
            <w:tcW w:w="1128" w:type="dxa"/>
          </w:tcPr>
          <w:p w14:paraId="6BA91E32" w14:textId="77777777" w:rsidR="00DF1795" w:rsidRPr="009D239C" w:rsidRDefault="005F457B" w:rsidP="00506E02">
            <w:pPr>
              <w:pStyle w:val="Tablebodytextnospaceafter"/>
              <w:jc w:val="right"/>
              <w:rPr>
                <w:rStyle w:val="Italics"/>
                <w:i w:val="0"/>
              </w:rPr>
            </w:pPr>
            <w:r>
              <w:rPr>
                <w:rStyle w:val="Italics"/>
                <w:i w:val="0"/>
              </w:rPr>
              <w:t>88%</w:t>
            </w:r>
          </w:p>
        </w:tc>
      </w:tr>
      <w:tr w:rsidR="000F256B" w:rsidRPr="00387B61" w14:paraId="1F403D40"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shd w:val="clear" w:color="auto" w:fill="BFBFBF"/>
          </w:tcPr>
          <w:p w14:paraId="29560E86" w14:textId="77777777" w:rsidR="000F256B" w:rsidRPr="00387B61" w:rsidRDefault="000F256B" w:rsidP="00506E02">
            <w:pPr>
              <w:pStyle w:val="Tablebodytextnospaceafter"/>
              <w:rPr>
                <w:rStyle w:val="Emphasis"/>
              </w:rPr>
            </w:pPr>
            <w:r w:rsidRPr="00387B61">
              <w:rPr>
                <w:rStyle w:val="Emphasis"/>
              </w:rPr>
              <w:t>Output 3 – Formal consultation to assist public sector agencies to make specific decisions</w:t>
            </w:r>
          </w:p>
        </w:tc>
        <w:tc>
          <w:tcPr>
            <w:tcW w:w="1127" w:type="dxa"/>
            <w:shd w:val="clear" w:color="auto" w:fill="BFBFBF"/>
          </w:tcPr>
          <w:p w14:paraId="6577F36F" w14:textId="77777777" w:rsidR="000F256B" w:rsidRPr="00387B61" w:rsidRDefault="000F256B" w:rsidP="00506E02">
            <w:pPr>
              <w:pStyle w:val="Tablebodytextnospaceafter"/>
              <w:rPr>
                <w:rStyle w:val="Emphasis"/>
              </w:rPr>
            </w:pPr>
          </w:p>
        </w:tc>
        <w:tc>
          <w:tcPr>
            <w:tcW w:w="1127" w:type="dxa"/>
            <w:shd w:val="clear" w:color="auto" w:fill="BFBFBF"/>
          </w:tcPr>
          <w:p w14:paraId="45C2D179" w14:textId="77777777" w:rsidR="000F256B" w:rsidRPr="00387B61" w:rsidRDefault="000F256B" w:rsidP="00506E02">
            <w:pPr>
              <w:pStyle w:val="Tablebodytextnospaceafter"/>
              <w:rPr>
                <w:rStyle w:val="Emphasis"/>
              </w:rPr>
            </w:pPr>
          </w:p>
        </w:tc>
        <w:tc>
          <w:tcPr>
            <w:tcW w:w="1128" w:type="dxa"/>
            <w:shd w:val="clear" w:color="auto" w:fill="BFBFBF"/>
          </w:tcPr>
          <w:p w14:paraId="3E74BB3F" w14:textId="6DB08E75" w:rsidR="000F256B" w:rsidRPr="00387B61" w:rsidRDefault="000F256B" w:rsidP="00506E02">
            <w:pPr>
              <w:pStyle w:val="Tablebodytextnospaceafter"/>
              <w:rPr>
                <w:rStyle w:val="Emphasis"/>
              </w:rPr>
            </w:pPr>
          </w:p>
        </w:tc>
      </w:tr>
      <w:tr w:rsidR="000F256B" w:rsidRPr="00387B61" w14:paraId="3C93A2C6"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shd w:val="clear" w:color="auto" w:fill="D3D3D3"/>
          </w:tcPr>
          <w:p w14:paraId="5EBD17CC" w14:textId="77777777" w:rsidR="000F256B" w:rsidRPr="00387B61" w:rsidRDefault="000F256B" w:rsidP="00506E02">
            <w:pPr>
              <w:pStyle w:val="Tablebodytextnospaceafter"/>
            </w:pPr>
            <w:r w:rsidRPr="00387B61">
              <w:t>Proactive measures</w:t>
            </w:r>
          </w:p>
        </w:tc>
        <w:tc>
          <w:tcPr>
            <w:tcW w:w="1127" w:type="dxa"/>
            <w:shd w:val="clear" w:color="auto" w:fill="D3D3D3"/>
          </w:tcPr>
          <w:p w14:paraId="1746CE85" w14:textId="77777777" w:rsidR="000F256B" w:rsidRPr="00387B61" w:rsidRDefault="000F256B" w:rsidP="00506E02">
            <w:pPr>
              <w:pStyle w:val="Tablebodytextnospaceafter"/>
            </w:pPr>
          </w:p>
        </w:tc>
        <w:tc>
          <w:tcPr>
            <w:tcW w:w="1127" w:type="dxa"/>
            <w:shd w:val="clear" w:color="auto" w:fill="D3D3D3"/>
          </w:tcPr>
          <w:p w14:paraId="126D7CE4" w14:textId="77777777" w:rsidR="000F256B" w:rsidRPr="00387B61" w:rsidRDefault="000F256B" w:rsidP="00506E02">
            <w:pPr>
              <w:pStyle w:val="Tablebodytextnospaceafter"/>
            </w:pPr>
          </w:p>
        </w:tc>
        <w:tc>
          <w:tcPr>
            <w:tcW w:w="1128" w:type="dxa"/>
            <w:shd w:val="clear" w:color="auto" w:fill="D3D3D3"/>
          </w:tcPr>
          <w:p w14:paraId="7E7A8029" w14:textId="28E47083" w:rsidR="000F256B" w:rsidRPr="00387B61" w:rsidRDefault="000F256B" w:rsidP="00506E02">
            <w:pPr>
              <w:pStyle w:val="Tablebodytextnospaceafter"/>
            </w:pPr>
          </w:p>
        </w:tc>
      </w:tr>
      <w:tr w:rsidR="00DF1795" w:rsidRPr="002B02AF" w14:paraId="2AE60F0D"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tcBorders>
          </w:tcPr>
          <w:p w14:paraId="06D865C4" w14:textId="77777777" w:rsidR="00DF1795" w:rsidRPr="006450B3" w:rsidRDefault="00DF1795" w:rsidP="00797507">
            <w:pPr>
              <w:pStyle w:val="Tablebodytextnospaceafter"/>
            </w:pPr>
            <w:r w:rsidRPr="006450B3">
              <w:t># of formal consul</w:t>
            </w:r>
            <w:r>
              <w:t xml:space="preserve">tations completed </w:t>
            </w:r>
          </w:p>
        </w:tc>
        <w:tc>
          <w:tcPr>
            <w:tcW w:w="1127" w:type="dxa"/>
          </w:tcPr>
          <w:p w14:paraId="36C4CFE5" w14:textId="77777777" w:rsidR="00DF1795" w:rsidRPr="006450B3" w:rsidRDefault="00DF1795" w:rsidP="00506E02">
            <w:pPr>
              <w:pStyle w:val="Tablebodytextnospaceafter"/>
              <w:jc w:val="right"/>
            </w:pPr>
            <w:r w:rsidRPr="006450B3">
              <w:t>10–100</w:t>
            </w:r>
            <w:r w:rsidRPr="006450B3">
              <w:rPr>
                <w:rStyle w:val="FootnoteReference"/>
              </w:rPr>
              <w:footnoteReference w:id="65"/>
            </w:r>
          </w:p>
        </w:tc>
        <w:tc>
          <w:tcPr>
            <w:tcW w:w="1127" w:type="dxa"/>
          </w:tcPr>
          <w:p w14:paraId="376846CE" w14:textId="77777777" w:rsidR="00DF1795" w:rsidRPr="00132CAE" w:rsidRDefault="00D62BB3" w:rsidP="00797507">
            <w:pPr>
              <w:pStyle w:val="Tablebodytextnospaceafter"/>
              <w:jc w:val="right"/>
              <w:rPr>
                <w:rStyle w:val="Emphasis"/>
              </w:rPr>
            </w:pPr>
            <w:r>
              <w:rPr>
                <w:rStyle w:val="Emphasis"/>
              </w:rPr>
              <w:t>16</w:t>
            </w:r>
          </w:p>
        </w:tc>
        <w:tc>
          <w:tcPr>
            <w:tcW w:w="1128" w:type="dxa"/>
          </w:tcPr>
          <w:p w14:paraId="367112AC" w14:textId="77777777" w:rsidR="00DF1795" w:rsidRPr="009D239C" w:rsidRDefault="00797507" w:rsidP="00506E02">
            <w:pPr>
              <w:pStyle w:val="Tablebodytextnospaceafter"/>
              <w:jc w:val="right"/>
              <w:rPr>
                <w:rStyle w:val="Italics"/>
                <w:i w:val="0"/>
              </w:rPr>
            </w:pPr>
            <w:r>
              <w:rPr>
                <w:rStyle w:val="Italics"/>
                <w:i w:val="0"/>
              </w:rPr>
              <w:t>15</w:t>
            </w:r>
          </w:p>
        </w:tc>
      </w:tr>
      <w:tr w:rsidR="00DF1795" w:rsidRPr="00387B61" w14:paraId="0188F5E7"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top w:val="single" w:sz="4" w:space="0" w:color="FFFFFF" w:themeColor="background1"/>
            </w:tcBorders>
          </w:tcPr>
          <w:p w14:paraId="56DC32E6" w14:textId="77777777" w:rsidR="00DF1795" w:rsidRPr="006450B3" w:rsidRDefault="00DF1795" w:rsidP="00797507">
            <w:pPr>
              <w:pStyle w:val="Tablebodytextnospaceafter"/>
            </w:pPr>
            <w:r w:rsidRPr="006450B3">
              <w:t>% of formal consultations completed within 3 months</w:t>
            </w:r>
            <w:r w:rsidRPr="006450B3">
              <w:rPr>
                <w:rStyle w:val="FootnoteReference"/>
              </w:rPr>
              <w:footnoteReference w:id="66"/>
            </w:r>
            <w:r w:rsidRPr="006450B3">
              <w:rPr>
                <w:rStyle w:val="FootnoteReference"/>
              </w:rPr>
              <w:t xml:space="preserve"> </w:t>
            </w:r>
            <w:r w:rsidRPr="006450B3">
              <w:t>fro</w:t>
            </w:r>
            <w:r>
              <w:t xml:space="preserve">m date of receipt </w:t>
            </w:r>
          </w:p>
        </w:tc>
        <w:tc>
          <w:tcPr>
            <w:tcW w:w="1127" w:type="dxa"/>
          </w:tcPr>
          <w:p w14:paraId="58997ED7" w14:textId="77777777" w:rsidR="00DF1795" w:rsidRPr="006450B3" w:rsidRDefault="00DF1795" w:rsidP="00506E02">
            <w:pPr>
              <w:pStyle w:val="Tablebodytextnospaceafter"/>
              <w:jc w:val="right"/>
            </w:pPr>
            <w:r w:rsidRPr="006450B3">
              <w:t>100%</w:t>
            </w:r>
          </w:p>
        </w:tc>
        <w:tc>
          <w:tcPr>
            <w:tcW w:w="1127" w:type="dxa"/>
          </w:tcPr>
          <w:p w14:paraId="13A3DD6B" w14:textId="77777777" w:rsidR="00DF1795" w:rsidRPr="00132CAE" w:rsidRDefault="00DF1795" w:rsidP="00506E02">
            <w:pPr>
              <w:pStyle w:val="Tablebodytextnospaceafter"/>
              <w:jc w:val="right"/>
              <w:rPr>
                <w:rStyle w:val="Emphasis"/>
              </w:rPr>
            </w:pPr>
            <w:r>
              <w:rPr>
                <w:rStyle w:val="Emphasis"/>
              </w:rPr>
              <w:t>100%</w:t>
            </w:r>
          </w:p>
        </w:tc>
        <w:tc>
          <w:tcPr>
            <w:tcW w:w="1128" w:type="dxa"/>
          </w:tcPr>
          <w:p w14:paraId="10720726" w14:textId="77777777" w:rsidR="00DF1795" w:rsidRPr="009D239C" w:rsidRDefault="00797507" w:rsidP="00506E02">
            <w:pPr>
              <w:pStyle w:val="Tablebodytextnospaceafter"/>
              <w:jc w:val="right"/>
              <w:rPr>
                <w:rStyle w:val="Italics"/>
                <w:i w:val="0"/>
              </w:rPr>
            </w:pPr>
            <w:r>
              <w:rPr>
                <w:rStyle w:val="Italics"/>
                <w:i w:val="0"/>
              </w:rPr>
              <w:t>100%</w:t>
            </w:r>
          </w:p>
        </w:tc>
      </w:tr>
      <w:tr w:rsidR="000F256B" w:rsidRPr="00387B61" w14:paraId="20176335"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shd w:val="clear" w:color="auto" w:fill="BFBFBF"/>
          </w:tcPr>
          <w:p w14:paraId="54DDF7DA" w14:textId="77777777" w:rsidR="000F256B" w:rsidRPr="00387B61" w:rsidRDefault="000F256B" w:rsidP="00506E02">
            <w:pPr>
              <w:pStyle w:val="Tablebodytextnospaceafter"/>
              <w:rPr>
                <w:rStyle w:val="Emphasis"/>
              </w:rPr>
            </w:pPr>
            <w:r w:rsidRPr="00387B61">
              <w:rPr>
                <w:rStyle w:val="Emphasis"/>
              </w:rPr>
              <w:t>Output 4 – Enable serious wrongdoing to be disclosed and investigated and whistleblowers protected</w:t>
            </w:r>
          </w:p>
        </w:tc>
        <w:tc>
          <w:tcPr>
            <w:tcW w:w="1127" w:type="dxa"/>
            <w:shd w:val="clear" w:color="auto" w:fill="BFBFBF"/>
          </w:tcPr>
          <w:p w14:paraId="627A4FB1" w14:textId="77777777" w:rsidR="000F256B" w:rsidRPr="00387B61" w:rsidRDefault="000F256B" w:rsidP="00506E02">
            <w:pPr>
              <w:pStyle w:val="Tablebodytextnospaceafter"/>
              <w:rPr>
                <w:rStyle w:val="Emphasis"/>
              </w:rPr>
            </w:pPr>
          </w:p>
        </w:tc>
        <w:tc>
          <w:tcPr>
            <w:tcW w:w="1127" w:type="dxa"/>
            <w:shd w:val="clear" w:color="auto" w:fill="BFBFBF"/>
          </w:tcPr>
          <w:p w14:paraId="09502FEA" w14:textId="77777777" w:rsidR="000F256B" w:rsidRPr="00387B61" w:rsidRDefault="000F256B" w:rsidP="00506E02">
            <w:pPr>
              <w:pStyle w:val="Tablebodytextnospaceafter"/>
              <w:rPr>
                <w:rStyle w:val="Emphasis"/>
              </w:rPr>
            </w:pPr>
          </w:p>
        </w:tc>
        <w:tc>
          <w:tcPr>
            <w:tcW w:w="1128" w:type="dxa"/>
            <w:shd w:val="clear" w:color="auto" w:fill="BFBFBF"/>
          </w:tcPr>
          <w:p w14:paraId="7E4E6220" w14:textId="63C698BA" w:rsidR="000F256B" w:rsidRPr="00387B61" w:rsidRDefault="000F256B" w:rsidP="00506E02">
            <w:pPr>
              <w:pStyle w:val="Tablebodytextnospaceafter"/>
              <w:rPr>
                <w:rStyle w:val="Emphasis"/>
              </w:rPr>
            </w:pPr>
          </w:p>
        </w:tc>
      </w:tr>
      <w:tr w:rsidR="000F256B" w:rsidRPr="00387B61" w14:paraId="59A7363C"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shd w:val="clear" w:color="auto" w:fill="D3D3D3"/>
          </w:tcPr>
          <w:p w14:paraId="2DC64900" w14:textId="77777777" w:rsidR="000F256B" w:rsidRPr="00387B61" w:rsidRDefault="000F256B" w:rsidP="00506E02">
            <w:pPr>
              <w:pStyle w:val="Tablebodytextnospaceafter"/>
            </w:pPr>
            <w:r w:rsidRPr="00387B61">
              <w:t>Demand-driven measure</w:t>
            </w:r>
          </w:p>
        </w:tc>
        <w:tc>
          <w:tcPr>
            <w:tcW w:w="1127" w:type="dxa"/>
            <w:shd w:val="clear" w:color="auto" w:fill="D3D3D3"/>
          </w:tcPr>
          <w:p w14:paraId="2AEB4C2F" w14:textId="77777777" w:rsidR="000F256B" w:rsidRPr="00387B61" w:rsidRDefault="000F256B" w:rsidP="00506E02">
            <w:pPr>
              <w:pStyle w:val="Tablebodytextnospaceafter"/>
            </w:pPr>
          </w:p>
        </w:tc>
        <w:tc>
          <w:tcPr>
            <w:tcW w:w="1127" w:type="dxa"/>
            <w:shd w:val="clear" w:color="auto" w:fill="D3D3D3"/>
          </w:tcPr>
          <w:p w14:paraId="1FD66FFB" w14:textId="77777777" w:rsidR="000F256B" w:rsidRPr="00387B61" w:rsidRDefault="000F256B" w:rsidP="00506E02">
            <w:pPr>
              <w:pStyle w:val="Tablebodytextnospaceafter"/>
            </w:pPr>
          </w:p>
        </w:tc>
        <w:tc>
          <w:tcPr>
            <w:tcW w:w="1128" w:type="dxa"/>
            <w:shd w:val="clear" w:color="auto" w:fill="D3D3D3"/>
          </w:tcPr>
          <w:p w14:paraId="3C45B7C1" w14:textId="4387048C" w:rsidR="000F256B" w:rsidRPr="00387B61" w:rsidRDefault="000F256B" w:rsidP="00506E02">
            <w:pPr>
              <w:pStyle w:val="Tablebodytextnospaceafter"/>
            </w:pPr>
          </w:p>
        </w:tc>
      </w:tr>
      <w:tr w:rsidR="00DF1795" w:rsidRPr="00387B61" w14:paraId="362BBB0E"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tcBorders>
          </w:tcPr>
          <w:p w14:paraId="7ED894CD" w14:textId="77777777" w:rsidR="00DF1795" w:rsidRPr="00387B61" w:rsidRDefault="00DF1795" w:rsidP="00506E02">
            <w:pPr>
              <w:pStyle w:val="Tablebodytextnospaceafter"/>
              <w:rPr>
                <w:rStyle w:val="Italics"/>
              </w:rPr>
            </w:pPr>
            <w:r w:rsidRPr="00387B61">
              <w:t xml:space="preserve"># of requests and enquiries completed </w:t>
            </w:r>
          </w:p>
        </w:tc>
        <w:tc>
          <w:tcPr>
            <w:tcW w:w="1127" w:type="dxa"/>
          </w:tcPr>
          <w:p w14:paraId="55D18A16" w14:textId="77777777" w:rsidR="00DF1795" w:rsidRPr="00797507" w:rsidRDefault="00797507" w:rsidP="00797507">
            <w:pPr>
              <w:pStyle w:val="Tablebodytextnospaceafter"/>
              <w:jc w:val="right"/>
              <w:rPr>
                <w:rStyle w:val="Italics"/>
                <w:i w:val="0"/>
              </w:rPr>
            </w:pPr>
            <w:r>
              <w:t>60</w:t>
            </w:r>
          </w:p>
        </w:tc>
        <w:tc>
          <w:tcPr>
            <w:tcW w:w="1127" w:type="dxa"/>
          </w:tcPr>
          <w:p w14:paraId="62AB5385" w14:textId="77777777" w:rsidR="00DF1795" w:rsidRPr="003C251C" w:rsidRDefault="007769CD">
            <w:pPr>
              <w:pStyle w:val="Tablebodytextnospaceafter"/>
              <w:jc w:val="right"/>
              <w:rPr>
                <w:rStyle w:val="Italics"/>
                <w:sz w:val="24"/>
                <w:highlight w:val="yellow"/>
              </w:rPr>
            </w:pPr>
            <w:r w:rsidRPr="007769CD">
              <w:rPr>
                <w:rStyle w:val="Emphasis"/>
              </w:rPr>
              <w:t>74</w:t>
            </w:r>
          </w:p>
        </w:tc>
        <w:tc>
          <w:tcPr>
            <w:tcW w:w="1128" w:type="dxa"/>
          </w:tcPr>
          <w:p w14:paraId="61AFF3E0" w14:textId="77777777" w:rsidR="00DF1795" w:rsidRPr="00797507" w:rsidRDefault="00797507">
            <w:pPr>
              <w:pStyle w:val="Tablebodytextnospaceafter"/>
              <w:jc w:val="right"/>
              <w:rPr>
                <w:rStyle w:val="Italics"/>
                <w:sz w:val="24"/>
              </w:rPr>
            </w:pPr>
            <w:r>
              <w:t>9</w:t>
            </w:r>
            <w:r w:rsidR="00DF1795" w:rsidRPr="00387B61">
              <w:t>0</w:t>
            </w:r>
          </w:p>
        </w:tc>
      </w:tr>
      <w:tr w:rsidR="00F90EEC" w:rsidRPr="00387B61" w14:paraId="7F33E427"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shd w:val="clear" w:color="auto" w:fill="D3D3D3"/>
          </w:tcPr>
          <w:p w14:paraId="4BB47A36" w14:textId="77777777" w:rsidR="00F90EEC" w:rsidRPr="00387B61" w:rsidRDefault="00F90EEC" w:rsidP="00506E02">
            <w:pPr>
              <w:pStyle w:val="Tablebodytextnospaceafter"/>
            </w:pPr>
            <w:r w:rsidRPr="00387B61">
              <w:t>Proactive measures</w:t>
            </w:r>
          </w:p>
        </w:tc>
        <w:tc>
          <w:tcPr>
            <w:tcW w:w="1127" w:type="dxa"/>
            <w:shd w:val="clear" w:color="auto" w:fill="D3D3D3"/>
          </w:tcPr>
          <w:p w14:paraId="65C14B3F" w14:textId="77777777" w:rsidR="00F90EEC" w:rsidRPr="00387B61" w:rsidRDefault="00F90EEC" w:rsidP="00506E02">
            <w:pPr>
              <w:pStyle w:val="Tablebodytextnospaceafter"/>
            </w:pPr>
          </w:p>
        </w:tc>
        <w:tc>
          <w:tcPr>
            <w:tcW w:w="1127" w:type="dxa"/>
            <w:shd w:val="clear" w:color="auto" w:fill="D3D3D3"/>
          </w:tcPr>
          <w:p w14:paraId="4370A3BA" w14:textId="77777777" w:rsidR="00F90EEC" w:rsidRPr="00387B61" w:rsidRDefault="00F90EEC" w:rsidP="00506E02">
            <w:pPr>
              <w:pStyle w:val="Tablebodytextnospaceafter"/>
            </w:pPr>
          </w:p>
        </w:tc>
        <w:tc>
          <w:tcPr>
            <w:tcW w:w="1128" w:type="dxa"/>
            <w:shd w:val="clear" w:color="auto" w:fill="D3D3D3"/>
          </w:tcPr>
          <w:p w14:paraId="46B3EA64" w14:textId="4842F4C1" w:rsidR="00F90EEC" w:rsidRPr="00387B61" w:rsidRDefault="00F90EEC" w:rsidP="00506E02">
            <w:pPr>
              <w:pStyle w:val="Tablebodytextnospaceafter"/>
            </w:pPr>
          </w:p>
        </w:tc>
      </w:tr>
      <w:tr w:rsidR="00DF1795" w:rsidRPr="00387B61" w14:paraId="4416DBE5"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tcBorders>
          </w:tcPr>
          <w:p w14:paraId="04C4A69B" w14:textId="77777777" w:rsidR="00DF1795" w:rsidRDefault="00DF1795" w:rsidP="00506E02">
            <w:pPr>
              <w:pStyle w:val="Tablebodytextnospaceafter"/>
            </w:pPr>
            <w:r w:rsidRPr="00387B61">
              <w:t>% of requests and enquiries completed within 3 months</w:t>
            </w:r>
            <w:r w:rsidRPr="00387B61">
              <w:rPr>
                <w:rStyle w:val="FootnoteReference"/>
              </w:rPr>
              <w:footnoteReference w:id="67"/>
            </w:r>
            <w:r w:rsidRPr="00387B61">
              <w:rPr>
                <w:rStyle w:val="FootnoteReference"/>
              </w:rPr>
              <w:t xml:space="preserve"> </w:t>
            </w:r>
            <w:r w:rsidRPr="00387B61">
              <w:t>from date of receipt</w:t>
            </w:r>
          </w:p>
          <w:p w14:paraId="0738344C" w14:textId="77777777" w:rsidR="00DF1795" w:rsidRPr="00387B61" w:rsidRDefault="00DF1795" w:rsidP="00506E02">
            <w:pPr>
              <w:pStyle w:val="Tablebodytextnospaceafter"/>
            </w:pPr>
          </w:p>
        </w:tc>
        <w:tc>
          <w:tcPr>
            <w:tcW w:w="1127" w:type="dxa"/>
          </w:tcPr>
          <w:p w14:paraId="123AECA1" w14:textId="77777777" w:rsidR="00DF1795" w:rsidRPr="00387B61" w:rsidRDefault="00DF1795" w:rsidP="00506E02">
            <w:pPr>
              <w:pStyle w:val="Tablebodytextnospaceafter"/>
              <w:jc w:val="right"/>
            </w:pPr>
            <w:r w:rsidRPr="00387B61">
              <w:t>85%</w:t>
            </w:r>
          </w:p>
        </w:tc>
        <w:tc>
          <w:tcPr>
            <w:tcW w:w="1127" w:type="dxa"/>
          </w:tcPr>
          <w:p w14:paraId="7994859F" w14:textId="77777777" w:rsidR="00DF1795" w:rsidRPr="003C251C" w:rsidRDefault="007769CD" w:rsidP="0077075C">
            <w:pPr>
              <w:pStyle w:val="Tablebodytextnospaceafter"/>
              <w:jc w:val="right"/>
              <w:rPr>
                <w:rStyle w:val="Emphasis"/>
                <w:highlight w:val="yellow"/>
              </w:rPr>
            </w:pPr>
            <w:r>
              <w:rPr>
                <w:rStyle w:val="Emphasis"/>
              </w:rPr>
              <w:t>100</w:t>
            </w:r>
            <w:r w:rsidR="00DF1795">
              <w:rPr>
                <w:rStyle w:val="Emphasis"/>
              </w:rPr>
              <w:t>%</w:t>
            </w:r>
          </w:p>
        </w:tc>
        <w:tc>
          <w:tcPr>
            <w:tcW w:w="1128" w:type="dxa"/>
          </w:tcPr>
          <w:p w14:paraId="51D71A40" w14:textId="77777777" w:rsidR="00DF1795" w:rsidRPr="00387B61" w:rsidRDefault="00797507" w:rsidP="00AB52BF">
            <w:pPr>
              <w:pStyle w:val="Tablebodytextnospaceafter"/>
              <w:jc w:val="right"/>
            </w:pPr>
            <w:r>
              <w:t>96</w:t>
            </w:r>
            <w:r w:rsidR="00DF1795" w:rsidRPr="00387B61">
              <w:t>%</w:t>
            </w:r>
          </w:p>
        </w:tc>
      </w:tr>
      <w:tr w:rsidR="00DF1795" w:rsidRPr="00387B61" w14:paraId="3F99FE48"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top w:val="single" w:sz="4" w:space="0" w:color="FFFFFF" w:themeColor="background1"/>
            </w:tcBorders>
          </w:tcPr>
          <w:p w14:paraId="3BFEC771" w14:textId="77777777" w:rsidR="00DF1795" w:rsidRPr="00387B61" w:rsidRDefault="00DF1795" w:rsidP="00462B77">
            <w:pPr>
              <w:pStyle w:val="Tablebodytextnospaceafter"/>
              <w:rPr>
                <w:sz w:val="20"/>
                <w:szCs w:val="20"/>
              </w:rPr>
            </w:pPr>
            <w:r w:rsidRPr="00387B61">
              <w:t xml:space="preserve">% of </w:t>
            </w:r>
            <w:r w:rsidR="00462B77">
              <w:t>completed</w:t>
            </w:r>
            <w:r w:rsidRPr="00387B61">
              <w:t xml:space="preserve"> requests and </w:t>
            </w:r>
            <w:r w:rsidRPr="006C1008">
              <w:t xml:space="preserve">enquiries </w:t>
            </w:r>
            <w:r w:rsidR="00462B77">
              <w:t xml:space="preserve">meeting </w:t>
            </w:r>
            <w:r w:rsidRPr="00387B61">
              <w:t>internal quality standards</w:t>
            </w:r>
            <w:r w:rsidR="00462B77">
              <w:t>, following random quality assurance check (new measure)</w:t>
            </w:r>
            <w:r w:rsidRPr="00387B61">
              <w:t xml:space="preserve"> </w:t>
            </w:r>
          </w:p>
        </w:tc>
        <w:tc>
          <w:tcPr>
            <w:tcW w:w="1127" w:type="dxa"/>
          </w:tcPr>
          <w:p w14:paraId="38361F6E" w14:textId="77777777" w:rsidR="00DF1795" w:rsidRPr="00387B61" w:rsidRDefault="00797507" w:rsidP="00506E02">
            <w:pPr>
              <w:pStyle w:val="Tablebodytextnospaceafter"/>
              <w:jc w:val="right"/>
            </w:pPr>
            <w:r>
              <w:t>85</w:t>
            </w:r>
            <w:r w:rsidR="00DF1795" w:rsidRPr="00387B61">
              <w:t>%</w:t>
            </w:r>
          </w:p>
        </w:tc>
        <w:tc>
          <w:tcPr>
            <w:tcW w:w="1127" w:type="dxa"/>
          </w:tcPr>
          <w:p w14:paraId="0F608F96" w14:textId="77777777" w:rsidR="00DF1795" w:rsidRPr="009E0C1F" w:rsidRDefault="00BA6844" w:rsidP="00506E02">
            <w:pPr>
              <w:pStyle w:val="Tablebodytextnospaceafter"/>
              <w:jc w:val="right"/>
              <w:rPr>
                <w:rStyle w:val="Emphasis"/>
              </w:rPr>
            </w:pPr>
            <w:r>
              <w:rPr>
                <w:rStyle w:val="Emphasis"/>
              </w:rPr>
              <w:t>85</w:t>
            </w:r>
            <w:r w:rsidR="00DF1795">
              <w:rPr>
                <w:rStyle w:val="Emphasis"/>
              </w:rPr>
              <w:t>%</w:t>
            </w:r>
          </w:p>
        </w:tc>
        <w:tc>
          <w:tcPr>
            <w:tcW w:w="1128" w:type="dxa"/>
          </w:tcPr>
          <w:p w14:paraId="0671320E" w14:textId="77777777" w:rsidR="00DF1795" w:rsidRPr="009D239C" w:rsidRDefault="0077075C" w:rsidP="00506E02">
            <w:pPr>
              <w:pStyle w:val="Tablebodytextnospaceafter"/>
              <w:jc w:val="right"/>
              <w:rPr>
                <w:rStyle w:val="Italics"/>
                <w:i w:val="0"/>
              </w:rPr>
            </w:pPr>
            <w:r>
              <w:rPr>
                <w:rStyle w:val="Italics"/>
                <w:i w:val="0"/>
              </w:rPr>
              <w:t>-</w:t>
            </w:r>
          </w:p>
        </w:tc>
      </w:tr>
      <w:tr w:rsidR="00DF1795" w:rsidRPr="00387B61" w14:paraId="16FBE3AF"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tcBorders>
          </w:tcPr>
          <w:p w14:paraId="11BCD6AB" w14:textId="77777777" w:rsidR="00DF1795" w:rsidRPr="00387B61" w:rsidRDefault="00DF1795" w:rsidP="00C13E81">
            <w:pPr>
              <w:pStyle w:val="Tablebodytextnospaceafter"/>
            </w:pPr>
            <w:r w:rsidRPr="00387B61">
              <w:t># of guidance materials and resources produced or updated that assist serious wrongdoing t</w:t>
            </w:r>
            <w:r w:rsidR="00C13E81">
              <w:t>o be disclosed and investigated</w:t>
            </w:r>
          </w:p>
        </w:tc>
        <w:tc>
          <w:tcPr>
            <w:tcW w:w="1127" w:type="dxa"/>
          </w:tcPr>
          <w:p w14:paraId="14840EAD" w14:textId="77777777" w:rsidR="00DF1795" w:rsidRPr="00387B61" w:rsidRDefault="00DF1795" w:rsidP="00506E02">
            <w:pPr>
              <w:pStyle w:val="Tablebodytextnospaceafter"/>
              <w:jc w:val="right"/>
            </w:pPr>
            <w:r w:rsidRPr="00387B61">
              <w:t>2</w:t>
            </w:r>
          </w:p>
        </w:tc>
        <w:tc>
          <w:tcPr>
            <w:tcW w:w="1127" w:type="dxa"/>
          </w:tcPr>
          <w:p w14:paraId="2933D14D" w14:textId="77777777" w:rsidR="00DF1795" w:rsidRPr="00F41135" w:rsidRDefault="00BA6844" w:rsidP="00506E02">
            <w:pPr>
              <w:pStyle w:val="Tablebodytextnospaceafter"/>
              <w:jc w:val="right"/>
              <w:rPr>
                <w:rStyle w:val="Emphasis"/>
              </w:rPr>
            </w:pPr>
            <w:r>
              <w:rPr>
                <w:rStyle w:val="Emphasis"/>
              </w:rPr>
              <w:t>2</w:t>
            </w:r>
          </w:p>
        </w:tc>
        <w:tc>
          <w:tcPr>
            <w:tcW w:w="1128" w:type="dxa"/>
          </w:tcPr>
          <w:p w14:paraId="43F13144" w14:textId="77777777" w:rsidR="00DF1795" w:rsidRPr="009D239C" w:rsidRDefault="00797507" w:rsidP="00506E02">
            <w:pPr>
              <w:pStyle w:val="Tablebodytextnospaceafter"/>
              <w:jc w:val="right"/>
              <w:rPr>
                <w:rStyle w:val="Italics"/>
                <w:i w:val="0"/>
              </w:rPr>
            </w:pPr>
            <w:r>
              <w:rPr>
                <w:rStyle w:val="Italics"/>
                <w:i w:val="0"/>
              </w:rPr>
              <w:t>2</w:t>
            </w:r>
          </w:p>
        </w:tc>
      </w:tr>
      <w:tr w:rsidR="00F90EEC" w:rsidRPr="00387B61" w14:paraId="1FF66A4D"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shd w:val="clear" w:color="auto" w:fill="BFBFBF"/>
          </w:tcPr>
          <w:p w14:paraId="096D4597" w14:textId="77777777" w:rsidR="00F90EEC" w:rsidRPr="006514EE" w:rsidRDefault="00F90EEC" w:rsidP="00506E02">
            <w:pPr>
              <w:pStyle w:val="Tablebodytextnospaceafter"/>
              <w:keepNext/>
              <w:rPr>
                <w:rStyle w:val="Emphasis"/>
              </w:rPr>
            </w:pPr>
            <w:r w:rsidRPr="006514EE">
              <w:rPr>
                <w:rStyle w:val="Emphasis"/>
              </w:rPr>
              <w:t>Output 5 – Break down the barriers that prevent disabled people from participating equally in society</w:t>
            </w:r>
          </w:p>
        </w:tc>
        <w:tc>
          <w:tcPr>
            <w:tcW w:w="1127" w:type="dxa"/>
            <w:shd w:val="clear" w:color="auto" w:fill="BFBFBF"/>
          </w:tcPr>
          <w:p w14:paraId="40137883" w14:textId="77777777" w:rsidR="00F90EEC" w:rsidRPr="006514EE" w:rsidRDefault="00F90EEC" w:rsidP="00506E02">
            <w:pPr>
              <w:pStyle w:val="Tablebodytextnospaceafter"/>
              <w:keepNext/>
              <w:rPr>
                <w:rStyle w:val="Emphasis"/>
              </w:rPr>
            </w:pPr>
          </w:p>
        </w:tc>
        <w:tc>
          <w:tcPr>
            <w:tcW w:w="1127" w:type="dxa"/>
            <w:shd w:val="clear" w:color="auto" w:fill="BFBFBF"/>
          </w:tcPr>
          <w:p w14:paraId="46031E71" w14:textId="77777777" w:rsidR="00F90EEC" w:rsidRPr="006514EE" w:rsidRDefault="00F90EEC" w:rsidP="00506E02">
            <w:pPr>
              <w:pStyle w:val="Tablebodytextnospaceafter"/>
              <w:keepNext/>
              <w:rPr>
                <w:rStyle w:val="Emphasis"/>
              </w:rPr>
            </w:pPr>
          </w:p>
        </w:tc>
        <w:tc>
          <w:tcPr>
            <w:tcW w:w="1128" w:type="dxa"/>
            <w:shd w:val="clear" w:color="auto" w:fill="BFBFBF"/>
          </w:tcPr>
          <w:p w14:paraId="585A6C37" w14:textId="21F68587" w:rsidR="00F90EEC" w:rsidRPr="006514EE" w:rsidRDefault="00F90EEC" w:rsidP="00506E02">
            <w:pPr>
              <w:pStyle w:val="Tablebodytextnospaceafter"/>
              <w:keepNext/>
              <w:rPr>
                <w:rStyle w:val="Emphasis"/>
              </w:rPr>
            </w:pPr>
          </w:p>
        </w:tc>
      </w:tr>
      <w:tr w:rsidR="00F90EEC" w:rsidRPr="00387B61" w14:paraId="28507DF5"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bottom w:val="single" w:sz="4" w:space="0" w:color="FFFFFF" w:themeColor="background1"/>
            </w:tcBorders>
            <w:shd w:val="clear" w:color="auto" w:fill="D3D3D3"/>
          </w:tcPr>
          <w:p w14:paraId="7D0E42B2" w14:textId="77777777" w:rsidR="00F90EEC" w:rsidRPr="006514EE" w:rsidRDefault="00F90EEC" w:rsidP="00506E02">
            <w:pPr>
              <w:pStyle w:val="Tablebodytextnospaceafter"/>
              <w:keepNext/>
            </w:pPr>
            <w:r w:rsidRPr="006514EE">
              <w:t xml:space="preserve">Proactive measures </w:t>
            </w:r>
          </w:p>
        </w:tc>
        <w:tc>
          <w:tcPr>
            <w:tcW w:w="1127" w:type="dxa"/>
            <w:tcBorders>
              <w:bottom w:val="single" w:sz="4" w:space="0" w:color="FFFFFF" w:themeColor="background1"/>
            </w:tcBorders>
            <w:shd w:val="clear" w:color="auto" w:fill="D3D3D3"/>
          </w:tcPr>
          <w:p w14:paraId="2721A332" w14:textId="77777777" w:rsidR="00F90EEC" w:rsidRPr="006514EE" w:rsidRDefault="00F90EEC" w:rsidP="00506E02">
            <w:pPr>
              <w:pStyle w:val="Tablebodytextnospaceafter"/>
              <w:keepNext/>
            </w:pPr>
          </w:p>
        </w:tc>
        <w:tc>
          <w:tcPr>
            <w:tcW w:w="1127" w:type="dxa"/>
            <w:tcBorders>
              <w:bottom w:val="single" w:sz="4" w:space="0" w:color="FFFFFF" w:themeColor="background1"/>
            </w:tcBorders>
            <w:shd w:val="clear" w:color="auto" w:fill="D3D3D3"/>
          </w:tcPr>
          <w:p w14:paraId="507E8ACE" w14:textId="77777777" w:rsidR="00F90EEC" w:rsidRPr="006514EE" w:rsidRDefault="00F90EEC" w:rsidP="00506E02">
            <w:pPr>
              <w:pStyle w:val="Tablebodytextnospaceafter"/>
              <w:keepNext/>
            </w:pPr>
          </w:p>
        </w:tc>
        <w:tc>
          <w:tcPr>
            <w:tcW w:w="1128" w:type="dxa"/>
            <w:tcBorders>
              <w:bottom w:val="single" w:sz="4" w:space="0" w:color="FFFFFF" w:themeColor="background1"/>
            </w:tcBorders>
            <w:shd w:val="clear" w:color="auto" w:fill="D3D3D3"/>
          </w:tcPr>
          <w:p w14:paraId="4B58CA2A" w14:textId="3E0FBE8F" w:rsidR="00F90EEC" w:rsidRPr="006514EE" w:rsidRDefault="00F90EEC" w:rsidP="00506E02">
            <w:pPr>
              <w:pStyle w:val="Tablebodytextnospaceafter"/>
              <w:keepNext/>
            </w:pPr>
          </w:p>
        </w:tc>
      </w:tr>
      <w:tr w:rsidR="00DF1795" w:rsidRPr="00387B61" w14:paraId="7E6180A3"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top w:val="single" w:sz="4" w:space="0" w:color="FFFFFF" w:themeColor="background1"/>
            </w:tcBorders>
          </w:tcPr>
          <w:p w14:paraId="32FCEB88" w14:textId="77777777" w:rsidR="00DF1795" w:rsidRPr="007978FF" w:rsidRDefault="00DF1795" w:rsidP="00C13E81">
            <w:pPr>
              <w:pStyle w:val="Tablebodytextnospaceafter"/>
              <w:keepNext/>
              <w:rPr>
                <w:sz w:val="20"/>
                <w:szCs w:val="20"/>
                <w:highlight w:val="yellow"/>
              </w:rPr>
            </w:pPr>
            <w:r w:rsidRPr="005766A5">
              <w:t># of reports, submissions, guides</w:t>
            </w:r>
            <w:r w:rsidR="00462B77">
              <w:t>,</w:t>
            </w:r>
            <w:r w:rsidRPr="005766A5">
              <w:t xml:space="preserve"> and resources produced or updated that assist to break down the barriers that prevent disabled people from participating equally in society </w:t>
            </w:r>
          </w:p>
        </w:tc>
        <w:tc>
          <w:tcPr>
            <w:tcW w:w="1127" w:type="dxa"/>
          </w:tcPr>
          <w:p w14:paraId="2BE49DD8" w14:textId="77777777" w:rsidR="00DF1795" w:rsidRPr="00F41135" w:rsidRDefault="00DF1795" w:rsidP="00506E02">
            <w:pPr>
              <w:pStyle w:val="Tablebodytextnospaceafter"/>
              <w:jc w:val="right"/>
            </w:pPr>
            <w:r w:rsidRPr="00F41135">
              <w:t>3</w:t>
            </w:r>
          </w:p>
        </w:tc>
        <w:tc>
          <w:tcPr>
            <w:tcW w:w="1127" w:type="dxa"/>
          </w:tcPr>
          <w:p w14:paraId="7C882E59" w14:textId="77777777" w:rsidR="00DF1795" w:rsidRPr="00F41135" w:rsidRDefault="006E12DD" w:rsidP="00506E02">
            <w:pPr>
              <w:pStyle w:val="Tablebodytextnospaceafter"/>
              <w:jc w:val="right"/>
              <w:rPr>
                <w:rStyle w:val="Emphasis"/>
              </w:rPr>
            </w:pPr>
            <w:r>
              <w:rPr>
                <w:rStyle w:val="Emphasis"/>
              </w:rPr>
              <w:t>8</w:t>
            </w:r>
          </w:p>
        </w:tc>
        <w:tc>
          <w:tcPr>
            <w:tcW w:w="1128" w:type="dxa"/>
          </w:tcPr>
          <w:p w14:paraId="0F670618" w14:textId="77777777" w:rsidR="00DF1795" w:rsidRPr="009D239C" w:rsidRDefault="00C13E81" w:rsidP="00506E02">
            <w:pPr>
              <w:pStyle w:val="Tablebodytextnospaceafter"/>
              <w:jc w:val="right"/>
              <w:rPr>
                <w:rStyle w:val="Italics"/>
                <w:i w:val="0"/>
              </w:rPr>
            </w:pPr>
            <w:r>
              <w:rPr>
                <w:rStyle w:val="Italics"/>
                <w:i w:val="0"/>
              </w:rPr>
              <w:t>7</w:t>
            </w:r>
          </w:p>
        </w:tc>
      </w:tr>
      <w:tr w:rsidR="00DF1795" w:rsidRPr="00387B61" w14:paraId="73F3B123"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tcBorders>
          </w:tcPr>
          <w:p w14:paraId="7D90D6B6" w14:textId="77777777" w:rsidR="00DF1795" w:rsidRPr="007978FF" w:rsidRDefault="00DF1795" w:rsidP="00BA6844">
            <w:pPr>
              <w:pStyle w:val="Tablebodytextnospaceafter"/>
              <w:rPr>
                <w:sz w:val="20"/>
                <w:szCs w:val="20"/>
                <w:highlight w:val="yellow"/>
              </w:rPr>
            </w:pPr>
            <w:r w:rsidRPr="005766A5">
              <w:t>% of external stakeholders</w:t>
            </w:r>
            <w:r w:rsidRPr="005766A5">
              <w:rPr>
                <w:rStyle w:val="FootnoteReference"/>
              </w:rPr>
              <w:footnoteReference w:id="68"/>
            </w:r>
            <w:r w:rsidRPr="005766A5">
              <w:t xml:space="preserve"> satisfied that the Ombudsman provides an effective contribution to</w:t>
            </w:r>
            <w:r w:rsidR="000032E8">
              <w:t xml:space="preserve"> Independent Monitoring mechanism</w:t>
            </w:r>
            <w:r w:rsidRPr="005766A5">
              <w:t xml:space="preserve"> </w:t>
            </w:r>
            <w:r w:rsidR="000032E8">
              <w:t>(</w:t>
            </w:r>
            <w:r w:rsidRPr="005766A5">
              <w:t>IMM</w:t>
            </w:r>
            <w:r w:rsidR="000032E8">
              <w:t>)</w:t>
            </w:r>
            <w:r w:rsidRPr="005766A5">
              <w:t xml:space="preserve"> activities </w:t>
            </w:r>
          </w:p>
        </w:tc>
        <w:tc>
          <w:tcPr>
            <w:tcW w:w="1127" w:type="dxa"/>
          </w:tcPr>
          <w:p w14:paraId="3889FABB" w14:textId="77777777" w:rsidR="00DF1795" w:rsidRPr="00F41135" w:rsidRDefault="00DF1795" w:rsidP="00506E02">
            <w:pPr>
              <w:pStyle w:val="Tablebodytextnospaceafter"/>
              <w:jc w:val="right"/>
            </w:pPr>
            <w:r w:rsidRPr="00F41135">
              <w:t>80%</w:t>
            </w:r>
          </w:p>
        </w:tc>
        <w:tc>
          <w:tcPr>
            <w:tcW w:w="1127" w:type="dxa"/>
          </w:tcPr>
          <w:p w14:paraId="2064A017" w14:textId="77777777" w:rsidR="00DF1795" w:rsidRPr="00F41135" w:rsidRDefault="00D14576" w:rsidP="00D14576">
            <w:pPr>
              <w:pStyle w:val="Tablebodytextnospaceafter"/>
              <w:jc w:val="right"/>
              <w:rPr>
                <w:rStyle w:val="Emphasis"/>
              </w:rPr>
            </w:pPr>
            <w:r>
              <w:rPr>
                <w:rStyle w:val="Emphasis"/>
              </w:rPr>
              <w:t>100</w:t>
            </w:r>
            <w:r w:rsidR="006E12DD">
              <w:rPr>
                <w:rStyle w:val="Emphasis"/>
              </w:rPr>
              <w:t>%</w:t>
            </w:r>
          </w:p>
        </w:tc>
        <w:tc>
          <w:tcPr>
            <w:tcW w:w="1128" w:type="dxa"/>
          </w:tcPr>
          <w:p w14:paraId="4F5E691F" w14:textId="77777777" w:rsidR="00DF1795" w:rsidRPr="009D239C" w:rsidRDefault="00C13E81" w:rsidP="00506E02">
            <w:pPr>
              <w:pStyle w:val="Tablebodytextnospaceafter"/>
              <w:jc w:val="right"/>
              <w:rPr>
                <w:rStyle w:val="Italics"/>
                <w:i w:val="0"/>
              </w:rPr>
            </w:pPr>
            <w:r>
              <w:rPr>
                <w:rStyle w:val="Italics"/>
                <w:i w:val="0"/>
              </w:rPr>
              <w:t>100%</w:t>
            </w:r>
          </w:p>
        </w:tc>
      </w:tr>
      <w:tr w:rsidR="00F90EEC" w:rsidRPr="00387B61" w14:paraId="25899044"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bottom w:val="single" w:sz="4" w:space="0" w:color="FFFFFF" w:themeColor="background1"/>
            </w:tcBorders>
            <w:shd w:val="clear" w:color="auto" w:fill="BFBFBF"/>
          </w:tcPr>
          <w:p w14:paraId="557DB52E" w14:textId="77777777" w:rsidR="00F90EEC" w:rsidRPr="00387B61" w:rsidRDefault="00F90EEC" w:rsidP="00506E02">
            <w:pPr>
              <w:pStyle w:val="Tablebodytextnospaceafter"/>
              <w:rPr>
                <w:rStyle w:val="Emphasis"/>
              </w:rPr>
            </w:pPr>
            <w:r w:rsidRPr="00387B61">
              <w:rPr>
                <w:rStyle w:val="Emphasis"/>
              </w:rPr>
              <w:t>Output 6 – Improve the conditions and treatment of people in detention</w:t>
            </w:r>
          </w:p>
        </w:tc>
        <w:tc>
          <w:tcPr>
            <w:tcW w:w="1127" w:type="dxa"/>
            <w:tcBorders>
              <w:bottom w:val="single" w:sz="4" w:space="0" w:color="FFFFFF" w:themeColor="background1"/>
            </w:tcBorders>
            <w:shd w:val="clear" w:color="auto" w:fill="BFBFBF"/>
          </w:tcPr>
          <w:p w14:paraId="529C7A61" w14:textId="77777777" w:rsidR="00F90EEC" w:rsidRPr="00387B61" w:rsidRDefault="00F90EEC" w:rsidP="00506E02">
            <w:pPr>
              <w:pStyle w:val="Tablebodytextnospaceafter"/>
              <w:rPr>
                <w:rStyle w:val="Emphasis"/>
              </w:rPr>
            </w:pPr>
          </w:p>
        </w:tc>
        <w:tc>
          <w:tcPr>
            <w:tcW w:w="1127" w:type="dxa"/>
            <w:tcBorders>
              <w:bottom w:val="single" w:sz="4" w:space="0" w:color="FFFFFF" w:themeColor="background1"/>
            </w:tcBorders>
            <w:shd w:val="clear" w:color="auto" w:fill="BFBFBF"/>
          </w:tcPr>
          <w:p w14:paraId="580FBED1" w14:textId="77777777" w:rsidR="00F90EEC" w:rsidRPr="00387B61" w:rsidRDefault="00F90EEC" w:rsidP="00506E02">
            <w:pPr>
              <w:pStyle w:val="Tablebodytextnospaceafter"/>
              <w:rPr>
                <w:rStyle w:val="Emphasis"/>
              </w:rPr>
            </w:pPr>
          </w:p>
        </w:tc>
        <w:tc>
          <w:tcPr>
            <w:tcW w:w="1128" w:type="dxa"/>
            <w:tcBorders>
              <w:bottom w:val="single" w:sz="4" w:space="0" w:color="FFFFFF" w:themeColor="background1"/>
            </w:tcBorders>
            <w:shd w:val="clear" w:color="auto" w:fill="BFBFBF"/>
          </w:tcPr>
          <w:p w14:paraId="66DF749D" w14:textId="5660AA9A" w:rsidR="00F90EEC" w:rsidRPr="00387B61" w:rsidRDefault="00F90EEC" w:rsidP="00506E02">
            <w:pPr>
              <w:pStyle w:val="Tablebodytextnospaceafter"/>
              <w:rPr>
                <w:rStyle w:val="Emphasis"/>
              </w:rPr>
            </w:pPr>
          </w:p>
        </w:tc>
      </w:tr>
      <w:tr w:rsidR="00F90EEC" w:rsidRPr="00387B61" w14:paraId="52D62021"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tcBorders>
            <w:shd w:val="clear" w:color="auto" w:fill="D3D3D3"/>
          </w:tcPr>
          <w:p w14:paraId="0C572D45" w14:textId="77777777" w:rsidR="00F90EEC" w:rsidRPr="00387B61" w:rsidRDefault="00F90EEC" w:rsidP="00506E02">
            <w:pPr>
              <w:pStyle w:val="Tablebodytextnospaceafter"/>
            </w:pPr>
            <w:r w:rsidRPr="00387B61">
              <w:t xml:space="preserve">Proactive measures </w:t>
            </w:r>
          </w:p>
        </w:tc>
        <w:tc>
          <w:tcPr>
            <w:tcW w:w="1127" w:type="dxa"/>
            <w:tcBorders>
              <w:top w:val="single" w:sz="4" w:space="0" w:color="FFFFFF" w:themeColor="background1"/>
            </w:tcBorders>
            <w:shd w:val="clear" w:color="auto" w:fill="D3D3D3"/>
          </w:tcPr>
          <w:p w14:paraId="07706FD6" w14:textId="77777777" w:rsidR="00F90EEC" w:rsidRPr="00387B61" w:rsidRDefault="00F90EEC" w:rsidP="00506E02">
            <w:pPr>
              <w:pStyle w:val="Tablebodytextnospaceafter"/>
            </w:pPr>
          </w:p>
        </w:tc>
        <w:tc>
          <w:tcPr>
            <w:tcW w:w="1127" w:type="dxa"/>
            <w:tcBorders>
              <w:top w:val="single" w:sz="4" w:space="0" w:color="FFFFFF" w:themeColor="background1"/>
            </w:tcBorders>
            <w:shd w:val="clear" w:color="auto" w:fill="D3D3D3"/>
          </w:tcPr>
          <w:p w14:paraId="7F7F07F4" w14:textId="77777777" w:rsidR="00F90EEC" w:rsidRPr="00387B61" w:rsidRDefault="00F90EEC" w:rsidP="00506E02">
            <w:pPr>
              <w:pStyle w:val="Tablebodytextnospaceafter"/>
            </w:pPr>
          </w:p>
        </w:tc>
        <w:tc>
          <w:tcPr>
            <w:tcW w:w="1128" w:type="dxa"/>
            <w:tcBorders>
              <w:top w:val="single" w:sz="4" w:space="0" w:color="FFFFFF" w:themeColor="background1"/>
            </w:tcBorders>
            <w:shd w:val="clear" w:color="auto" w:fill="D3D3D3"/>
          </w:tcPr>
          <w:p w14:paraId="29704364" w14:textId="3FADDF2A" w:rsidR="00F90EEC" w:rsidRPr="00387B61" w:rsidRDefault="00F90EEC" w:rsidP="00506E02">
            <w:pPr>
              <w:pStyle w:val="Tablebodytextnospaceafter"/>
            </w:pPr>
          </w:p>
        </w:tc>
      </w:tr>
      <w:tr w:rsidR="00DF1795" w:rsidRPr="00387B61" w14:paraId="2DCE49FC"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Pr>
          <w:p w14:paraId="7B9B72CB" w14:textId="77777777" w:rsidR="00DF1795" w:rsidRPr="00387B61" w:rsidRDefault="00DF1795" w:rsidP="00C13E81">
            <w:pPr>
              <w:pStyle w:val="Tablebodytextnospaceafter"/>
            </w:pPr>
            <w:r w:rsidRPr="00387B61">
              <w:t xml:space="preserve"># of inspections and visits to places of detention </w:t>
            </w:r>
          </w:p>
        </w:tc>
        <w:tc>
          <w:tcPr>
            <w:tcW w:w="1127" w:type="dxa"/>
          </w:tcPr>
          <w:p w14:paraId="158FC9AA" w14:textId="77777777" w:rsidR="00DF1795" w:rsidRPr="00387B61" w:rsidRDefault="00C13E81" w:rsidP="00506E02">
            <w:pPr>
              <w:pStyle w:val="Tablebodytextnospaceafter"/>
              <w:jc w:val="right"/>
            </w:pPr>
            <w:r>
              <w:t>50</w:t>
            </w:r>
          </w:p>
        </w:tc>
        <w:tc>
          <w:tcPr>
            <w:tcW w:w="1127" w:type="dxa"/>
          </w:tcPr>
          <w:p w14:paraId="4838323C" w14:textId="49F1A14C" w:rsidR="00DF1795" w:rsidRPr="000F05E4" w:rsidRDefault="00E047A7" w:rsidP="00E047A7">
            <w:pPr>
              <w:pStyle w:val="Tablebodytextnospaceafter"/>
              <w:jc w:val="right"/>
              <w:rPr>
                <w:rStyle w:val="Emphasis"/>
                <w:color w:val="auto"/>
              </w:rPr>
            </w:pPr>
            <w:r>
              <w:rPr>
                <w:rStyle w:val="Emphasis"/>
                <w:color w:val="auto"/>
              </w:rPr>
              <w:t>59</w:t>
            </w:r>
          </w:p>
        </w:tc>
        <w:tc>
          <w:tcPr>
            <w:tcW w:w="1128" w:type="dxa"/>
          </w:tcPr>
          <w:p w14:paraId="2EEBF978" w14:textId="77777777" w:rsidR="00DF1795" w:rsidRPr="00387B61" w:rsidRDefault="00C13E81" w:rsidP="00506E02">
            <w:pPr>
              <w:pStyle w:val="Tablebodytextnospaceafter"/>
              <w:jc w:val="right"/>
            </w:pPr>
            <w:r>
              <w:t>40</w:t>
            </w:r>
          </w:p>
        </w:tc>
      </w:tr>
      <w:tr w:rsidR="000032E8" w:rsidRPr="00387B61" w14:paraId="580CD054"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Pr>
          <w:p w14:paraId="5DF916C5" w14:textId="77777777" w:rsidR="000032E8" w:rsidRPr="00FD5C37" w:rsidRDefault="000032E8" w:rsidP="000032E8">
            <w:pPr>
              <w:pStyle w:val="Tablebodytextnospaceafter"/>
              <w:ind w:left="616"/>
              <w:rPr>
                <w:rStyle w:val="Italics"/>
              </w:rPr>
            </w:pPr>
            <w:r w:rsidRPr="00FD5C37">
              <w:rPr>
                <w:rStyle w:val="Italics"/>
              </w:rPr>
              <w:t># of inspections and visits to places of detention (including COVID specific)</w:t>
            </w:r>
          </w:p>
        </w:tc>
        <w:tc>
          <w:tcPr>
            <w:tcW w:w="1127" w:type="dxa"/>
          </w:tcPr>
          <w:p w14:paraId="37EB75AF" w14:textId="77777777" w:rsidR="000032E8" w:rsidRPr="00FD5C37" w:rsidRDefault="000032E8" w:rsidP="000032E8">
            <w:pPr>
              <w:pStyle w:val="Tablebodytextnospaceafter"/>
              <w:jc w:val="right"/>
              <w:rPr>
                <w:rStyle w:val="Italics"/>
              </w:rPr>
            </w:pPr>
            <w:r w:rsidRPr="00FD5C37">
              <w:rPr>
                <w:rStyle w:val="Italics"/>
              </w:rPr>
              <w:t>As above</w:t>
            </w:r>
          </w:p>
        </w:tc>
        <w:tc>
          <w:tcPr>
            <w:tcW w:w="1127" w:type="dxa"/>
          </w:tcPr>
          <w:p w14:paraId="5F0E868D" w14:textId="77777777" w:rsidR="000032E8" w:rsidRDefault="000032E8" w:rsidP="000032E8">
            <w:pPr>
              <w:pStyle w:val="Tablebodytextnospaceafter"/>
              <w:jc w:val="right"/>
              <w:rPr>
                <w:rStyle w:val="Emphasis"/>
                <w:color w:val="auto"/>
              </w:rPr>
            </w:pPr>
            <w:r w:rsidRPr="00CC7237">
              <w:rPr>
                <w:rStyle w:val="EmphasisItalics"/>
              </w:rPr>
              <w:t>84</w:t>
            </w:r>
            <w:r>
              <w:rPr>
                <w:rStyle w:val="FootnoteReference"/>
                <w:b/>
                <w:bCs/>
                <w:iCs/>
                <w:color w:val="auto"/>
              </w:rPr>
              <w:footnoteReference w:id="69"/>
            </w:r>
          </w:p>
        </w:tc>
        <w:tc>
          <w:tcPr>
            <w:tcW w:w="1128" w:type="dxa"/>
          </w:tcPr>
          <w:p w14:paraId="4B4CB01B" w14:textId="77777777" w:rsidR="000032E8" w:rsidRPr="00FD5C37" w:rsidRDefault="000032E8" w:rsidP="000032E8">
            <w:pPr>
              <w:pStyle w:val="Tablebodytextnospaceafter"/>
              <w:jc w:val="right"/>
              <w:rPr>
                <w:rStyle w:val="Italics"/>
              </w:rPr>
            </w:pPr>
            <w:r w:rsidRPr="00FD5C37">
              <w:rPr>
                <w:rStyle w:val="Italics"/>
              </w:rPr>
              <w:t>As above</w:t>
            </w:r>
          </w:p>
        </w:tc>
      </w:tr>
      <w:tr w:rsidR="000032E8" w:rsidRPr="00387B61" w14:paraId="7327F89B"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top w:val="single" w:sz="4" w:space="0" w:color="FFFFFF" w:themeColor="background1"/>
            </w:tcBorders>
          </w:tcPr>
          <w:p w14:paraId="7EA0FC28" w14:textId="77777777" w:rsidR="000032E8" w:rsidRPr="00387B61" w:rsidRDefault="000032E8" w:rsidP="000032E8">
            <w:pPr>
              <w:pStyle w:val="Tablebodytextnospaceafter"/>
            </w:pPr>
            <w:r w:rsidRPr="00387B61">
              <w:t xml:space="preserve">% of unannounced inspections and visits </w:t>
            </w:r>
          </w:p>
        </w:tc>
        <w:tc>
          <w:tcPr>
            <w:tcW w:w="1127" w:type="dxa"/>
          </w:tcPr>
          <w:p w14:paraId="00F67BFA" w14:textId="77777777" w:rsidR="000032E8" w:rsidRPr="00387B61" w:rsidRDefault="000032E8" w:rsidP="000032E8">
            <w:pPr>
              <w:pStyle w:val="Tablebodytextnospaceafter"/>
              <w:jc w:val="right"/>
            </w:pPr>
            <w:r w:rsidRPr="00387B61">
              <w:t>60%</w:t>
            </w:r>
          </w:p>
        </w:tc>
        <w:tc>
          <w:tcPr>
            <w:tcW w:w="1127" w:type="dxa"/>
          </w:tcPr>
          <w:p w14:paraId="0AFED999" w14:textId="77777777" w:rsidR="000032E8" w:rsidRPr="00A5509B" w:rsidRDefault="000032E8" w:rsidP="000032E8">
            <w:pPr>
              <w:pStyle w:val="Tablebodytextnospaceafter"/>
              <w:jc w:val="right"/>
              <w:rPr>
                <w:rStyle w:val="Emphasis"/>
                <w:color w:val="auto"/>
              </w:rPr>
            </w:pPr>
            <w:r>
              <w:rPr>
                <w:rStyle w:val="Emphasis"/>
                <w:color w:val="auto"/>
              </w:rPr>
              <w:t>52</w:t>
            </w:r>
            <w:r w:rsidRPr="00A5509B">
              <w:rPr>
                <w:rStyle w:val="Emphasis"/>
                <w:color w:val="auto"/>
              </w:rPr>
              <w:t>%</w:t>
            </w:r>
          </w:p>
        </w:tc>
        <w:tc>
          <w:tcPr>
            <w:tcW w:w="1128" w:type="dxa"/>
          </w:tcPr>
          <w:p w14:paraId="6DEE89C3" w14:textId="77777777" w:rsidR="000032E8" w:rsidRPr="00387B61" w:rsidRDefault="000032E8" w:rsidP="000032E8">
            <w:pPr>
              <w:pStyle w:val="Tablebodytextnospaceafter"/>
              <w:jc w:val="right"/>
            </w:pPr>
            <w:r>
              <w:t>90</w:t>
            </w:r>
            <w:r w:rsidRPr="00387B61">
              <w:t>%</w:t>
            </w:r>
          </w:p>
        </w:tc>
      </w:tr>
      <w:tr w:rsidR="000032E8" w:rsidRPr="00387B61" w14:paraId="5AB3D9BA"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tcBorders>
          </w:tcPr>
          <w:p w14:paraId="5F795728" w14:textId="77777777" w:rsidR="000032E8" w:rsidRPr="00387B61" w:rsidRDefault="000032E8" w:rsidP="000032E8">
            <w:pPr>
              <w:pStyle w:val="Tablebodytextnospaceafter"/>
              <w:ind w:left="616"/>
            </w:pPr>
            <w:r w:rsidRPr="00FD5C37">
              <w:rPr>
                <w:rStyle w:val="Italics"/>
              </w:rPr>
              <w:t>% of unannounced inspections and visits (including COVID specific)</w:t>
            </w:r>
            <w:r>
              <w:rPr>
                <w:rStyle w:val="FootnoteReference"/>
              </w:rPr>
              <w:footnoteReference w:id="70"/>
            </w:r>
          </w:p>
        </w:tc>
        <w:tc>
          <w:tcPr>
            <w:tcW w:w="1127" w:type="dxa"/>
          </w:tcPr>
          <w:p w14:paraId="4D117551" w14:textId="77777777" w:rsidR="000032E8" w:rsidRPr="00FD5C37" w:rsidRDefault="000032E8" w:rsidP="000032E8">
            <w:pPr>
              <w:pStyle w:val="Tablebodytextnospaceafter"/>
              <w:jc w:val="right"/>
              <w:rPr>
                <w:rStyle w:val="Italics"/>
              </w:rPr>
            </w:pPr>
            <w:r w:rsidRPr="00FD5C37">
              <w:rPr>
                <w:rStyle w:val="Italics"/>
              </w:rPr>
              <w:t>As above</w:t>
            </w:r>
          </w:p>
        </w:tc>
        <w:tc>
          <w:tcPr>
            <w:tcW w:w="1127" w:type="dxa"/>
          </w:tcPr>
          <w:p w14:paraId="31CE91D3" w14:textId="77777777" w:rsidR="000032E8" w:rsidRPr="00A5509B" w:rsidRDefault="000032E8" w:rsidP="000032E8">
            <w:pPr>
              <w:pStyle w:val="Tablebodytextnospaceafter"/>
              <w:jc w:val="right"/>
              <w:rPr>
                <w:rStyle w:val="Emphasis"/>
                <w:color w:val="auto"/>
              </w:rPr>
            </w:pPr>
            <w:r w:rsidRPr="00CC7237">
              <w:rPr>
                <w:rStyle w:val="EmphasisItalics"/>
              </w:rPr>
              <w:t>36%</w:t>
            </w:r>
            <w:r>
              <w:rPr>
                <w:rStyle w:val="FootnoteReference"/>
                <w:b/>
                <w:bCs/>
                <w:iCs/>
                <w:color w:val="auto"/>
              </w:rPr>
              <w:footnoteReference w:id="71"/>
            </w:r>
          </w:p>
        </w:tc>
        <w:tc>
          <w:tcPr>
            <w:tcW w:w="1128" w:type="dxa"/>
          </w:tcPr>
          <w:p w14:paraId="5CBD069F" w14:textId="77777777" w:rsidR="000032E8" w:rsidRPr="00637822" w:rsidRDefault="000032E8" w:rsidP="000032E8">
            <w:pPr>
              <w:pStyle w:val="Tablebodytextnospaceafter"/>
              <w:jc w:val="right"/>
              <w:rPr>
                <w:rStyle w:val="Italics"/>
              </w:rPr>
            </w:pPr>
            <w:r w:rsidRPr="00637822">
              <w:rPr>
                <w:rStyle w:val="Italics"/>
              </w:rPr>
              <w:t>As above</w:t>
            </w:r>
          </w:p>
        </w:tc>
      </w:tr>
      <w:tr w:rsidR="000032E8" w:rsidRPr="00387B61" w14:paraId="35D5B1C9"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top w:val="single" w:sz="4" w:space="0" w:color="FFFFFF" w:themeColor="background1"/>
            </w:tcBorders>
          </w:tcPr>
          <w:p w14:paraId="40B497DA" w14:textId="77777777" w:rsidR="000032E8" w:rsidRPr="00387B61" w:rsidRDefault="000032E8" w:rsidP="000032E8">
            <w:pPr>
              <w:pStyle w:val="Tablebodytextnospaceafter"/>
            </w:pPr>
            <w:r w:rsidRPr="00387B61">
              <w:t>% of reports sent to places of detention within 3 months</w:t>
            </w:r>
            <w:r w:rsidRPr="00387B61">
              <w:rPr>
                <w:rStyle w:val="FootnoteReference"/>
              </w:rPr>
              <w:footnoteReference w:id="72"/>
            </w:r>
            <w:r w:rsidRPr="00387B61">
              <w:rPr>
                <w:rStyle w:val="FootnoteReference"/>
              </w:rPr>
              <w:t xml:space="preserve"> </w:t>
            </w:r>
            <w:r w:rsidRPr="00387B61">
              <w:t xml:space="preserve">of inspection </w:t>
            </w:r>
          </w:p>
        </w:tc>
        <w:tc>
          <w:tcPr>
            <w:tcW w:w="1127" w:type="dxa"/>
          </w:tcPr>
          <w:p w14:paraId="6B325385" w14:textId="77777777" w:rsidR="000032E8" w:rsidRPr="00387B61" w:rsidRDefault="000032E8" w:rsidP="000032E8">
            <w:pPr>
              <w:pStyle w:val="Tablebodytextnospaceafter"/>
              <w:jc w:val="right"/>
            </w:pPr>
            <w:r w:rsidRPr="00387B61">
              <w:t>95%</w:t>
            </w:r>
          </w:p>
        </w:tc>
        <w:tc>
          <w:tcPr>
            <w:tcW w:w="1127" w:type="dxa"/>
          </w:tcPr>
          <w:p w14:paraId="04BB008B" w14:textId="77777777" w:rsidR="000032E8" w:rsidRPr="00A5509B" w:rsidRDefault="000032E8" w:rsidP="000032E8">
            <w:pPr>
              <w:pStyle w:val="Tablebodytextnospaceafter"/>
              <w:jc w:val="right"/>
              <w:rPr>
                <w:rStyle w:val="Emphasis"/>
                <w:color w:val="auto"/>
              </w:rPr>
            </w:pPr>
            <w:r w:rsidRPr="00A5509B">
              <w:rPr>
                <w:rStyle w:val="Emphasis"/>
                <w:color w:val="auto"/>
              </w:rPr>
              <w:t>8</w:t>
            </w:r>
            <w:r>
              <w:rPr>
                <w:rStyle w:val="Emphasis"/>
                <w:color w:val="auto"/>
              </w:rPr>
              <w:t>6</w:t>
            </w:r>
            <w:r w:rsidRPr="00A5509B">
              <w:rPr>
                <w:rStyle w:val="Emphasis"/>
                <w:color w:val="auto"/>
              </w:rPr>
              <w:t>%</w:t>
            </w:r>
            <w:r>
              <w:rPr>
                <w:rStyle w:val="FootnoteReference"/>
                <w:b/>
                <w:bCs/>
                <w:iCs/>
                <w:color w:val="auto"/>
              </w:rPr>
              <w:footnoteReference w:id="73"/>
            </w:r>
          </w:p>
        </w:tc>
        <w:tc>
          <w:tcPr>
            <w:tcW w:w="1128" w:type="dxa"/>
          </w:tcPr>
          <w:p w14:paraId="15108547" w14:textId="77777777" w:rsidR="000032E8" w:rsidRPr="00387B61" w:rsidRDefault="000032E8" w:rsidP="000032E8">
            <w:pPr>
              <w:pStyle w:val="Tablebodytextnospaceafter"/>
              <w:jc w:val="right"/>
            </w:pPr>
            <w:r>
              <w:t>95</w:t>
            </w:r>
            <w:r w:rsidRPr="00387B61">
              <w:t>%</w:t>
            </w:r>
          </w:p>
        </w:tc>
      </w:tr>
      <w:tr w:rsidR="000032E8" w:rsidRPr="00387B61" w14:paraId="6A5F79DF"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tcBorders>
          </w:tcPr>
          <w:p w14:paraId="62124050" w14:textId="5912CF73" w:rsidR="000032E8" w:rsidRPr="00387B61" w:rsidRDefault="000032E8" w:rsidP="000032E8">
            <w:pPr>
              <w:pStyle w:val="Tablebodytextnospaceafter"/>
            </w:pPr>
            <w:r w:rsidRPr="00387B61">
              <w:t xml:space="preserve">% of reports peer reviewed against internal quality </w:t>
            </w:r>
            <w:r w:rsidR="00D71014">
              <w:t>standards</w:t>
            </w:r>
          </w:p>
        </w:tc>
        <w:tc>
          <w:tcPr>
            <w:tcW w:w="1127" w:type="dxa"/>
          </w:tcPr>
          <w:p w14:paraId="713A2429" w14:textId="77777777" w:rsidR="000032E8" w:rsidRPr="00387B61" w:rsidRDefault="000032E8" w:rsidP="000032E8">
            <w:pPr>
              <w:pStyle w:val="Tablebodytextnospaceafter"/>
              <w:jc w:val="right"/>
            </w:pPr>
            <w:r w:rsidRPr="00387B61">
              <w:t>100%</w:t>
            </w:r>
          </w:p>
        </w:tc>
        <w:tc>
          <w:tcPr>
            <w:tcW w:w="1127" w:type="dxa"/>
          </w:tcPr>
          <w:p w14:paraId="5E8A36B3" w14:textId="77777777" w:rsidR="000032E8" w:rsidRPr="00A5509B" w:rsidRDefault="000032E8" w:rsidP="000032E8">
            <w:pPr>
              <w:pStyle w:val="Tablebodytextnospaceafter"/>
              <w:jc w:val="right"/>
              <w:rPr>
                <w:rStyle w:val="Emphasis"/>
                <w:color w:val="auto"/>
              </w:rPr>
            </w:pPr>
            <w:r w:rsidRPr="00A5509B">
              <w:rPr>
                <w:rStyle w:val="Emphasis"/>
              </w:rPr>
              <w:t>100%</w:t>
            </w:r>
          </w:p>
        </w:tc>
        <w:tc>
          <w:tcPr>
            <w:tcW w:w="1128" w:type="dxa"/>
          </w:tcPr>
          <w:p w14:paraId="776149F7" w14:textId="77777777" w:rsidR="000032E8" w:rsidRPr="00387B61" w:rsidRDefault="000032E8" w:rsidP="000032E8">
            <w:pPr>
              <w:pStyle w:val="Tablebodytextnospaceafter"/>
              <w:jc w:val="right"/>
            </w:pPr>
            <w:r w:rsidRPr="00387B61">
              <w:t>100%</w:t>
            </w:r>
          </w:p>
        </w:tc>
      </w:tr>
      <w:tr w:rsidR="000032E8" w:rsidRPr="00387B61" w14:paraId="53533897"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top w:val="single" w:sz="4" w:space="0" w:color="FFFFFF" w:themeColor="background1"/>
            </w:tcBorders>
          </w:tcPr>
          <w:p w14:paraId="6BD344A3" w14:textId="77777777" w:rsidR="000032E8" w:rsidRPr="00387B61" w:rsidRDefault="000032E8" w:rsidP="000032E8">
            <w:pPr>
              <w:pStyle w:val="Tablebodytextnospaceafter"/>
            </w:pPr>
            <w:r w:rsidRPr="00387B61">
              <w:t>% of formal recommendations accepted</w:t>
            </w:r>
          </w:p>
        </w:tc>
        <w:tc>
          <w:tcPr>
            <w:tcW w:w="1127" w:type="dxa"/>
          </w:tcPr>
          <w:p w14:paraId="22FD1F3F" w14:textId="77777777" w:rsidR="000032E8" w:rsidRPr="00387B61" w:rsidRDefault="000032E8" w:rsidP="000032E8">
            <w:pPr>
              <w:pStyle w:val="Tablebodytextnospaceafter"/>
              <w:jc w:val="right"/>
            </w:pPr>
            <w:r w:rsidRPr="00387B61">
              <w:t>80%</w:t>
            </w:r>
          </w:p>
        </w:tc>
        <w:tc>
          <w:tcPr>
            <w:tcW w:w="1127" w:type="dxa"/>
          </w:tcPr>
          <w:p w14:paraId="63A47B71" w14:textId="77777777" w:rsidR="000032E8" w:rsidRPr="00A5509B" w:rsidRDefault="000032E8" w:rsidP="000032E8">
            <w:pPr>
              <w:pStyle w:val="Tablebodytextnospaceafter"/>
              <w:jc w:val="right"/>
              <w:rPr>
                <w:rStyle w:val="Emphasis"/>
              </w:rPr>
            </w:pPr>
            <w:r w:rsidRPr="00A5509B">
              <w:rPr>
                <w:rStyle w:val="Emphasis"/>
              </w:rPr>
              <w:t>7</w:t>
            </w:r>
            <w:r>
              <w:rPr>
                <w:rStyle w:val="Emphasis"/>
              </w:rPr>
              <w:t>2</w:t>
            </w:r>
            <w:r w:rsidRPr="00A5509B">
              <w:rPr>
                <w:rStyle w:val="Emphasis"/>
              </w:rPr>
              <w:t>%</w:t>
            </w:r>
          </w:p>
        </w:tc>
        <w:tc>
          <w:tcPr>
            <w:tcW w:w="1128" w:type="dxa"/>
          </w:tcPr>
          <w:p w14:paraId="382089CC" w14:textId="77777777" w:rsidR="000032E8" w:rsidRPr="00387B61" w:rsidRDefault="000032E8" w:rsidP="000032E8">
            <w:pPr>
              <w:pStyle w:val="Tablebodytextnospaceafter"/>
              <w:jc w:val="right"/>
            </w:pPr>
            <w:r w:rsidRPr="00387B61">
              <w:t>92%</w:t>
            </w:r>
          </w:p>
        </w:tc>
      </w:tr>
      <w:tr w:rsidR="00F90EEC" w:rsidRPr="00387B61" w14:paraId="61A49383"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bottom w:val="single" w:sz="4" w:space="0" w:color="FFFFFF" w:themeColor="background1"/>
            </w:tcBorders>
            <w:shd w:val="clear" w:color="auto" w:fill="BFBFBF"/>
          </w:tcPr>
          <w:p w14:paraId="4DB08BD8" w14:textId="77777777" w:rsidR="00F90EEC" w:rsidRPr="00387B61" w:rsidRDefault="00F90EEC" w:rsidP="000032E8">
            <w:pPr>
              <w:pStyle w:val="Tablebodytextnospaceafter"/>
              <w:keepNext/>
              <w:rPr>
                <w:rStyle w:val="Emphasis"/>
              </w:rPr>
            </w:pPr>
            <w:r w:rsidRPr="00387B61">
              <w:rPr>
                <w:rStyle w:val="Emphasis"/>
              </w:rPr>
              <w:t>Outputs 7 &amp; 8 – Complaint handling and investigations</w:t>
            </w:r>
            <w:r>
              <w:rPr>
                <w:rStyle w:val="FootnoteReference"/>
                <w:b/>
                <w:bCs/>
                <w:iCs/>
              </w:rPr>
              <w:footnoteReference w:id="74"/>
            </w:r>
          </w:p>
        </w:tc>
        <w:tc>
          <w:tcPr>
            <w:tcW w:w="1127" w:type="dxa"/>
            <w:tcBorders>
              <w:bottom w:val="single" w:sz="4" w:space="0" w:color="FFFFFF" w:themeColor="background1"/>
            </w:tcBorders>
            <w:shd w:val="clear" w:color="auto" w:fill="BFBFBF"/>
          </w:tcPr>
          <w:p w14:paraId="08F1C686" w14:textId="77777777" w:rsidR="00F90EEC" w:rsidRPr="00387B61" w:rsidRDefault="00F90EEC" w:rsidP="000032E8">
            <w:pPr>
              <w:pStyle w:val="Tablebodytextnospaceafter"/>
              <w:keepNext/>
              <w:rPr>
                <w:rStyle w:val="Emphasis"/>
              </w:rPr>
            </w:pPr>
          </w:p>
        </w:tc>
        <w:tc>
          <w:tcPr>
            <w:tcW w:w="1127" w:type="dxa"/>
            <w:tcBorders>
              <w:bottom w:val="single" w:sz="4" w:space="0" w:color="FFFFFF" w:themeColor="background1"/>
            </w:tcBorders>
            <w:shd w:val="clear" w:color="auto" w:fill="BFBFBF"/>
          </w:tcPr>
          <w:p w14:paraId="3E59A91E" w14:textId="77777777" w:rsidR="00F90EEC" w:rsidRPr="00387B61" w:rsidRDefault="00F90EEC" w:rsidP="000032E8">
            <w:pPr>
              <w:pStyle w:val="Tablebodytextnospaceafter"/>
              <w:keepNext/>
              <w:rPr>
                <w:rStyle w:val="Emphasis"/>
              </w:rPr>
            </w:pPr>
          </w:p>
        </w:tc>
        <w:tc>
          <w:tcPr>
            <w:tcW w:w="1128" w:type="dxa"/>
            <w:tcBorders>
              <w:bottom w:val="single" w:sz="4" w:space="0" w:color="FFFFFF" w:themeColor="background1"/>
            </w:tcBorders>
            <w:shd w:val="clear" w:color="auto" w:fill="BFBFBF"/>
          </w:tcPr>
          <w:p w14:paraId="3AAEDEC2" w14:textId="6852DB36" w:rsidR="00F90EEC" w:rsidRPr="00387B61" w:rsidRDefault="00F90EEC" w:rsidP="000032E8">
            <w:pPr>
              <w:pStyle w:val="Tablebodytextnospaceafter"/>
              <w:keepNext/>
              <w:rPr>
                <w:rStyle w:val="Emphasis"/>
              </w:rPr>
            </w:pPr>
          </w:p>
        </w:tc>
      </w:tr>
      <w:tr w:rsidR="00F90EEC" w:rsidRPr="00387B61" w14:paraId="23E6D9B9"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top w:val="single" w:sz="4" w:space="0" w:color="FFFFFF" w:themeColor="background1"/>
            </w:tcBorders>
            <w:shd w:val="clear" w:color="auto" w:fill="D3D3D3"/>
          </w:tcPr>
          <w:p w14:paraId="4C2CE444" w14:textId="77777777" w:rsidR="00F90EEC" w:rsidRPr="00387B61" w:rsidRDefault="00F90EEC" w:rsidP="000032E8">
            <w:pPr>
              <w:pStyle w:val="Tablebodytextnospaceafter"/>
              <w:keepNext/>
            </w:pPr>
            <w:r w:rsidRPr="00387B61">
              <w:t>Demand-driven measures</w:t>
            </w:r>
          </w:p>
        </w:tc>
        <w:tc>
          <w:tcPr>
            <w:tcW w:w="1127" w:type="dxa"/>
            <w:tcBorders>
              <w:top w:val="single" w:sz="4" w:space="0" w:color="FFFFFF" w:themeColor="background1"/>
            </w:tcBorders>
            <w:shd w:val="clear" w:color="auto" w:fill="D3D3D3"/>
          </w:tcPr>
          <w:p w14:paraId="713DDF5D" w14:textId="77777777" w:rsidR="00F90EEC" w:rsidRPr="00387B61" w:rsidRDefault="00F90EEC" w:rsidP="000032E8">
            <w:pPr>
              <w:pStyle w:val="Tablebodytextnospaceafter"/>
              <w:keepNext/>
            </w:pPr>
          </w:p>
        </w:tc>
        <w:tc>
          <w:tcPr>
            <w:tcW w:w="1127" w:type="dxa"/>
            <w:tcBorders>
              <w:top w:val="single" w:sz="4" w:space="0" w:color="FFFFFF" w:themeColor="background1"/>
            </w:tcBorders>
            <w:shd w:val="clear" w:color="auto" w:fill="D3D3D3"/>
          </w:tcPr>
          <w:p w14:paraId="6DAEEABE" w14:textId="77777777" w:rsidR="00F90EEC" w:rsidRPr="00387B61" w:rsidRDefault="00F90EEC" w:rsidP="000032E8">
            <w:pPr>
              <w:pStyle w:val="Tablebodytextnospaceafter"/>
              <w:keepNext/>
            </w:pPr>
          </w:p>
        </w:tc>
        <w:tc>
          <w:tcPr>
            <w:tcW w:w="1128" w:type="dxa"/>
            <w:tcBorders>
              <w:top w:val="single" w:sz="4" w:space="0" w:color="FFFFFF" w:themeColor="background1"/>
            </w:tcBorders>
            <w:shd w:val="clear" w:color="auto" w:fill="D3D3D3"/>
          </w:tcPr>
          <w:p w14:paraId="01BBFD08" w14:textId="29200357" w:rsidR="00F90EEC" w:rsidRPr="00387B61" w:rsidRDefault="00F90EEC" w:rsidP="000032E8">
            <w:pPr>
              <w:pStyle w:val="Tablebodytextnospaceafter"/>
              <w:keepNext/>
            </w:pPr>
          </w:p>
        </w:tc>
      </w:tr>
      <w:tr w:rsidR="000032E8" w:rsidRPr="00387B61" w14:paraId="6C964112"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tcBorders>
          </w:tcPr>
          <w:p w14:paraId="6A3B626D" w14:textId="77777777" w:rsidR="000032E8" w:rsidRPr="00387B61" w:rsidRDefault="000032E8" w:rsidP="000032E8">
            <w:pPr>
              <w:pStyle w:val="Tablebodytextnospaceafter"/>
              <w:keepNext/>
              <w:rPr>
                <w:rStyle w:val="Italics"/>
                <w:sz w:val="24"/>
              </w:rPr>
            </w:pPr>
            <w:r w:rsidRPr="00387B61">
              <w:t xml:space="preserve"># of official information complaints completed </w:t>
            </w:r>
          </w:p>
        </w:tc>
        <w:tc>
          <w:tcPr>
            <w:tcW w:w="1127" w:type="dxa"/>
          </w:tcPr>
          <w:p w14:paraId="033BE6BD" w14:textId="77777777" w:rsidR="000032E8" w:rsidRPr="00E849E6" w:rsidRDefault="000032E8" w:rsidP="000032E8">
            <w:pPr>
              <w:pStyle w:val="Tablebodytextnospaceafter"/>
              <w:jc w:val="right"/>
              <w:rPr>
                <w:rStyle w:val="Emphasis"/>
                <w:b w:val="0"/>
                <w:i/>
                <w:sz w:val="24"/>
              </w:rPr>
            </w:pPr>
            <w:r w:rsidRPr="00E849E6">
              <w:rPr>
                <w:rStyle w:val="Emphasis"/>
                <w:b w:val="0"/>
              </w:rPr>
              <w:t>1,</w:t>
            </w:r>
            <w:r>
              <w:rPr>
                <w:rStyle w:val="Emphasis"/>
                <w:b w:val="0"/>
              </w:rPr>
              <w:t>55</w:t>
            </w:r>
            <w:r w:rsidRPr="00E849E6">
              <w:rPr>
                <w:rStyle w:val="Emphasis"/>
                <w:b w:val="0"/>
              </w:rPr>
              <w:t>0</w:t>
            </w:r>
          </w:p>
        </w:tc>
        <w:tc>
          <w:tcPr>
            <w:tcW w:w="1127" w:type="dxa"/>
          </w:tcPr>
          <w:p w14:paraId="2C0F8CCB" w14:textId="77777777" w:rsidR="000032E8" w:rsidRPr="00D94D73" w:rsidRDefault="000032E8" w:rsidP="000032E8">
            <w:pPr>
              <w:pStyle w:val="Tablebodytextnospaceafter"/>
              <w:jc w:val="right"/>
              <w:rPr>
                <w:rStyle w:val="Italics"/>
                <w:sz w:val="24"/>
                <w:highlight w:val="yellow"/>
              </w:rPr>
            </w:pPr>
            <w:r>
              <w:rPr>
                <w:rStyle w:val="Emphasis"/>
              </w:rPr>
              <w:t>1,724</w:t>
            </w:r>
          </w:p>
        </w:tc>
        <w:tc>
          <w:tcPr>
            <w:tcW w:w="1128" w:type="dxa"/>
          </w:tcPr>
          <w:p w14:paraId="6B992110" w14:textId="77777777" w:rsidR="000032E8" w:rsidRPr="00387B61" w:rsidRDefault="000032E8" w:rsidP="000032E8">
            <w:pPr>
              <w:pStyle w:val="Tablebodytextnospaceafter"/>
              <w:jc w:val="right"/>
              <w:rPr>
                <w:rStyle w:val="Italics"/>
                <w:sz w:val="24"/>
              </w:rPr>
            </w:pPr>
            <w:r>
              <w:rPr>
                <w:rStyle w:val="Emphasis"/>
                <w:b w:val="0"/>
              </w:rPr>
              <w:t>2</w:t>
            </w:r>
            <w:r w:rsidRPr="00793A88">
              <w:rPr>
                <w:rStyle w:val="Emphasis"/>
                <w:b w:val="0"/>
              </w:rPr>
              <w:t>,</w:t>
            </w:r>
            <w:r>
              <w:rPr>
                <w:rStyle w:val="Emphasis"/>
                <w:b w:val="0"/>
              </w:rPr>
              <w:t>198</w:t>
            </w:r>
            <w:r>
              <w:rPr>
                <w:rStyle w:val="FootnoteReference"/>
                <w:b/>
                <w:bCs/>
                <w:iCs/>
              </w:rPr>
              <w:footnoteReference w:id="75"/>
            </w:r>
          </w:p>
        </w:tc>
      </w:tr>
      <w:tr w:rsidR="000032E8" w:rsidRPr="00387B61" w14:paraId="19A3E9C6"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top w:val="single" w:sz="4" w:space="0" w:color="FFFFFF" w:themeColor="background1"/>
            </w:tcBorders>
          </w:tcPr>
          <w:p w14:paraId="5B4B3CDC" w14:textId="77777777" w:rsidR="000032E8" w:rsidRPr="00387B61" w:rsidRDefault="000032E8" w:rsidP="000032E8">
            <w:pPr>
              <w:pStyle w:val="Tablebodytextnospaceafter"/>
              <w:rPr>
                <w:rStyle w:val="Italics"/>
                <w:sz w:val="24"/>
              </w:rPr>
            </w:pPr>
            <w:r w:rsidRPr="00387B61">
              <w:t xml:space="preserve"># of official information other contacts completed </w:t>
            </w:r>
          </w:p>
        </w:tc>
        <w:tc>
          <w:tcPr>
            <w:tcW w:w="1127" w:type="dxa"/>
          </w:tcPr>
          <w:p w14:paraId="706A9E5C" w14:textId="77777777" w:rsidR="000032E8" w:rsidRPr="00E849E6" w:rsidRDefault="000032E8" w:rsidP="000032E8">
            <w:pPr>
              <w:pStyle w:val="Tablebodytextnospaceafter"/>
              <w:jc w:val="right"/>
              <w:rPr>
                <w:rStyle w:val="Emphasis"/>
                <w:b w:val="0"/>
                <w:i/>
              </w:rPr>
            </w:pPr>
            <w:r>
              <w:rPr>
                <w:rStyle w:val="Emphasis"/>
                <w:b w:val="0"/>
              </w:rPr>
              <w:t>350</w:t>
            </w:r>
          </w:p>
        </w:tc>
        <w:tc>
          <w:tcPr>
            <w:tcW w:w="1127" w:type="dxa"/>
          </w:tcPr>
          <w:p w14:paraId="454A127A" w14:textId="77777777" w:rsidR="000032E8" w:rsidRPr="00D94D73" w:rsidRDefault="000032E8" w:rsidP="000032E8">
            <w:pPr>
              <w:pStyle w:val="Tablebodytextnospaceafter"/>
              <w:jc w:val="right"/>
              <w:rPr>
                <w:rStyle w:val="Italics"/>
                <w:sz w:val="24"/>
                <w:highlight w:val="yellow"/>
              </w:rPr>
            </w:pPr>
            <w:r>
              <w:rPr>
                <w:rStyle w:val="Italics"/>
                <w:b/>
                <w:i w:val="0"/>
              </w:rPr>
              <w:t>440</w:t>
            </w:r>
          </w:p>
        </w:tc>
        <w:tc>
          <w:tcPr>
            <w:tcW w:w="1128" w:type="dxa"/>
          </w:tcPr>
          <w:p w14:paraId="45B3B141" w14:textId="77777777" w:rsidR="000032E8" w:rsidRPr="00CF5D81" w:rsidRDefault="000032E8" w:rsidP="000032E8">
            <w:pPr>
              <w:pStyle w:val="Tablebodytextnospaceafter"/>
              <w:jc w:val="right"/>
              <w:rPr>
                <w:rStyle w:val="Italics"/>
                <w:sz w:val="24"/>
              </w:rPr>
            </w:pPr>
            <w:r>
              <w:t>404</w:t>
            </w:r>
          </w:p>
        </w:tc>
      </w:tr>
      <w:tr w:rsidR="000032E8" w:rsidRPr="00387B61" w14:paraId="451032C1"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bottom w:val="single" w:sz="4" w:space="0" w:color="FFFFFF" w:themeColor="background1"/>
            </w:tcBorders>
          </w:tcPr>
          <w:p w14:paraId="404C1EA1" w14:textId="77777777" w:rsidR="000032E8" w:rsidRPr="00387B61" w:rsidRDefault="000032E8" w:rsidP="000032E8">
            <w:pPr>
              <w:pStyle w:val="Tablebodytextnospaceafter"/>
              <w:rPr>
                <w:rStyle w:val="Italics"/>
                <w:sz w:val="24"/>
              </w:rPr>
            </w:pPr>
            <w:r w:rsidRPr="00387B61">
              <w:t># of Ombudsmen Act 1975 (OA) complaints completed</w:t>
            </w:r>
          </w:p>
        </w:tc>
        <w:tc>
          <w:tcPr>
            <w:tcW w:w="1127" w:type="dxa"/>
          </w:tcPr>
          <w:p w14:paraId="433FEE30" w14:textId="77777777" w:rsidR="000032E8" w:rsidRPr="00E849E6" w:rsidRDefault="000032E8" w:rsidP="000032E8">
            <w:pPr>
              <w:pStyle w:val="Tablebodytextnospaceafter"/>
              <w:jc w:val="right"/>
              <w:rPr>
                <w:rStyle w:val="Emphasis"/>
                <w:b w:val="0"/>
                <w:i/>
              </w:rPr>
            </w:pPr>
            <w:r w:rsidRPr="00E849E6">
              <w:rPr>
                <w:rStyle w:val="Emphasis"/>
                <w:b w:val="0"/>
              </w:rPr>
              <w:t>2,100</w:t>
            </w:r>
          </w:p>
        </w:tc>
        <w:tc>
          <w:tcPr>
            <w:tcW w:w="1127" w:type="dxa"/>
          </w:tcPr>
          <w:p w14:paraId="06A19044" w14:textId="77777777" w:rsidR="000032E8" w:rsidRPr="00C13E81" w:rsidRDefault="000032E8" w:rsidP="000032E8">
            <w:pPr>
              <w:pStyle w:val="Tablebodytextnospaceafter"/>
              <w:jc w:val="right"/>
              <w:rPr>
                <w:rStyle w:val="Italics"/>
                <w:sz w:val="24"/>
                <w:highlight w:val="yellow"/>
              </w:rPr>
            </w:pPr>
            <w:r w:rsidRPr="006E12DD">
              <w:rPr>
                <w:rStyle w:val="Emphasis"/>
              </w:rPr>
              <w:t>2,665</w:t>
            </w:r>
          </w:p>
        </w:tc>
        <w:tc>
          <w:tcPr>
            <w:tcW w:w="1128" w:type="dxa"/>
          </w:tcPr>
          <w:p w14:paraId="7F283899" w14:textId="77777777" w:rsidR="000032E8" w:rsidRPr="00387B61" w:rsidRDefault="000032E8" w:rsidP="000032E8">
            <w:pPr>
              <w:pStyle w:val="Tablebodytextnospaceafter"/>
              <w:jc w:val="right"/>
              <w:rPr>
                <w:rStyle w:val="Italics"/>
                <w:sz w:val="24"/>
              </w:rPr>
            </w:pPr>
            <w:r w:rsidRPr="00793A88">
              <w:rPr>
                <w:rStyle w:val="Emphasis"/>
                <w:b w:val="0"/>
              </w:rPr>
              <w:t>2,3</w:t>
            </w:r>
            <w:r>
              <w:rPr>
                <w:rStyle w:val="Emphasis"/>
                <w:b w:val="0"/>
              </w:rPr>
              <w:t>55</w:t>
            </w:r>
          </w:p>
        </w:tc>
      </w:tr>
      <w:tr w:rsidR="000032E8" w:rsidRPr="00387B61" w14:paraId="6974A15E"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Pr>
          <w:p w14:paraId="1977E29E" w14:textId="77777777" w:rsidR="000032E8" w:rsidRPr="00387B61" w:rsidRDefault="000032E8" w:rsidP="000032E8">
            <w:pPr>
              <w:pStyle w:val="Tablebodytextnospaceafter"/>
              <w:rPr>
                <w:rStyle w:val="Italics"/>
                <w:sz w:val="24"/>
              </w:rPr>
            </w:pPr>
            <w:r w:rsidRPr="00387B61">
              <w:t># of OA other contacts completed</w:t>
            </w:r>
          </w:p>
        </w:tc>
        <w:tc>
          <w:tcPr>
            <w:tcW w:w="1127" w:type="dxa"/>
          </w:tcPr>
          <w:p w14:paraId="273D8C56" w14:textId="77777777" w:rsidR="000032E8" w:rsidRPr="00E849E6" w:rsidRDefault="000032E8" w:rsidP="000032E8">
            <w:pPr>
              <w:pStyle w:val="Tablebodytextnospaceafter"/>
              <w:jc w:val="right"/>
              <w:rPr>
                <w:rStyle w:val="Emphasis"/>
                <w:b w:val="0"/>
                <w:i/>
                <w:sz w:val="24"/>
              </w:rPr>
            </w:pPr>
            <w:r>
              <w:rPr>
                <w:rStyle w:val="Emphasis"/>
                <w:b w:val="0"/>
              </w:rPr>
              <w:t>4</w:t>
            </w:r>
            <w:r w:rsidRPr="00E849E6">
              <w:rPr>
                <w:rStyle w:val="Emphasis"/>
                <w:b w:val="0"/>
              </w:rPr>
              <w:t>,800</w:t>
            </w:r>
          </w:p>
        </w:tc>
        <w:tc>
          <w:tcPr>
            <w:tcW w:w="1127" w:type="dxa"/>
          </w:tcPr>
          <w:p w14:paraId="7F3D76E9" w14:textId="77777777" w:rsidR="000032E8" w:rsidRPr="00C13E81" w:rsidRDefault="000032E8" w:rsidP="000032E8">
            <w:pPr>
              <w:pStyle w:val="Tablebodytextnospaceafter"/>
              <w:jc w:val="right"/>
              <w:rPr>
                <w:rStyle w:val="Italics"/>
                <w:sz w:val="24"/>
                <w:highlight w:val="yellow"/>
              </w:rPr>
            </w:pPr>
            <w:r>
              <w:rPr>
                <w:rStyle w:val="Emphasis"/>
              </w:rPr>
              <w:t>5,513</w:t>
            </w:r>
          </w:p>
        </w:tc>
        <w:tc>
          <w:tcPr>
            <w:tcW w:w="1128" w:type="dxa"/>
          </w:tcPr>
          <w:p w14:paraId="7407C745" w14:textId="77777777" w:rsidR="000032E8" w:rsidRPr="00387B61" w:rsidRDefault="000032E8" w:rsidP="000032E8">
            <w:pPr>
              <w:pStyle w:val="Tablebodytextnospaceafter"/>
              <w:jc w:val="right"/>
              <w:rPr>
                <w:rStyle w:val="Italics"/>
                <w:sz w:val="24"/>
              </w:rPr>
            </w:pPr>
            <w:r w:rsidRPr="00793A88">
              <w:rPr>
                <w:rStyle w:val="Emphasis"/>
                <w:b w:val="0"/>
              </w:rPr>
              <w:t>5,</w:t>
            </w:r>
            <w:r>
              <w:rPr>
                <w:rStyle w:val="Emphasis"/>
                <w:b w:val="0"/>
              </w:rPr>
              <w:t>112</w:t>
            </w:r>
          </w:p>
        </w:tc>
      </w:tr>
      <w:tr w:rsidR="00F90EEC" w:rsidRPr="00387B61" w14:paraId="7D65CF3B"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tcBorders>
            <w:shd w:val="clear" w:color="auto" w:fill="D3D3D3"/>
          </w:tcPr>
          <w:p w14:paraId="621A73DD" w14:textId="77777777" w:rsidR="00F90EEC" w:rsidRPr="00387B61" w:rsidRDefault="00F90EEC" w:rsidP="000032E8">
            <w:pPr>
              <w:pStyle w:val="Tablebodytextnospaceafter"/>
            </w:pPr>
            <w:r w:rsidRPr="00387B61">
              <w:t>Proactive measures</w:t>
            </w:r>
          </w:p>
        </w:tc>
        <w:tc>
          <w:tcPr>
            <w:tcW w:w="1127" w:type="dxa"/>
            <w:tcBorders>
              <w:top w:val="single" w:sz="4" w:space="0" w:color="FFFFFF" w:themeColor="background1"/>
            </w:tcBorders>
            <w:shd w:val="clear" w:color="auto" w:fill="D3D3D3"/>
          </w:tcPr>
          <w:p w14:paraId="2BDBBED3" w14:textId="77777777" w:rsidR="00F90EEC" w:rsidRPr="00387B61" w:rsidRDefault="00F90EEC" w:rsidP="000032E8">
            <w:pPr>
              <w:pStyle w:val="Tablebodytextnospaceafter"/>
            </w:pPr>
          </w:p>
        </w:tc>
        <w:tc>
          <w:tcPr>
            <w:tcW w:w="1127" w:type="dxa"/>
            <w:tcBorders>
              <w:top w:val="single" w:sz="4" w:space="0" w:color="FFFFFF" w:themeColor="background1"/>
            </w:tcBorders>
            <w:shd w:val="clear" w:color="auto" w:fill="D3D3D3"/>
          </w:tcPr>
          <w:p w14:paraId="283480D1" w14:textId="77777777" w:rsidR="00F90EEC" w:rsidRPr="00387B61" w:rsidRDefault="00F90EEC" w:rsidP="000032E8">
            <w:pPr>
              <w:pStyle w:val="Tablebodytextnospaceafter"/>
            </w:pPr>
          </w:p>
        </w:tc>
        <w:tc>
          <w:tcPr>
            <w:tcW w:w="1128" w:type="dxa"/>
            <w:tcBorders>
              <w:top w:val="single" w:sz="4" w:space="0" w:color="FFFFFF" w:themeColor="background1"/>
            </w:tcBorders>
            <w:shd w:val="clear" w:color="auto" w:fill="D3D3D3"/>
          </w:tcPr>
          <w:p w14:paraId="3A5F845E" w14:textId="5029792C" w:rsidR="00F90EEC" w:rsidRPr="00387B61" w:rsidRDefault="00F90EEC" w:rsidP="000032E8">
            <w:pPr>
              <w:pStyle w:val="Tablebodytextnospaceafter"/>
            </w:pPr>
          </w:p>
        </w:tc>
      </w:tr>
      <w:tr w:rsidR="000032E8" w:rsidRPr="00387B61" w14:paraId="27B9BD59"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top w:val="single" w:sz="4" w:space="0" w:color="FFFFFF" w:themeColor="background1"/>
            </w:tcBorders>
          </w:tcPr>
          <w:p w14:paraId="45CBF668" w14:textId="77777777" w:rsidR="000032E8" w:rsidRPr="00387B61" w:rsidRDefault="000032E8" w:rsidP="000032E8">
            <w:pPr>
              <w:pStyle w:val="Tablebodytextnospaceafter"/>
            </w:pPr>
            <w:r w:rsidRPr="00F87683">
              <w:t>% complaints and other contacts considered</w:t>
            </w:r>
          </w:p>
        </w:tc>
        <w:tc>
          <w:tcPr>
            <w:tcW w:w="1127" w:type="dxa"/>
          </w:tcPr>
          <w:p w14:paraId="3CB8C3E1" w14:textId="77777777" w:rsidR="000032E8" w:rsidRPr="00387B61" w:rsidRDefault="000032E8" w:rsidP="000032E8">
            <w:pPr>
              <w:pStyle w:val="Tablebodytextnospaceafter"/>
              <w:jc w:val="right"/>
            </w:pPr>
            <w:r w:rsidRPr="00387B61">
              <w:t>100%</w:t>
            </w:r>
          </w:p>
        </w:tc>
        <w:tc>
          <w:tcPr>
            <w:tcW w:w="1127" w:type="dxa"/>
          </w:tcPr>
          <w:p w14:paraId="173F6F40" w14:textId="77777777" w:rsidR="000032E8" w:rsidRPr="003C251C" w:rsidRDefault="000032E8" w:rsidP="000032E8">
            <w:pPr>
              <w:pStyle w:val="Tablebodytextnospaceafter"/>
              <w:jc w:val="right"/>
              <w:rPr>
                <w:rStyle w:val="Emphasis"/>
                <w:highlight w:val="yellow"/>
              </w:rPr>
            </w:pPr>
            <w:r>
              <w:rPr>
                <w:rStyle w:val="Emphasis"/>
              </w:rPr>
              <w:t>100</w:t>
            </w:r>
            <w:r w:rsidRPr="000A4C93">
              <w:rPr>
                <w:rStyle w:val="Emphasis"/>
              </w:rPr>
              <w:t>%</w:t>
            </w:r>
          </w:p>
        </w:tc>
        <w:tc>
          <w:tcPr>
            <w:tcW w:w="1128" w:type="dxa"/>
          </w:tcPr>
          <w:p w14:paraId="779B9BED" w14:textId="77777777" w:rsidR="000032E8" w:rsidRPr="00387B61" w:rsidRDefault="000032E8" w:rsidP="000032E8">
            <w:pPr>
              <w:pStyle w:val="Tablebodytextnospaceafter"/>
              <w:jc w:val="right"/>
            </w:pPr>
            <w:r w:rsidRPr="00387B61">
              <w:t>100%</w:t>
            </w:r>
          </w:p>
        </w:tc>
      </w:tr>
      <w:tr w:rsidR="000032E8" w:rsidRPr="00387B61" w14:paraId="771E3A70"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tcBorders>
          </w:tcPr>
          <w:p w14:paraId="1BA1C8B0" w14:textId="77777777" w:rsidR="000032E8" w:rsidRPr="00387B61" w:rsidRDefault="000032E8" w:rsidP="000032E8">
            <w:pPr>
              <w:pStyle w:val="Tablebodytextnospaceafter"/>
            </w:pPr>
            <w:r w:rsidRPr="00387B61">
              <w:t>% net clearance rate</w:t>
            </w:r>
            <w:r w:rsidRPr="00387B61">
              <w:rPr>
                <w:rStyle w:val="FootnoteReference"/>
              </w:rPr>
              <w:footnoteReference w:id="76"/>
            </w:r>
            <w:r w:rsidRPr="00387B61">
              <w:t xml:space="preserve"> of complaints</w:t>
            </w:r>
          </w:p>
        </w:tc>
        <w:tc>
          <w:tcPr>
            <w:tcW w:w="1127" w:type="dxa"/>
          </w:tcPr>
          <w:p w14:paraId="289CDB1C" w14:textId="77777777" w:rsidR="000032E8" w:rsidRPr="00E849E6" w:rsidRDefault="000032E8" w:rsidP="000032E8">
            <w:pPr>
              <w:pStyle w:val="Tablebodytextnospaceafter"/>
              <w:jc w:val="right"/>
              <w:rPr>
                <w:rStyle w:val="Emphasis"/>
                <w:b w:val="0"/>
              </w:rPr>
            </w:pPr>
            <w:r w:rsidRPr="00E849E6">
              <w:rPr>
                <w:rStyle w:val="Emphasis"/>
                <w:b w:val="0"/>
              </w:rPr>
              <w:t>100%</w:t>
            </w:r>
          </w:p>
        </w:tc>
        <w:tc>
          <w:tcPr>
            <w:tcW w:w="1127" w:type="dxa"/>
          </w:tcPr>
          <w:p w14:paraId="248E8C7A" w14:textId="77777777" w:rsidR="000032E8" w:rsidRPr="00D94D73" w:rsidRDefault="000032E8" w:rsidP="000032E8">
            <w:pPr>
              <w:pStyle w:val="Tablebodytextnospaceafter"/>
              <w:jc w:val="right"/>
              <w:rPr>
                <w:rStyle w:val="Emphasis"/>
                <w:highlight w:val="yellow"/>
              </w:rPr>
            </w:pPr>
            <w:r>
              <w:rPr>
                <w:rStyle w:val="Emphasis"/>
              </w:rPr>
              <w:t>98</w:t>
            </w:r>
            <w:r w:rsidRPr="004148A7">
              <w:rPr>
                <w:rStyle w:val="Emphasis"/>
              </w:rPr>
              <w:t>%</w:t>
            </w:r>
            <w:r>
              <w:rPr>
                <w:rStyle w:val="FootnoteReference"/>
                <w:b/>
                <w:bCs/>
                <w:iCs/>
              </w:rPr>
              <w:footnoteReference w:id="77"/>
            </w:r>
          </w:p>
        </w:tc>
        <w:tc>
          <w:tcPr>
            <w:tcW w:w="1128" w:type="dxa"/>
          </w:tcPr>
          <w:p w14:paraId="0BAFECDB" w14:textId="77777777" w:rsidR="000032E8" w:rsidRPr="00793A88" w:rsidRDefault="000032E8" w:rsidP="000032E8">
            <w:pPr>
              <w:pStyle w:val="Tablebodytextnospaceafter"/>
              <w:jc w:val="right"/>
              <w:rPr>
                <w:b/>
              </w:rPr>
            </w:pPr>
            <w:r>
              <w:rPr>
                <w:rStyle w:val="Emphasis"/>
                <w:b w:val="0"/>
              </w:rPr>
              <w:t>97</w:t>
            </w:r>
            <w:r w:rsidRPr="00793A88">
              <w:rPr>
                <w:rStyle w:val="Emphasis"/>
                <w:b w:val="0"/>
              </w:rPr>
              <w:t>%</w:t>
            </w:r>
          </w:p>
        </w:tc>
      </w:tr>
      <w:tr w:rsidR="000032E8" w:rsidRPr="00387B61" w14:paraId="7CB626B7"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top w:val="single" w:sz="4" w:space="0" w:color="FFFFFF" w:themeColor="background1"/>
            </w:tcBorders>
          </w:tcPr>
          <w:p w14:paraId="5DB4D352" w14:textId="77777777" w:rsidR="000032E8" w:rsidRPr="00387B61" w:rsidRDefault="000032E8" w:rsidP="000032E8">
            <w:pPr>
              <w:pStyle w:val="Tablebodytextnospaceafter"/>
            </w:pPr>
            <w:r w:rsidRPr="00387B61">
              <w:t>% net clearance rate of other contacts</w:t>
            </w:r>
          </w:p>
        </w:tc>
        <w:tc>
          <w:tcPr>
            <w:tcW w:w="1127" w:type="dxa"/>
          </w:tcPr>
          <w:p w14:paraId="7D1BDBB5" w14:textId="77777777" w:rsidR="000032E8" w:rsidRPr="00387B61" w:rsidRDefault="000032E8" w:rsidP="000032E8">
            <w:pPr>
              <w:pStyle w:val="Tablebodytextnospaceafter"/>
              <w:jc w:val="right"/>
              <w:rPr>
                <w:color w:val="auto"/>
              </w:rPr>
            </w:pPr>
            <w:r w:rsidRPr="00387B61">
              <w:rPr>
                <w:color w:val="auto"/>
              </w:rPr>
              <w:t>100%</w:t>
            </w:r>
          </w:p>
        </w:tc>
        <w:tc>
          <w:tcPr>
            <w:tcW w:w="1127" w:type="dxa"/>
          </w:tcPr>
          <w:p w14:paraId="30C8B6AD" w14:textId="77777777" w:rsidR="000032E8" w:rsidRPr="00D94D73" w:rsidRDefault="000032E8" w:rsidP="000032E8">
            <w:pPr>
              <w:pStyle w:val="Tablebodytextnospaceafter"/>
              <w:jc w:val="right"/>
              <w:rPr>
                <w:rStyle w:val="Emphasis"/>
                <w:highlight w:val="yellow"/>
              </w:rPr>
            </w:pPr>
            <w:r>
              <w:rPr>
                <w:rStyle w:val="Emphasis"/>
              </w:rPr>
              <w:t>100</w:t>
            </w:r>
            <w:r w:rsidRPr="004148A7">
              <w:rPr>
                <w:rStyle w:val="Emphasis"/>
              </w:rPr>
              <w:t>%</w:t>
            </w:r>
          </w:p>
        </w:tc>
        <w:tc>
          <w:tcPr>
            <w:tcW w:w="1128" w:type="dxa"/>
          </w:tcPr>
          <w:p w14:paraId="1F14D182" w14:textId="77777777" w:rsidR="000032E8" w:rsidRPr="00793A88" w:rsidRDefault="000032E8" w:rsidP="000032E8">
            <w:pPr>
              <w:pStyle w:val="Tablebodytextnospaceafter"/>
              <w:jc w:val="right"/>
              <w:rPr>
                <w:rStyle w:val="Emphasis"/>
                <w:b w:val="0"/>
              </w:rPr>
            </w:pPr>
            <w:r w:rsidRPr="00793A88">
              <w:rPr>
                <w:rStyle w:val="Emphasis"/>
                <w:b w:val="0"/>
              </w:rPr>
              <w:t>100%</w:t>
            </w:r>
          </w:p>
        </w:tc>
      </w:tr>
      <w:tr w:rsidR="000032E8" w:rsidRPr="00387B61" w14:paraId="1AEEEFFD"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tcBorders>
          </w:tcPr>
          <w:p w14:paraId="72F8270C" w14:textId="77777777" w:rsidR="000032E8" w:rsidRPr="00387B61" w:rsidRDefault="000032E8" w:rsidP="000032E8">
            <w:pPr>
              <w:pStyle w:val="Tablebodytextnospaceafter"/>
              <w:rPr>
                <w:color w:val="auto"/>
              </w:rPr>
            </w:pPr>
            <w:r w:rsidRPr="00387B61">
              <w:t>% of complaints completed within 3 months</w:t>
            </w:r>
            <w:r w:rsidRPr="00387B61">
              <w:rPr>
                <w:rStyle w:val="FootnoteReference"/>
              </w:rPr>
              <w:footnoteReference w:id="78"/>
            </w:r>
            <w:r w:rsidRPr="00387B61">
              <w:t xml:space="preserve"> of receipt</w:t>
            </w:r>
            <w:r>
              <w:t xml:space="preserve"> (amended measure)</w:t>
            </w:r>
          </w:p>
        </w:tc>
        <w:tc>
          <w:tcPr>
            <w:tcW w:w="1127" w:type="dxa"/>
          </w:tcPr>
          <w:p w14:paraId="34FEFF35" w14:textId="77777777" w:rsidR="000032E8" w:rsidRPr="00387B61" w:rsidRDefault="000032E8" w:rsidP="000032E8">
            <w:pPr>
              <w:pStyle w:val="Tablebodytextnospaceafter"/>
              <w:jc w:val="right"/>
              <w:rPr>
                <w:color w:val="auto"/>
              </w:rPr>
            </w:pPr>
            <w:r w:rsidRPr="00387B61">
              <w:rPr>
                <w:color w:val="auto"/>
              </w:rPr>
              <w:t>70%</w:t>
            </w:r>
          </w:p>
        </w:tc>
        <w:tc>
          <w:tcPr>
            <w:tcW w:w="1127" w:type="dxa"/>
          </w:tcPr>
          <w:p w14:paraId="359153DE" w14:textId="77777777" w:rsidR="000032E8" w:rsidRPr="00D94D73" w:rsidRDefault="000032E8" w:rsidP="000032E8">
            <w:pPr>
              <w:pStyle w:val="Tablebodytextnospaceafter"/>
              <w:jc w:val="right"/>
              <w:rPr>
                <w:rStyle w:val="Emphasis"/>
                <w:highlight w:val="yellow"/>
              </w:rPr>
            </w:pPr>
            <w:r>
              <w:rPr>
                <w:rStyle w:val="Emphasis"/>
              </w:rPr>
              <w:t>70</w:t>
            </w:r>
            <w:r w:rsidRPr="0038608A">
              <w:rPr>
                <w:rStyle w:val="Emphasis"/>
              </w:rPr>
              <w:t>%</w:t>
            </w:r>
          </w:p>
        </w:tc>
        <w:tc>
          <w:tcPr>
            <w:tcW w:w="1128" w:type="dxa"/>
          </w:tcPr>
          <w:p w14:paraId="234B4DA8" w14:textId="77777777" w:rsidR="000032E8" w:rsidRPr="00793A88" w:rsidRDefault="000032E8" w:rsidP="000032E8">
            <w:pPr>
              <w:pStyle w:val="Tablebodytextnospaceafter"/>
              <w:jc w:val="right"/>
              <w:rPr>
                <w:b/>
                <w:color w:val="auto"/>
              </w:rPr>
            </w:pPr>
            <w:r w:rsidRPr="00793A88">
              <w:rPr>
                <w:rStyle w:val="Emphasis"/>
                <w:b w:val="0"/>
              </w:rPr>
              <w:t>7</w:t>
            </w:r>
            <w:r>
              <w:rPr>
                <w:rStyle w:val="Emphasis"/>
                <w:b w:val="0"/>
              </w:rPr>
              <w:t>2</w:t>
            </w:r>
            <w:r w:rsidRPr="00793A88">
              <w:rPr>
                <w:rStyle w:val="Emphasis"/>
                <w:b w:val="0"/>
              </w:rPr>
              <w:t>%</w:t>
            </w:r>
          </w:p>
        </w:tc>
      </w:tr>
      <w:tr w:rsidR="000032E8" w:rsidRPr="00387B61" w14:paraId="64693249"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top w:val="single" w:sz="4" w:space="0" w:color="FFFFFF" w:themeColor="background1"/>
            </w:tcBorders>
          </w:tcPr>
          <w:p w14:paraId="5B797B19" w14:textId="77777777" w:rsidR="000032E8" w:rsidRPr="00387B61" w:rsidRDefault="000032E8" w:rsidP="000032E8">
            <w:pPr>
              <w:pStyle w:val="Tablebodytextnospaceafter"/>
            </w:pPr>
            <w:r w:rsidRPr="00387B61">
              <w:t>% of complaints completed within 6 months</w:t>
            </w:r>
            <w:r w:rsidRPr="00387B61">
              <w:rPr>
                <w:rStyle w:val="FootnoteReference"/>
              </w:rPr>
              <w:footnoteReference w:id="79"/>
            </w:r>
            <w:r w:rsidRPr="00387B61">
              <w:rPr>
                <w:rStyle w:val="FootnoteReference"/>
              </w:rPr>
              <w:t xml:space="preserve"> </w:t>
            </w:r>
            <w:r w:rsidRPr="00387B61">
              <w:t>of receipt</w:t>
            </w:r>
            <w:r>
              <w:t xml:space="preserve"> (amended measure)</w:t>
            </w:r>
          </w:p>
        </w:tc>
        <w:tc>
          <w:tcPr>
            <w:tcW w:w="1127" w:type="dxa"/>
          </w:tcPr>
          <w:p w14:paraId="5E746524" w14:textId="77777777" w:rsidR="000032E8" w:rsidRPr="00387B61" w:rsidRDefault="000032E8" w:rsidP="000032E8">
            <w:pPr>
              <w:pStyle w:val="Tablebodytextnospaceafter"/>
              <w:jc w:val="right"/>
            </w:pPr>
            <w:r w:rsidRPr="00387B61">
              <w:t>80%</w:t>
            </w:r>
          </w:p>
        </w:tc>
        <w:tc>
          <w:tcPr>
            <w:tcW w:w="1127" w:type="dxa"/>
          </w:tcPr>
          <w:p w14:paraId="325907F8" w14:textId="77777777" w:rsidR="000032E8" w:rsidRPr="00A65032" w:rsidRDefault="000032E8" w:rsidP="000032E8">
            <w:pPr>
              <w:pStyle w:val="Tablebodytextnospaceafter"/>
              <w:jc w:val="right"/>
              <w:rPr>
                <w:rStyle w:val="Emphasis"/>
              </w:rPr>
            </w:pPr>
            <w:r w:rsidRPr="00A65032">
              <w:rPr>
                <w:rStyle w:val="Emphasis"/>
              </w:rPr>
              <w:t>85</w:t>
            </w:r>
            <w:r w:rsidRPr="00C468D8">
              <w:rPr>
                <w:rStyle w:val="Emphasis"/>
              </w:rPr>
              <w:t>%</w:t>
            </w:r>
          </w:p>
        </w:tc>
        <w:tc>
          <w:tcPr>
            <w:tcW w:w="1128" w:type="dxa"/>
          </w:tcPr>
          <w:p w14:paraId="1C939288" w14:textId="77777777" w:rsidR="000032E8" w:rsidRPr="00387B61" w:rsidRDefault="000032E8" w:rsidP="000032E8">
            <w:pPr>
              <w:pStyle w:val="Tablebodytextnospaceafter"/>
              <w:jc w:val="right"/>
            </w:pPr>
            <w:r w:rsidRPr="00387B61">
              <w:t>8</w:t>
            </w:r>
            <w:r>
              <w:t>8</w:t>
            </w:r>
            <w:r w:rsidRPr="00387B61">
              <w:t>%</w:t>
            </w:r>
          </w:p>
        </w:tc>
      </w:tr>
      <w:tr w:rsidR="000032E8" w:rsidRPr="00387B61" w14:paraId="246D3500"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tcBorders>
          </w:tcPr>
          <w:p w14:paraId="32BB1447" w14:textId="77777777" w:rsidR="000032E8" w:rsidRPr="00387B61" w:rsidRDefault="000032E8" w:rsidP="000032E8">
            <w:pPr>
              <w:pStyle w:val="Tablebodytextnospaceafter"/>
            </w:pPr>
            <w:r w:rsidRPr="00387B61">
              <w:t>% of complaints completed within 12 months</w:t>
            </w:r>
            <w:r w:rsidRPr="00387B61">
              <w:rPr>
                <w:rStyle w:val="FootnoteReference"/>
              </w:rPr>
              <w:footnoteReference w:id="80"/>
            </w:r>
            <w:r w:rsidRPr="00387B61">
              <w:rPr>
                <w:rStyle w:val="FootnoteReference"/>
              </w:rPr>
              <w:t xml:space="preserve"> </w:t>
            </w:r>
            <w:r w:rsidRPr="00387B61">
              <w:t>of receipt</w:t>
            </w:r>
            <w:r>
              <w:t xml:space="preserve"> (amended measure)</w:t>
            </w:r>
          </w:p>
        </w:tc>
        <w:tc>
          <w:tcPr>
            <w:tcW w:w="1127" w:type="dxa"/>
          </w:tcPr>
          <w:p w14:paraId="4E05C800" w14:textId="77777777" w:rsidR="000032E8" w:rsidRPr="00387B61" w:rsidRDefault="000032E8" w:rsidP="000032E8">
            <w:pPr>
              <w:pStyle w:val="Tablebodytextnospaceafter"/>
              <w:jc w:val="right"/>
            </w:pPr>
            <w:r w:rsidRPr="00387B61">
              <w:t>95%</w:t>
            </w:r>
          </w:p>
        </w:tc>
        <w:tc>
          <w:tcPr>
            <w:tcW w:w="1127" w:type="dxa"/>
          </w:tcPr>
          <w:p w14:paraId="4ED68A88" w14:textId="77777777" w:rsidR="000032E8" w:rsidRPr="00A65032" w:rsidRDefault="000032E8" w:rsidP="000032E8">
            <w:pPr>
              <w:pStyle w:val="Tablebodytextnospaceafter"/>
              <w:jc w:val="right"/>
              <w:rPr>
                <w:rStyle w:val="Emphasis"/>
              </w:rPr>
            </w:pPr>
            <w:r w:rsidRPr="00A65032">
              <w:rPr>
                <w:rStyle w:val="Emphasis"/>
              </w:rPr>
              <w:t>95%</w:t>
            </w:r>
          </w:p>
        </w:tc>
        <w:tc>
          <w:tcPr>
            <w:tcW w:w="1128" w:type="dxa"/>
          </w:tcPr>
          <w:p w14:paraId="178D57C7" w14:textId="77777777" w:rsidR="000032E8" w:rsidRPr="00387B61" w:rsidRDefault="000032E8" w:rsidP="000032E8">
            <w:pPr>
              <w:pStyle w:val="Tablebodytextnospaceafter"/>
              <w:jc w:val="right"/>
            </w:pPr>
            <w:r w:rsidRPr="00387B61">
              <w:t>9</w:t>
            </w:r>
            <w:r>
              <w:t>7</w:t>
            </w:r>
            <w:r w:rsidRPr="00387B61">
              <w:t>%</w:t>
            </w:r>
          </w:p>
        </w:tc>
      </w:tr>
      <w:tr w:rsidR="000032E8" w:rsidRPr="00387B61" w14:paraId="6134881F" w14:textId="77777777" w:rsidTr="00222C74">
        <w:trPr>
          <w:cnfStyle w:val="000000010000" w:firstRow="0" w:lastRow="0" w:firstColumn="0" w:lastColumn="0" w:oddVBand="0" w:evenVBand="0" w:oddHBand="0" w:evenHBand="1" w:firstRowFirstColumn="0" w:firstRowLastColumn="0" w:lastRowFirstColumn="0" w:lastRowLastColumn="0"/>
          <w:cantSplit/>
          <w:trHeight w:val="367"/>
        </w:trPr>
        <w:tc>
          <w:tcPr>
            <w:tcW w:w="6126" w:type="dxa"/>
            <w:tcBorders>
              <w:top w:val="single" w:sz="4" w:space="0" w:color="FFFFFF" w:themeColor="background1"/>
            </w:tcBorders>
          </w:tcPr>
          <w:p w14:paraId="0C971453" w14:textId="77777777" w:rsidR="000032E8" w:rsidRPr="00387B61" w:rsidRDefault="000032E8" w:rsidP="000032E8">
            <w:pPr>
              <w:pStyle w:val="Tablebodytextnospaceafter"/>
              <w:rPr>
                <w:sz w:val="20"/>
                <w:szCs w:val="20"/>
              </w:rPr>
            </w:pPr>
            <w:r w:rsidRPr="00387B61">
              <w:t>% of other contacts completed within 1 month</w:t>
            </w:r>
            <w:r w:rsidRPr="00387B61">
              <w:rPr>
                <w:rStyle w:val="FootnoteReference"/>
              </w:rPr>
              <w:footnoteReference w:id="81"/>
            </w:r>
            <w:r w:rsidRPr="00387B61">
              <w:rPr>
                <w:rStyle w:val="FootnoteReference"/>
              </w:rPr>
              <w:t xml:space="preserve"> </w:t>
            </w:r>
            <w:r w:rsidRPr="00387B61">
              <w:t xml:space="preserve">from date of receipt </w:t>
            </w:r>
          </w:p>
        </w:tc>
        <w:tc>
          <w:tcPr>
            <w:tcW w:w="1127" w:type="dxa"/>
          </w:tcPr>
          <w:p w14:paraId="1AF36708" w14:textId="77777777" w:rsidR="000032E8" w:rsidRPr="00387B61" w:rsidRDefault="000032E8" w:rsidP="000032E8">
            <w:pPr>
              <w:pStyle w:val="Tablebodytextnospaceafter"/>
              <w:jc w:val="right"/>
            </w:pPr>
            <w:r w:rsidRPr="00387B61">
              <w:t>99%</w:t>
            </w:r>
          </w:p>
        </w:tc>
        <w:tc>
          <w:tcPr>
            <w:tcW w:w="1127" w:type="dxa"/>
          </w:tcPr>
          <w:p w14:paraId="06C45E33" w14:textId="77777777" w:rsidR="000032E8" w:rsidRPr="00A65032" w:rsidRDefault="000032E8" w:rsidP="000032E8">
            <w:pPr>
              <w:pStyle w:val="Tablebodytextnospaceafter"/>
              <w:jc w:val="right"/>
              <w:rPr>
                <w:rStyle w:val="Emphasis"/>
              </w:rPr>
            </w:pPr>
            <w:r w:rsidRPr="00A65032">
              <w:rPr>
                <w:rStyle w:val="Emphasis"/>
              </w:rPr>
              <w:t>99%</w:t>
            </w:r>
          </w:p>
        </w:tc>
        <w:tc>
          <w:tcPr>
            <w:tcW w:w="1128" w:type="dxa"/>
          </w:tcPr>
          <w:p w14:paraId="365E7829" w14:textId="77777777" w:rsidR="000032E8" w:rsidRPr="00793A88" w:rsidRDefault="000032E8" w:rsidP="000032E8">
            <w:pPr>
              <w:pStyle w:val="Tablebodytextnospaceafter"/>
              <w:jc w:val="right"/>
              <w:rPr>
                <w:rStyle w:val="Emphasis"/>
                <w:b w:val="0"/>
              </w:rPr>
            </w:pPr>
            <w:r w:rsidRPr="00793A88">
              <w:rPr>
                <w:rStyle w:val="Emphasis"/>
                <w:b w:val="0"/>
              </w:rPr>
              <w:t>99%</w:t>
            </w:r>
          </w:p>
        </w:tc>
      </w:tr>
      <w:tr w:rsidR="000032E8" w:rsidRPr="00387B61" w14:paraId="03A09A4D"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tcBorders>
          </w:tcPr>
          <w:p w14:paraId="3756F530" w14:textId="77777777" w:rsidR="000032E8" w:rsidRPr="00387B61" w:rsidRDefault="000032E8" w:rsidP="000032E8">
            <w:pPr>
              <w:pStyle w:val="Tablebodytextnospaceafter"/>
            </w:pPr>
            <w:r w:rsidRPr="00387B61">
              <w:t>% of complaints resolved prior to formal opinion</w:t>
            </w:r>
            <w:r w:rsidRPr="00387B61">
              <w:rPr>
                <w:rStyle w:val="FootnoteReference"/>
              </w:rPr>
              <w:footnoteReference w:id="82"/>
            </w:r>
            <w:r w:rsidRPr="00387B61">
              <w:rPr>
                <w:rStyle w:val="FootnoteReference"/>
              </w:rPr>
              <w:t xml:space="preserve"> </w:t>
            </w:r>
          </w:p>
        </w:tc>
        <w:tc>
          <w:tcPr>
            <w:tcW w:w="1127" w:type="dxa"/>
          </w:tcPr>
          <w:p w14:paraId="1E0909CE" w14:textId="77777777" w:rsidR="000032E8" w:rsidRPr="00387B61" w:rsidRDefault="000032E8" w:rsidP="000032E8">
            <w:pPr>
              <w:pStyle w:val="Tablebodytextnospaceafter"/>
              <w:jc w:val="right"/>
            </w:pPr>
            <w:r>
              <w:t>40</w:t>
            </w:r>
            <w:r w:rsidRPr="00387B61">
              <w:t>%</w:t>
            </w:r>
          </w:p>
        </w:tc>
        <w:tc>
          <w:tcPr>
            <w:tcW w:w="1127" w:type="dxa"/>
          </w:tcPr>
          <w:p w14:paraId="5BC9F5BB" w14:textId="77777777" w:rsidR="000032E8" w:rsidRPr="00D94D73" w:rsidRDefault="000032E8" w:rsidP="000032E8">
            <w:pPr>
              <w:pStyle w:val="Tablebodytextnospaceafter"/>
              <w:jc w:val="right"/>
              <w:rPr>
                <w:rStyle w:val="Emphasis"/>
                <w:highlight w:val="yellow"/>
              </w:rPr>
            </w:pPr>
            <w:r w:rsidRPr="00311EB4">
              <w:rPr>
                <w:rStyle w:val="Emphasis"/>
              </w:rPr>
              <w:t>43%</w:t>
            </w:r>
          </w:p>
        </w:tc>
        <w:tc>
          <w:tcPr>
            <w:tcW w:w="1128" w:type="dxa"/>
          </w:tcPr>
          <w:p w14:paraId="6DE4F53A" w14:textId="77777777" w:rsidR="000032E8" w:rsidRPr="003008F3" w:rsidRDefault="000032E8" w:rsidP="000032E8">
            <w:pPr>
              <w:pStyle w:val="Tablebodytextnospaceafter"/>
              <w:jc w:val="right"/>
              <w:rPr>
                <w:rStyle w:val="Italics"/>
                <w:i w:val="0"/>
              </w:rPr>
            </w:pPr>
            <w:r>
              <w:rPr>
                <w:rStyle w:val="Italics"/>
                <w:i w:val="0"/>
              </w:rPr>
              <w:t>46%</w:t>
            </w:r>
          </w:p>
        </w:tc>
      </w:tr>
      <w:tr w:rsidR="000032E8" w:rsidRPr="00387B61" w14:paraId="346D9D1E"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top w:val="single" w:sz="4" w:space="0" w:color="FFFFFF" w:themeColor="background1"/>
            </w:tcBorders>
          </w:tcPr>
          <w:p w14:paraId="434C2290" w14:textId="77777777" w:rsidR="000032E8" w:rsidRPr="00387B61" w:rsidRDefault="000032E8" w:rsidP="000032E8">
            <w:pPr>
              <w:pStyle w:val="Tablebodytextnospaceafter"/>
            </w:pPr>
            <w:r w:rsidRPr="00387B61">
              <w:t>% of complainants satisfied with our service</w:t>
            </w:r>
            <w:r>
              <w:t xml:space="preserve"> (amended measure)</w:t>
            </w:r>
            <w:r w:rsidRPr="00387B61">
              <w:rPr>
                <w:rStyle w:val="FootnoteReference"/>
              </w:rPr>
              <w:footnoteReference w:id="83"/>
            </w:r>
          </w:p>
        </w:tc>
        <w:tc>
          <w:tcPr>
            <w:tcW w:w="1127" w:type="dxa"/>
          </w:tcPr>
          <w:p w14:paraId="5AD6B6B1" w14:textId="77777777" w:rsidR="000032E8" w:rsidRPr="00387B61" w:rsidRDefault="000032E8" w:rsidP="000032E8">
            <w:pPr>
              <w:pStyle w:val="Tablebodytextnospaceafter"/>
              <w:jc w:val="right"/>
            </w:pPr>
            <w:r w:rsidRPr="00387B61">
              <w:t>60%</w:t>
            </w:r>
          </w:p>
        </w:tc>
        <w:tc>
          <w:tcPr>
            <w:tcW w:w="1127" w:type="dxa"/>
          </w:tcPr>
          <w:p w14:paraId="7A2B8FF8" w14:textId="77777777" w:rsidR="000032E8" w:rsidRPr="003C251C" w:rsidRDefault="000032E8" w:rsidP="000032E8">
            <w:pPr>
              <w:pStyle w:val="Tablebodytextnospaceafter"/>
              <w:jc w:val="right"/>
              <w:rPr>
                <w:rStyle w:val="Emphasis"/>
                <w:highlight w:val="yellow"/>
              </w:rPr>
            </w:pPr>
            <w:r w:rsidRPr="00A65032">
              <w:rPr>
                <w:rStyle w:val="Emphasis"/>
              </w:rPr>
              <w:t>55</w:t>
            </w:r>
            <w:r w:rsidRPr="00C468D8">
              <w:rPr>
                <w:rStyle w:val="Emphasis"/>
              </w:rPr>
              <w:t>%</w:t>
            </w:r>
          </w:p>
        </w:tc>
        <w:tc>
          <w:tcPr>
            <w:tcW w:w="1128" w:type="dxa"/>
          </w:tcPr>
          <w:p w14:paraId="743F1DF8" w14:textId="77777777" w:rsidR="000032E8" w:rsidRPr="00793A88" w:rsidRDefault="000032E8" w:rsidP="000032E8">
            <w:pPr>
              <w:pStyle w:val="Tablebodytextnospaceafter"/>
              <w:jc w:val="right"/>
              <w:rPr>
                <w:rStyle w:val="Emphasis"/>
                <w:b w:val="0"/>
              </w:rPr>
            </w:pPr>
            <w:r w:rsidRPr="00793A88">
              <w:rPr>
                <w:rStyle w:val="Emphasis"/>
                <w:b w:val="0"/>
              </w:rPr>
              <w:t>41%</w:t>
            </w:r>
          </w:p>
        </w:tc>
      </w:tr>
      <w:tr w:rsidR="000032E8" w:rsidRPr="00387B61" w14:paraId="4D2F1135"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tcBorders>
          </w:tcPr>
          <w:p w14:paraId="6C3162A2" w14:textId="77777777" w:rsidR="000032E8" w:rsidRPr="00B1684D" w:rsidRDefault="000032E8" w:rsidP="000032E8">
            <w:pPr>
              <w:pStyle w:val="Tablebodytextnospaceafter"/>
              <w:keepNext/>
            </w:pPr>
            <w:r w:rsidRPr="00B1684D">
              <w:t>% of completed complaints and other contacts meeting internal quality standards, following random quality assurance check</w:t>
            </w:r>
            <w:r w:rsidRPr="00B1684D">
              <w:rPr>
                <w:rStyle w:val="FootnoteReference"/>
              </w:rPr>
              <w:footnoteReference w:id="84"/>
            </w:r>
          </w:p>
        </w:tc>
        <w:tc>
          <w:tcPr>
            <w:tcW w:w="1127" w:type="dxa"/>
          </w:tcPr>
          <w:p w14:paraId="3DA1DFC8" w14:textId="77777777" w:rsidR="000032E8" w:rsidRPr="00B1684D" w:rsidRDefault="000032E8" w:rsidP="000032E8">
            <w:pPr>
              <w:pStyle w:val="Tablebodytextnospaceafter"/>
              <w:jc w:val="right"/>
            </w:pPr>
            <w:r w:rsidRPr="00B1684D">
              <w:t>8</w:t>
            </w:r>
            <w:r>
              <w:t>5</w:t>
            </w:r>
            <w:r w:rsidRPr="00B1684D">
              <w:t>%</w:t>
            </w:r>
          </w:p>
        </w:tc>
        <w:tc>
          <w:tcPr>
            <w:tcW w:w="1127" w:type="dxa"/>
          </w:tcPr>
          <w:p w14:paraId="0612CA1C" w14:textId="77777777" w:rsidR="000032E8" w:rsidRPr="00F738D6" w:rsidRDefault="000032E8" w:rsidP="000032E8">
            <w:pPr>
              <w:pStyle w:val="Tablebodytextnospaceafter"/>
              <w:jc w:val="right"/>
              <w:rPr>
                <w:rStyle w:val="Italics"/>
              </w:rPr>
            </w:pPr>
            <w:r w:rsidRPr="00A5509B">
              <w:rPr>
                <w:rStyle w:val="Emphasis"/>
              </w:rPr>
              <w:t>82</w:t>
            </w:r>
            <w:r>
              <w:rPr>
                <w:rStyle w:val="Emphasis"/>
              </w:rPr>
              <w:t>%</w:t>
            </w:r>
          </w:p>
        </w:tc>
        <w:tc>
          <w:tcPr>
            <w:tcW w:w="1128" w:type="dxa"/>
          </w:tcPr>
          <w:p w14:paraId="19E04E78" w14:textId="77777777" w:rsidR="000032E8" w:rsidRPr="00793A88" w:rsidRDefault="000032E8" w:rsidP="000032E8">
            <w:pPr>
              <w:pStyle w:val="Tablebodytextnospaceafter"/>
              <w:jc w:val="right"/>
              <w:rPr>
                <w:b/>
              </w:rPr>
            </w:pPr>
            <w:r>
              <w:rPr>
                <w:rStyle w:val="Emphasis"/>
                <w:b w:val="0"/>
              </w:rPr>
              <w:t>80</w:t>
            </w:r>
            <w:r w:rsidRPr="00793A88">
              <w:rPr>
                <w:rStyle w:val="Emphasis"/>
                <w:b w:val="0"/>
              </w:rPr>
              <w:t>%</w:t>
            </w:r>
          </w:p>
        </w:tc>
      </w:tr>
      <w:tr w:rsidR="000032E8" w:rsidRPr="00387B61" w14:paraId="2E8F3583"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top w:val="single" w:sz="4" w:space="0" w:color="FFFFFF" w:themeColor="background1"/>
            </w:tcBorders>
          </w:tcPr>
          <w:p w14:paraId="21B40043" w14:textId="77777777" w:rsidR="000032E8" w:rsidRPr="00F738D6" w:rsidRDefault="000032E8" w:rsidP="000032E8">
            <w:pPr>
              <w:pStyle w:val="Tablebodytextnospaceafter"/>
            </w:pPr>
            <w:r w:rsidRPr="00F738D6">
              <w:t># of official information practice investigations completed</w:t>
            </w:r>
          </w:p>
        </w:tc>
        <w:tc>
          <w:tcPr>
            <w:tcW w:w="1127" w:type="dxa"/>
          </w:tcPr>
          <w:p w14:paraId="117AD44C" w14:textId="77777777" w:rsidR="000032E8" w:rsidRPr="00F738D6" w:rsidRDefault="000032E8" w:rsidP="000032E8">
            <w:pPr>
              <w:pStyle w:val="Tablebodytextnospaceafter"/>
              <w:jc w:val="right"/>
            </w:pPr>
            <w:r>
              <w:t>8</w:t>
            </w:r>
          </w:p>
        </w:tc>
        <w:tc>
          <w:tcPr>
            <w:tcW w:w="1127" w:type="dxa"/>
          </w:tcPr>
          <w:p w14:paraId="302F25CD" w14:textId="77777777" w:rsidR="000032E8" w:rsidRPr="00F738D6" w:rsidRDefault="000032E8" w:rsidP="000032E8">
            <w:pPr>
              <w:pStyle w:val="Tablebodytextnospaceafter"/>
              <w:jc w:val="right"/>
              <w:rPr>
                <w:rStyle w:val="Emphasis"/>
              </w:rPr>
            </w:pPr>
            <w:r>
              <w:rPr>
                <w:rStyle w:val="Emphasis"/>
              </w:rPr>
              <w:t>3</w:t>
            </w:r>
            <w:r>
              <w:rPr>
                <w:rStyle w:val="FootnoteReference"/>
                <w:b/>
                <w:bCs/>
                <w:iCs/>
              </w:rPr>
              <w:footnoteReference w:id="85"/>
            </w:r>
          </w:p>
        </w:tc>
        <w:tc>
          <w:tcPr>
            <w:tcW w:w="1128" w:type="dxa"/>
          </w:tcPr>
          <w:p w14:paraId="1BC9FA2C" w14:textId="77777777" w:rsidR="000032E8" w:rsidRPr="00F738D6" w:rsidRDefault="000032E8" w:rsidP="000032E8">
            <w:pPr>
              <w:pStyle w:val="Tablebodytextnospaceafter"/>
              <w:jc w:val="right"/>
              <w:rPr>
                <w:rStyle w:val="Emphasis"/>
                <w:b w:val="0"/>
              </w:rPr>
            </w:pPr>
            <w:r>
              <w:t>9</w:t>
            </w:r>
          </w:p>
        </w:tc>
      </w:tr>
      <w:tr w:rsidR="000032E8" w:rsidRPr="00387B61" w14:paraId="55EAC837"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tcBorders>
          </w:tcPr>
          <w:p w14:paraId="4704C006" w14:textId="77777777" w:rsidR="000032E8" w:rsidRPr="00387B61" w:rsidRDefault="000032E8" w:rsidP="000032E8">
            <w:pPr>
              <w:pStyle w:val="Tablebodytextnospaceafter"/>
            </w:pPr>
            <w:r w:rsidRPr="00387B61">
              <w:t># of</w:t>
            </w:r>
            <w:r>
              <w:t xml:space="preserve"> formal interventions</w:t>
            </w:r>
            <w:r>
              <w:rPr>
                <w:rStyle w:val="FootnoteReference"/>
              </w:rPr>
              <w:footnoteReference w:id="86"/>
            </w:r>
            <w:r w:rsidRPr="00387B61">
              <w:t xml:space="preserve"> for systemic improvement completed </w:t>
            </w:r>
            <w:r>
              <w:t>(amended measure)</w:t>
            </w:r>
          </w:p>
        </w:tc>
        <w:tc>
          <w:tcPr>
            <w:tcW w:w="1127" w:type="dxa"/>
          </w:tcPr>
          <w:p w14:paraId="1C47936D" w14:textId="77777777" w:rsidR="000032E8" w:rsidRPr="00387B61" w:rsidRDefault="000032E8" w:rsidP="000032E8">
            <w:pPr>
              <w:pStyle w:val="Tablebodytextnospaceafter"/>
              <w:jc w:val="right"/>
            </w:pPr>
            <w:r w:rsidRPr="00387B61">
              <w:t>2–</w:t>
            </w:r>
            <w:r>
              <w:t>5</w:t>
            </w:r>
          </w:p>
        </w:tc>
        <w:tc>
          <w:tcPr>
            <w:tcW w:w="1127" w:type="dxa"/>
          </w:tcPr>
          <w:p w14:paraId="00EF8FFF" w14:textId="77777777" w:rsidR="000032E8" w:rsidRPr="00F738D6" w:rsidRDefault="000032E8" w:rsidP="000032E8">
            <w:pPr>
              <w:pStyle w:val="Tablebodytextnospaceafter"/>
              <w:jc w:val="right"/>
              <w:rPr>
                <w:rStyle w:val="Emphasis"/>
              </w:rPr>
            </w:pPr>
            <w:r>
              <w:rPr>
                <w:rStyle w:val="Emphasis"/>
              </w:rPr>
              <w:t>3</w:t>
            </w:r>
          </w:p>
        </w:tc>
        <w:tc>
          <w:tcPr>
            <w:tcW w:w="1128" w:type="dxa"/>
          </w:tcPr>
          <w:p w14:paraId="0173E37C" w14:textId="77777777" w:rsidR="000032E8" w:rsidRPr="00793A88" w:rsidRDefault="000032E8" w:rsidP="000032E8">
            <w:pPr>
              <w:pStyle w:val="Tablebodytextnospaceafter"/>
              <w:jc w:val="right"/>
              <w:rPr>
                <w:rStyle w:val="Emphasis"/>
                <w:b w:val="0"/>
              </w:rPr>
            </w:pPr>
            <w:r>
              <w:rPr>
                <w:rStyle w:val="Emphasis"/>
                <w:b w:val="0"/>
              </w:rPr>
              <w:t>0</w:t>
            </w:r>
          </w:p>
        </w:tc>
      </w:tr>
      <w:tr w:rsidR="000032E8" w:rsidRPr="00387B61" w14:paraId="5320F1CA"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top w:val="single" w:sz="4" w:space="0" w:color="FFFFFF" w:themeColor="background1"/>
            </w:tcBorders>
          </w:tcPr>
          <w:p w14:paraId="2B0FC5DA" w14:textId="77777777" w:rsidR="000032E8" w:rsidRPr="00387B61" w:rsidRDefault="000032E8" w:rsidP="000032E8">
            <w:pPr>
              <w:pStyle w:val="Tablebodytextnospaceafter"/>
            </w:pPr>
            <w:r w:rsidRPr="00387B61">
              <w:t>% of OA and official information recommendations accepted</w:t>
            </w:r>
          </w:p>
        </w:tc>
        <w:tc>
          <w:tcPr>
            <w:tcW w:w="1127" w:type="dxa"/>
          </w:tcPr>
          <w:p w14:paraId="1725FB96" w14:textId="77777777" w:rsidR="000032E8" w:rsidRPr="00387B61" w:rsidRDefault="000032E8" w:rsidP="000032E8">
            <w:pPr>
              <w:pStyle w:val="Tablebodytextnospaceafter"/>
              <w:jc w:val="right"/>
            </w:pPr>
            <w:r w:rsidRPr="00387B61">
              <w:t>80%</w:t>
            </w:r>
          </w:p>
        </w:tc>
        <w:tc>
          <w:tcPr>
            <w:tcW w:w="1127" w:type="dxa"/>
          </w:tcPr>
          <w:p w14:paraId="27317698" w14:textId="200FA29D" w:rsidR="000032E8" w:rsidRDefault="002114C2" w:rsidP="000032E8">
            <w:pPr>
              <w:pStyle w:val="Tablebodytextnospaceafter"/>
              <w:jc w:val="right"/>
              <w:rPr>
                <w:rStyle w:val="Emphasis"/>
              </w:rPr>
            </w:pPr>
            <w:r>
              <w:rPr>
                <w:rStyle w:val="Emphasis"/>
              </w:rPr>
              <w:t>100</w:t>
            </w:r>
            <w:r w:rsidR="000032E8" w:rsidRPr="008F79F2">
              <w:rPr>
                <w:rStyle w:val="Emphasis"/>
              </w:rPr>
              <w:t>%</w:t>
            </w:r>
          </w:p>
          <w:p w14:paraId="2F9F7B8A" w14:textId="77777777" w:rsidR="000032E8" w:rsidRPr="00475098" w:rsidRDefault="000032E8" w:rsidP="000032E8">
            <w:pPr>
              <w:pStyle w:val="Tablebodytextnospaceafter"/>
              <w:jc w:val="right"/>
              <w:rPr>
                <w:rStyle w:val="Emphasis"/>
              </w:rPr>
            </w:pPr>
          </w:p>
        </w:tc>
        <w:tc>
          <w:tcPr>
            <w:tcW w:w="1128" w:type="dxa"/>
          </w:tcPr>
          <w:p w14:paraId="14531A34" w14:textId="77777777" w:rsidR="000032E8" w:rsidRPr="00793A88" w:rsidRDefault="000032E8" w:rsidP="000032E8">
            <w:pPr>
              <w:pStyle w:val="Tablebodytextnospaceafter"/>
              <w:jc w:val="right"/>
              <w:rPr>
                <w:b/>
              </w:rPr>
            </w:pPr>
            <w:r w:rsidRPr="00793A88">
              <w:rPr>
                <w:rStyle w:val="Emphasis"/>
                <w:b w:val="0"/>
              </w:rPr>
              <w:t>9</w:t>
            </w:r>
            <w:r>
              <w:rPr>
                <w:rStyle w:val="Emphasis"/>
                <w:b w:val="0"/>
              </w:rPr>
              <w:t>8</w:t>
            </w:r>
            <w:r w:rsidRPr="00793A88">
              <w:rPr>
                <w:rStyle w:val="Emphasis"/>
                <w:b w:val="0"/>
              </w:rPr>
              <w:t>%</w:t>
            </w:r>
          </w:p>
        </w:tc>
      </w:tr>
      <w:tr w:rsidR="000032E8" w:rsidRPr="00387B61" w14:paraId="20DA7B67"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tcBorders>
          </w:tcPr>
          <w:p w14:paraId="31E8B55D" w14:textId="77777777" w:rsidR="000032E8" w:rsidRPr="00387B61" w:rsidRDefault="000032E8" w:rsidP="000032E8">
            <w:pPr>
              <w:pStyle w:val="Tablebodytextnospaceafter"/>
            </w:pPr>
            <w:r w:rsidRPr="00387B61">
              <w:t>% of public sector agencies satisfied the Ombudsman’s opinions are fair</w:t>
            </w:r>
            <w:r>
              <w:rPr>
                <w:rStyle w:val="FootnoteReference"/>
              </w:rPr>
              <w:footnoteReference w:id="87"/>
            </w:r>
          </w:p>
        </w:tc>
        <w:tc>
          <w:tcPr>
            <w:tcW w:w="1127" w:type="dxa"/>
          </w:tcPr>
          <w:p w14:paraId="4782889A" w14:textId="77777777" w:rsidR="000032E8" w:rsidRPr="00387B61" w:rsidRDefault="000032E8" w:rsidP="000032E8">
            <w:pPr>
              <w:pStyle w:val="Tablebodytextnospaceafter"/>
              <w:jc w:val="right"/>
            </w:pPr>
            <w:r w:rsidRPr="00387B61">
              <w:t>75%</w:t>
            </w:r>
          </w:p>
        </w:tc>
        <w:tc>
          <w:tcPr>
            <w:tcW w:w="1127" w:type="dxa"/>
          </w:tcPr>
          <w:p w14:paraId="75BF5149" w14:textId="77777777" w:rsidR="000032E8" w:rsidRPr="00F738D6" w:rsidRDefault="000032E8" w:rsidP="000032E8">
            <w:pPr>
              <w:pStyle w:val="Tablebodytextnospaceafter"/>
              <w:spacing w:line="360" w:lineRule="auto"/>
              <w:jc w:val="right"/>
              <w:rPr>
                <w:rStyle w:val="Emphasis"/>
              </w:rPr>
            </w:pPr>
            <w:r>
              <w:rPr>
                <w:rStyle w:val="Emphasis"/>
              </w:rPr>
              <w:t>79%</w:t>
            </w:r>
          </w:p>
        </w:tc>
        <w:tc>
          <w:tcPr>
            <w:tcW w:w="1128" w:type="dxa"/>
          </w:tcPr>
          <w:p w14:paraId="479E5973" w14:textId="77777777" w:rsidR="000032E8" w:rsidRPr="00793A88" w:rsidRDefault="000032E8" w:rsidP="000032E8">
            <w:pPr>
              <w:pStyle w:val="Tablebodytextnospaceafter"/>
              <w:jc w:val="right"/>
              <w:rPr>
                <w:rStyle w:val="Emphasis"/>
                <w:b w:val="0"/>
              </w:rPr>
            </w:pPr>
            <w:r w:rsidRPr="00793A88">
              <w:rPr>
                <w:rStyle w:val="Emphasis"/>
                <w:b w:val="0"/>
              </w:rPr>
              <w:t>6</w:t>
            </w:r>
            <w:r>
              <w:rPr>
                <w:rStyle w:val="Emphasis"/>
                <w:b w:val="0"/>
              </w:rPr>
              <w:t>8</w:t>
            </w:r>
            <w:r w:rsidRPr="00793A88">
              <w:rPr>
                <w:rStyle w:val="Emphasis"/>
                <w:b w:val="0"/>
              </w:rPr>
              <w:t>%</w:t>
            </w:r>
          </w:p>
        </w:tc>
      </w:tr>
      <w:tr w:rsidR="00401965" w:rsidRPr="00387B61" w14:paraId="01879071" w14:textId="77777777" w:rsidTr="00401965">
        <w:trPr>
          <w:cnfStyle w:val="000000010000" w:firstRow="0" w:lastRow="0" w:firstColumn="0" w:lastColumn="0" w:oddVBand="0" w:evenVBand="0" w:oddHBand="0" w:evenHBand="1" w:firstRowFirstColumn="0" w:firstRowLastColumn="0" w:lastRowFirstColumn="0" w:lastRowLastColumn="0"/>
          <w:cantSplit/>
          <w:trHeight w:val="60"/>
        </w:trPr>
        <w:tc>
          <w:tcPr>
            <w:tcW w:w="6126" w:type="dxa"/>
            <w:shd w:val="clear" w:color="auto" w:fill="BFBFBF"/>
          </w:tcPr>
          <w:p w14:paraId="521DCBC2" w14:textId="77777777" w:rsidR="00F90EEC" w:rsidRPr="00387B61" w:rsidRDefault="00F90EEC" w:rsidP="000032E8">
            <w:pPr>
              <w:pStyle w:val="Tablebodytextnospaceafter"/>
              <w:rPr>
                <w:rStyle w:val="Emphasis"/>
              </w:rPr>
            </w:pPr>
            <w:r w:rsidRPr="00387B61">
              <w:rPr>
                <w:rStyle w:val="Emphasis"/>
              </w:rPr>
              <w:t>Output 9 – Learn from, and assist to develop, international best practice</w:t>
            </w:r>
          </w:p>
        </w:tc>
        <w:tc>
          <w:tcPr>
            <w:tcW w:w="1127" w:type="dxa"/>
            <w:shd w:val="clear" w:color="auto" w:fill="BFBFBF"/>
          </w:tcPr>
          <w:p w14:paraId="5C1EA206" w14:textId="77777777" w:rsidR="00F90EEC" w:rsidRPr="00387B61" w:rsidRDefault="00F90EEC" w:rsidP="000032E8">
            <w:pPr>
              <w:pStyle w:val="Tablebodytextnospaceafter"/>
              <w:rPr>
                <w:rStyle w:val="Emphasis"/>
              </w:rPr>
            </w:pPr>
          </w:p>
        </w:tc>
        <w:tc>
          <w:tcPr>
            <w:tcW w:w="1127" w:type="dxa"/>
            <w:shd w:val="clear" w:color="auto" w:fill="BFBFBF"/>
          </w:tcPr>
          <w:p w14:paraId="1E3AA423" w14:textId="77777777" w:rsidR="00F90EEC" w:rsidRPr="00387B61" w:rsidRDefault="00F90EEC" w:rsidP="000032E8">
            <w:pPr>
              <w:pStyle w:val="Tablebodytextnospaceafter"/>
              <w:rPr>
                <w:rStyle w:val="Emphasis"/>
              </w:rPr>
            </w:pPr>
          </w:p>
        </w:tc>
        <w:tc>
          <w:tcPr>
            <w:tcW w:w="1128" w:type="dxa"/>
            <w:shd w:val="clear" w:color="auto" w:fill="BFBFBF"/>
          </w:tcPr>
          <w:p w14:paraId="78BCE419" w14:textId="71FB55F7" w:rsidR="00F90EEC" w:rsidRPr="00387B61" w:rsidRDefault="00F90EEC" w:rsidP="000032E8">
            <w:pPr>
              <w:pStyle w:val="Tablebodytextnospaceafter"/>
              <w:rPr>
                <w:rStyle w:val="Emphasis"/>
              </w:rPr>
            </w:pPr>
          </w:p>
        </w:tc>
      </w:tr>
      <w:tr w:rsidR="00401965" w:rsidRPr="00387B61" w14:paraId="130A3E38" w14:textId="77777777" w:rsidTr="00401965">
        <w:trPr>
          <w:cnfStyle w:val="000000100000" w:firstRow="0" w:lastRow="0" w:firstColumn="0" w:lastColumn="0" w:oddVBand="0" w:evenVBand="0" w:oddHBand="1" w:evenHBand="0" w:firstRowFirstColumn="0" w:firstRowLastColumn="0" w:lastRowFirstColumn="0" w:lastRowLastColumn="0"/>
          <w:cantSplit/>
          <w:trHeight w:val="60"/>
        </w:trPr>
        <w:tc>
          <w:tcPr>
            <w:tcW w:w="6126" w:type="dxa"/>
            <w:shd w:val="clear" w:color="auto" w:fill="D3D3D3"/>
          </w:tcPr>
          <w:p w14:paraId="51272EB2" w14:textId="77777777" w:rsidR="00137107" w:rsidRPr="00387B61" w:rsidRDefault="00137107" w:rsidP="000032E8">
            <w:pPr>
              <w:pStyle w:val="Tablebodytextnospaceafter"/>
            </w:pPr>
            <w:r w:rsidRPr="00387B61">
              <w:t>Demand-driven measures</w:t>
            </w:r>
          </w:p>
        </w:tc>
        <w:tc>
          <w:tcPr>
            <w:tcW w:w="1127" w:type="dxa"/>
            <w:shd w:val="clear" w:color="auto" w:fill="D3D3D3"/>
          </w:tcPr>
          <w:p w14:paraId="6737499D" w14:textId="77777777" w:rsidR="00137107" w:rsidRPr="00387B61" w:rsidRDefault="00137107" w:rsidP="000032E8">
            <w:pPr>
              <w:pStyle w:val="Tablebodytextnospaceafter"/>
            </w:pPr>
          </w:p>
        </w:tc>
        <w:tc>
          <w:tcPr>
            <w:tcW w:w="1127" w:type="dxa"/>
            <w:shd w:val="clear" w:color="auto" w:fill="D3D3D3"/>
          </w:tcPr>
          <w:p w14:paraId="4F0FFBE7" w14:textId="77777777" w:rsidR="00137107" w:rsidRPr="00387B61" w:rsidRDefault="00137107" w:rsidP="000032E8">
            <w:pPr>
              <w:pStyle w:val="Tablebodytextnospaceafter"/>
            </w:pPr>
          </w:p>
        </w:tc>
        <w:tc>
          <w:tcPr>
            <w:tcW w:w="1128" w:type="dxa"/>
            <w:shd w:val="clear" w:color="auto" w:fill="D3D3D3"/>
          </w:tcPr>
          <w:p w14:paraId="48BCEE2E" w14:textId="1A768DB6" w:rsidR="00137107" w:rsidRPr="00387B61" w:rsidRDefault="00137107" w:rsidP="000032E8">
            <w:pPr>
              <w:pStyle w:val="Tablebodytextnospaceafter"/>
            </w:pPr>
          </w:p>
        </w:tc>
      </w:tr>
      <w:tr w:rsidR="000032E8" w:rsidRPr="00387B61" w14:paraId="72E495ED"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top w:val="single" w:sz="4" w:space="0" w:color="FFFFFF" w:themeColor="background1"/>
            </w:tcBorders>
          </w:tcPr>
          <w:p w14:paraId="0B01B1AE" w14:textId="77777777" w:rsidR="000032E8" w:rsidRPr="00B1684D" w:rsidRDefault="000032E8" w:rsidP="000032E8">
            <w:pPr>
              <w:pStyle w:val="Tablebodytextnospaceafter"/>
            </w:pPr>
            <w:r w:rsidRPr="00B1684D">
              <w:t># of in</w:t>
            </w:r>
            <w:r>
              <w:t>ternational delegations and placements hosted</w:t>
            </w:r>
          </w:p>
        </w:tc>
        <w:tc>
          <w:tcPr>
            <w:tcW w:w="1127" w:type="dxa"/>
          </w:tcPr>
          <w:p w14:paraId="5B0A10B0" w14:textId="77777777" w:rsidR="000032E8" w:rsidRPr="00B1684D" w:rsidRDefault="000032E8" w:rsidP="000032E8">
            <w:pPr>
              <w:pStyle w:val="Tablebodytextnospaceafter"/>
              <w:jc w:val="right"/>
            </w:pPr>
            <w:r w:rsidRPr="00B1684D">
              <w:t>2–</w:t>
            </w:r>
            <w:r>
              <w:t>10</w:t>
            </w:r>
          </w:p>
        </w:tc>
        <w:tc>
          <w:tcPr>
            <w:tcW w:w="1127" w:type="dxa"/>
          </w:tcPr>
          <w:p w14:paraId="2C2F1DC9" w14:textId="77777777" w:rsidR="000032E8" w:rsidRPr="00B1684D" w:rsidRDefault="000032E8" w:rsidP="000032E8">
            <w:pPr>
              <w:pStyle w:val="Tablebodytextnospaceafter"/>
              <w:jc w:val="right"/>
              <w:rPr>
                <w:rStyle w:val="Emphasis"/>
              </w:rPr>
            </w:pPr>
            <w:r>
              <w:rPr>
                <w:rStyle w:val="Emphasis"/>
              </w:rPr>
              <w:t>9</w:t>
            </w:r>
          </w:p>
        </w:tc>
        <w:tc>
          <w:tcPr>
            <w:tcW w:w="1128" w:type="dxa"/>
          </w:tcPr>
          <w:p w14:paraId="26966670" w14:textId="77777777" w:rsidR="000032E8" w:rsidRPr="003008F3" w:rsidRDefault="000032E8" w:rsidP="000032E8">
            <w:pPr>
              <w:pStyle w:val="Tablebodytextnospaceafter"/>
              <w:jc w:val="right"/>
              <w:rPr>
                <w:rStyle w:val="Italics"/>
                <w:i w:val="0"/>
              </w:rPr>
            </w:pPr>
            <w:r>
              <w:rPr>
                <w:rStyle w:val="Italics"/>
                <w:i w:val="0"/>
              </w:rPr>
              <w:t>4</w:t>
            </w:r>
          </w:p>
        </w:tc>
      </w:tr>
      <w:tr w:rsidR="000032E8" w:rsidRPr="00387B61" w14:paraId="0CF60E7B"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tcBorders>
          </w:tcPr>
          <w:p w14:paraId="46588AA0" w14:textId="77777777" w:rsidR="000032E8" w:rsidRPr="00387B61" w:rsidRDefault="000032E8" w:rsidP="000032E8">
            <w:pPr>
              <w:pStyle w:val="Tablebodytextnospaceafter"/>
            </w:pPr>
            <w:r w:rsidRPr="00E253D7">
              <w:t># of international initiatives participated in</w:t>
            </w:r>
          </w:p>
        </w:tc>
        <w:tc>
          <w:tcPr>
            <w:tcW w:w="1127" w:type="dxa"/>
          </w:tcPr>
          <w:p w14:paraId="4DCAFAC2" w14:textId="77777777" w:rsidR="000032E8" w:rsidRPr="00387B61" w:rsidRDefault="000032E8" w:rsidP="000032E8">
            <w:pPr>
              <w:pStyle w:val="Tablebodytextnospaceafter"/>
              <w:jc w:val="right"/>
            </w:pPr>
            <w:r w:rsidRPr="00387B61">
              <w:t>2–</w:t>
            </w:r>
            <w:r>
              <w:t>10</w:t>
            </w:r>
          </w:p>
        </w:tc>
        <w:tc>
          <w:tcPr>
            <w:tcW w:w="1127" w:type="dxa"/>
          </w:tcPr>
          <w:p w14:paraId="7F02CE1F" w14:textId="77777777" w:rsidR="000032E8" w:rsidRPr="00F738D6" w:rsidRDefault="000032E8" w:rsidP="000032E8">
            <w:pPr>
              <w:pStyle w:val="Tablebodytextnospaceafter"/>
              <w:jc w:val="right"/>
              <w:rPr>
                <w:rStyle w:val="Emphasis"/>
              </w:rPr>
            </w:pPr>
            <w:r w:rsidRPr="00E10891">
              <w:rPr>
                <w:rStyle w:val="Emphasis"/>
              </w:rPr>
              <w:t>11</w:t>
            </w:r>
          </w:p>
        </w:tc>
        <w:tc>
          <w:tcPr>
            <w:tcW w:w="1128" w:type="dxa"/>
          </w:tcPr>
          <w:p w14:paraId="29AA7FD0" w14:textId="77777777" w:rsidR="000032E8" w:rsidRPr="003008F3" w:rsidRDefault="000032E8" w:rsidP="000032E8">
            <w:pPr>
              <w:pStyle w:val="Tablebodytextnospaceafter"/>
              <w:jc w:val="right"/>
              <w:rPr>
                <w:rStyle w:val="Italics"/>
                <w:i w:val="0"/>
              </w:rPr>
            </w:pPr>
            <w:r>
              <w:rPr>
                <w:rStyle w:val="Italics"/>
                <w:i w:val="0"/>
              </w:rPr>
              <w:t>5</w:t>
            </w:r>
          </w:p>
        </w:tc>
      </w:tr>
      <w:tr w:rsidR="00401965" w:rsidRPr="00387B61" w14:paraId="5B9C3293" w14:textId="77777777" w:rsidTr="00401965">
        <w:trPr>
          <w:cnfStyle w:val="000000010000" w:firstRow="0" w:lastRow="0" w:firstColumn="0" w:lastColumn="0" w:oddVBand="0" w:evenVBand="0" w:oddHBand="0" w:evenHBand="1" w:firstRowFirstColumn="0" w:firstRowLastColumn="0" w:lastRowFirstColumn="0" w:lastRowLastColumn="0"/>
          <w:cantSplit/>
          <w:trHeight w:val="60"/>
        </w:trPr>
        <w:tc>
          <w:tcPr>
            <w:tcW w:w="6126" w:type="dxa"/>
            <w:shd w:val="clear" w:color="auto" w:fill="D3D3D3"/>
          </w:tcPr>
          <w:p w14:paraId="0F476CB8" w14:textId="77777777" w:rsidR="00137107" w:rsidRPr="00387B61" w:rsidRDefault="00137107" w:rsidP="000032E8">
            <w:pPr>
              <w:pStyle w:val="Tablebodytextnospaceafter"/>
            </w:pPr>
            <w:r w:rsidRPr="00387B61">
              <w:t xml:space="preserve">Proactive measures </w:t>
            </w:r>
          </w:p>
        </w:tc>
        <w:tc>
          <w:tcPr>
            <w:tcW w:w="1127" w:type="dxa"/>
            <w:shd w:val="clear" w:color="auto" w:fill="D3D3D3"/>
          </w:tcPr>
          <w:p w14:paraId="42227CC6" w14:textId="77777777" w:rsidR="00137107" w:rsidRPr="00387B61" w:rsidRDefault="00137107" w:rsidP="000032E8">
            <w:pPr>
              <w:pStyle w:val="Tablebodytextnospaceafter"/>
            </w:pPr>
          </w:p>
        </w:tc>
        <w:tc>
          <w:tcPr>
            <w:tcW w:w="1127" w:type="dxa"/>
            <w:shd w:val="clear" w:color="auto" w:fill="D3D3D3"/>
          </w:tcPr>
          <w:p w14:paraId="40199F08" w14:textId="77777777" w:rsidR="00137107" w:rsidRPr="00387B61" w:rsidRDefault="00137107" w:rsidP="000032E8">
            <w:pPr>
              <w:pStyle w:val="Tablebodytextnospaceafter"/>
            </w:pPr>
          </w:p>
        </w:tc>
        <w:tc>
          <w:tcPr>
            <w:tcW w:w="1128" w:type="dxa"/>
            <w:shd w:val="clear" w:color="auto" w:fill="D3D3D3"/>
          </w:tcPr>
          <w:p w14:paraId="569635D6" w14:textId="5275E10C" w:rsidR="00137107" w:rsidRPr="00387B61" w:rsidRDefault="00137107" w:rsidP="000032E8">
            <w:pPr>
              <w:pStyle w:val="Tablebodytextnospaceafter"/>
            </w:pPr>
          </w:p>
        </w:tc>
      </w:tr>
      <w:tr w:rsidR="000032E8" w:rsidRPr="00387B61" w14:paraId="1FE98F77" w14:textId="77777777" w:rsidTr="00222C74">
        <w:trPr>
          <w:cnfStyle w:val="000000100000" w:firstRow="0" w:lastRow="0" w:firstColumn="0" w:lastColumn="0" w:oddVBand="0" w:evenVBand="0" w:oddHBand="1" w:evenHBand="0" w:firstRowFirstColumn="0" w:firstRowLastColumn="0" w:lastRowFirstColumn="0" w:lastRowLastColumn="0"/>
          <w:cantSplit/>
          <w:trHeight w:val="60"/>
        </w:trPr>
        <w:tc>
          <w:tcPr>
            <w:tcW w:w="6126" w:type="dxa"/>
            <w:tcBorders>
              <w:top w:val="single" w:sz="4" w:space="0" w:color="FFFFFF" w:themeColor="background1"/>
            </w:tcBorders>
          </w:tcPr>
          <w:p w14:paraId="124D1775" w14:textId="77777777" w:rsidR="000032E8" w:rsidRPr="00387B61" w:rsidRDefault="000032E8" w:rsidP="000032E8">
            <w:pPr>
              <w:pStyle w:val="Tablebodytextnospaceafter"/>
            </w:pPr>
            <w:r w:rsidRPr="00387B61">
              <w:t xml:space="preserve"># of newsletters for Asia-Pacific Ombudsmen published </w:t>
            </w:r>
          </w:p>
        </w:tc>
        <w:tc>
          <w:tcPr>
            <w:tcW w:w="1127" w:type="dxa"/>
          </w:tcPr>
          <w:p w14:paraId="3289A61E" w14:textId="77777777" w:rsidR="000032E8" w:rsidRPr="00387B61" w:rsidRDefault="000032E8" w:rsidP="000032E8">
            <w:pPr>
              <w:pStyle w:val="Tablebodytextnospaceafter"/>
              <w:jc w:val="right"/>
            </w:pPr>
            <w:r w:rsidRPr="00387B61">
              <w:t>2</w:t>
            </w:r>
          </w:p>
        </w:tc>
        <w:tc>
          <w:tcPr>
            <w:tcW w:w="1127" w:type="dxa"/>
          </w:tcPr>
          <w:p w14:paraId="65B692BB" w14:textId="77777777" w:rsidR="000032E8" w:rsidRPr="00F738D6" w:rsidRDefault="000032E8" w:rsidP="000032E8">
            <w:pPr>
              <w:pStyle w:val="Tablebodytextnospaceafter"/>
              <w:jc w:val="right"/>
              <w:rPr>
                <w:rStyle w:val="Emphasis"/>
              </w:rPr>
            </w:pPr>
            <w:r w:rsidRPr="001049F2">
              <w:rPr>
                <w:rStyle w:val="Emphasis"/>
              </w:rPr>
              <w:t>2</w:t>
            </w:r>
          </w:p>
        </w:tc>
        <w:tc>
          <w:tcPr>
            <w:tcW w:w="1128" w:type="dxa"/>
          </w:tcPr>
          <w:p w14:paraId="2827F4DD" w14:textId="77777777" w:rsidR="000032E8" w:rsidRPr="003008F3" w:rsidRDefault="000032E8" w:rsidP="000032E8">
            <w:pPr>
              <w:pStyle w:val="Tablebodytextnospaceafter"/>
              <w:jc w:val="right"/>
              <w:rPr>
                <w:rStyle w:val="Italics"/>
                <w:i w:val="0"/>
              </w:rPr>
            </w:pPr>
            <w:r>
              <w:rPr>
                <w:rStyle w:val="Italics"/>
                <w:i w:val="0"/>
              </w:rPr>
              <w:t>2</w:t>
            </w:r>
          </w:p>
        </w:tc>
      </w:tr>
      <w:tr w:rsidR="000032E8" w:rsidRPr="00BE480E" w14:paraId="6986D397" w14:textId="77777777" w:rsidTr="00222C74">
        <w:trPr>
          <w:cnfStyle w:val="000000010000" w:firstRow="0" w:lastRow="0" w:firstColumn="0" w:lastColumn="0" w:oddVBand="0" w:evenVBand="0" w:oddHBand="0" w:evenHBand="1" w:firstRowFirstColumn="0" w:firstRowLastColumn="0" w:lastRowFirstColumn="0" w:lastRowLastColumn="0"/>
          <w:cantSplit/>
          <w:trHeight w:val="60"/>
        </w:trPr>
        <w:tc>
          <w:tcPr>
            <w:tcW w:w="6126" w:type="dxa"/>
            <w:tcBorders>
              <w:top w:val="single" w:sz="4" w:space="0" w:color="FFFFFF" w:themeColor="background1"/>
            </w:tcBorders>
          </w:tcPr>
          <w:p w14:paraId="5E317F27" w14:textId="77777777" w:rsidR="000032E8" w:rsidRPr="00387B61" w:rsidRDefault="000032E8" w:rsidP="000032E8">
            <w:pPr>
              <w:pStyle w:val="Tablebodytextnospaceafter"/>
            </w:pPr>
            <w:r w:rsidRPr="00045B35">
              <w:t xml:space="preserve">% of overseas stakeholders who report value in the guidance and training received from </w:t>
            </w:r>
            <w:r>
              <w:t>my</w:t>
            </w:r>
            <w:r w:rsidRPr="00045B35">
              <w:t xml:space="preserve"> Office</w:t>
            </w:r>
            <w:r>
              <w:rPr>
                <w:rStyle w:val="FootnoteReference"/>
              </w:rPr>
              <w:footnoteReference w:id="88"/>
            </w:r>
          </w:p>
        </w:tc>
        <w:tc>
          <w:tcPr>
            <w:tcW w:w="1127" w:type="dxa"/>
          </w:tcPr>
          <w:p w14:paraId="2BE7DA7A" w14:textId="77777777" w:rsidR="000032E8" w:rsidRPr="00387B61" w:rsidRDefault="000032E8" w:rsidP="000032E8">
            <w:pPr>
              <w:pStyle w:val="Tablebodytextnospaceafter"/>
              <w:jc w:val="right"/>
            </w:pPr>
            <w:r w:rsidRPr="00387B61">
              <w:t>95%</w:t>
            </w:r>
          </w:p>
        </w:tc>
        <w:tc>
          <w:tcPr>
            <w:tcW w:w="1127" w:type="dxa"/>
          </w:tcPr>
          <w:p w14:paraId="78B555F4" w14:textId="77777777" w:rsidR="000032E8" w:rsidRPr="00F738D6" w:rsidRDefault="000032E8" w:rsidP="000032E8">
            <w:pPr>
              <w:pStyle w:val="Tablebodytextnospaceafter"/>
              <w:jc w:val="right"/>
              <w:rPr>
                <w:rStyle w:val="Emphasis"/>
              </w:rPr>
            </w:pPr>
            <w:r>
              <w:rPr>
                <w:rStyle w:val="Emphasis"/>
              </w:rPr>
              <w:t>100%</w:t>
            </w:r>
          </w:p>
        </w:tc>
        <w:tc>
          <w:tcPr>
            <w:tcW w:w="1128" w:type="dxa"/>
          </w:tcPr>
          <w:p w14:paraId="5FAF7776" w14:textId="77777777" w:rsidR="000032E8" w:rsidRPr="00F738D6" w:rsidRDefault="000032E8" w:rsidP="000032E8">
            <w:pPr>
              <w:pStyle w:val="Tablebodytextnospaceafter"/>
              <w:jc w:val="right"/>
            </w:pPr>
            <w:r w:rsidRPr="00F738D6">
              <w:t>100%</w:t>
            </w:r>
          </w:p>
        </w:tc>
      </w:tr>
    </w:tbl>
    <w:p w14:paraId="74702D01" w14:textId="77777777" w:rsidR="00DF1795" w:rsidRDefault="00DF1795" w:rsidP="00DF1795">
      <w:pPr>
        <w:pStyle w:val="Whitespace"/>
      </w:pPr>
      <w:bookmarkStart w:id="125" w:name="_Statement_of_comprehensive"/>
      <w:bookmarkEnd w:id="125"/>
    </w:p>
    <w:p w14:paraId="0E7B87D0" w14:textId="77777777" w:rsidR="00DF1795" w:rsidRPr="00840A7B" w:rsidRDefault="00DF1795" w:rsidP="00DF1795">
      <w:pPr>
        <w:spacing w:line="276" w:lineRule="auto"/>
        <w:rPr>
          <w:sz w:val="22"/>
        </w:rPr>
        <w:sectPr w:rsidR="00DF1795" w:rsidRPr="00840A7B" w:rsidSect="00037952">
          <w:footerReference w:type="default" r:id="rId46"/>
          <w:endnotePr>
            <w:numFmt w:val="decimal"/>
          </w:endnotePr>
          <w:pgSz w:w="11906" w:h="16838" w:code="9"/>
          <w:pgMar w:top="2438" w:right="1304" w:bottom="1701" w:left="1304" w:header="680" w:footer="680" w:gutter="0"/>
          <w:cols w:space="708"/>
          <w:docGrid w:linePitch="360"/>
        </w:sectPr>
      </w:pPr>
      <w:r>
        <w:rPr>
          <w:sz w:val="22"/>
        </w:rPr>
        <w:t xml:space="preserve">The cost of delivery of these results is detailed in </w:t>
      </w:r>
      <w:r w:rsidR="00D068A1">
        <w:rPr>
          <w:sz w:val="22"/>
        </w:rPr>
        <w:t xml:space="preserve">the </w:t>
      </w:r>
      <w:r>
        <w:rPr>
          <w:sz w:val="22"/>
        </w:rPr>
        <w:t>next section.</w:t>
      </w:r>
      <w:bookmarkStart w:id="126" w:name="_Statement_of_financial"/>
      <w:bookmarkEnd w:id="126"/>
    </w:p>
    <w:p w14:paraId="3415E133" w14:textId="77777777" w:rsidR="00DF1795" w:rsidRPr="00BE4BB3" w:rsidRDefault="00DF1795" w:rsidP="00DF1795">
      <w:pPr>
        <w:pStyle w:val="Heading2"/>
      </w:pPr>
      <w:bookmarkStart w:id="127" w:name="_Statement_of_comprehensive_1"/>
      <w:bookmarkStart w:id="128" w:name="_Ref54687254"/>
      <w:bookmarkEnd w:id="127"/>
      <w:r w:rsidRPr="00BE4BB3">
        <w:t xml:space="preserve">Statement of </w:t>
      </w:r>
      <w:r>
        <w:t>comprehensive revenue and expense</w:t>
      </w:r>
      <w:r w:rsidRPr="00BE4BB3">
        <w:t xml:space="preserve"> for the year ended 30</w:t>
      </w:r>
      <w:r>
        <w:t xml:space="preserve"> </w:t>
      </w:r>
      <w:r w:rsidRPr="00BE4BB3">
        <w:t>June 20</w:t>
      </w:r>
      <w:r w:rsidR="00797C71">
        <w:t>20</w:t>
      </w:r>
      <w:bookmarkEnd w:id="128"/>
    </w:p>
    <w:tbl>
      <w:tblPr>
        <w:tblStyle w:val="TableGridAnnualReport1"/>
        <w:tblW w:w="9299" w:type="dxa"/>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20" w:firstRow="1" w:lastRow="0" w:firstColumn="0" w:lastColumn="0" w:noHBand="0" w:noVBand="1"/>
        <w:tblCaption w:val="Statement of comprehensive revenue and expense for the year ended 30 June 2017"/>
      </w:tblPr>
      <w:tblGrid>
        <w:gridCol w:w="1132"/>
        <w:gridCol w:w="2686"/>
        <w:gridCol w:w="710"/>
        <w:gridCol w:w="1133"/>
        <w:gridCol w:w="1166"/>
        <w:gridCol w:w="1224"/>
        <w:gridCol w:w="1248"/>
      </w:tblGrid>
      <w:tr w:rsidR="00DF1795" w14:paraId="2D78B87E" w14:textId="77777777" w:rsidTr="00B63CF2">
        <w:trPr>
          <w:cnfStyle w:val="100000000000" w:firstRow="1" w:lastRow="0" w:firstColumn="0" w:lastColumn="0" w:oddVBand="0" w:evenVBand="0" w:oddHBand="0" w:evenHBand="0" w:firstRowFirstColumn="0" w:firstRowLastColumn="0" w:lastRowFirstColumn="0" w:lastRowLastColumn="0"/>
          <w:trHeight w:val="60"/>
        </w:trPr>
        <w:tc>
          <w:tcPr>
            <w:tcW w:w="609" w:type="pct"/>
            <w:hideMark/>
          </w:tcPr>
          <w:p w14:paraId="466D2291" w14:textId="77777777" w:rsidR="00DF1795" w:rsidRDefault="00DF1795" w:rsidP="00506E02">
            <w:pPr>
              <w:pStyle w:val="Tableheadingrow1"/>
              <w:jc w:val="right"/>
            </w:pPr>
            <w:r w:rsidRPr="00C61C87">
              <w:t>30/06/1</w:t>
            </w:r>
            <w:r w:rsidR="00797C71">
              <w:t>9</w:t>
            </w:r>
            <w:r w:rsidRPr="00C61C87">
              <w:br/>
              <w:t>Actual</w:t>
            </w:r>
            <w:r w:rsidRPr="00C61C87">
              <w:br/>
            </w:r>
            <w:r w:rsidRPr="00C61C87">
              <w:br/>
            </w:r>
          </w:p>
          <w:p w14:paraId="63D3E1A0" w14:textId="77777777" w:rsidR="00DF1795" w:rsidRPr="00C61C87" w:rsidRDefault="00DF1795" w:rsidP="00506E02">
            <w:pPr>
              <w:pStyle w:val="Tableheadingrow1"/>
              <w:jc w:val="right"/>
            </w:pPr>
            <w:r w:rsidRPr="00C61C87">
              <w:t>$(000)</w:t>
            </w:r>
          </w:p>
        </w:tc>
        <w:tc>
          <w:tcPr>
            <w:tcW w:w="1444" w:type="pct"/>
          </w:tcPr>
          <w:p w14:paraId="5283A5DE" w14:textId="77777777" w:rsidR="00DF1795" w:rsidRPr="00C61C87" w:rsidRDefault="00DF1795" w:rsidP="00506E02">
            <w:pPr>
              <w:pStyle w:val="Tableheadingrow1"/>
              <w:jc w:val="right"/>
            </w:pPr>
          </w:p>
        </w:tc>
        <w:tc>
          <w:tcPr>
            <w:tcW w:w="382" w:type="pct"/>
            <w:hideMark/>
          </w:tcPr>
          <w:p w14:paraId="1F7F2153" w14:textId="77777777" w:rsidR="00DF1795" w:rsidRPr="00C61C87" w:rsidRDefault="00DF1795" w:rsidP="00506E02">
            <w:pPr>
              <w:pStyle w:val="Tableheadingrow1"/>
              <w:jc w:val="right"/>
            </w:pPr>
            <w:r w:rsidRPr="00C61C87">
              <w:t>Notes</w:t>
            </w:r>
          </w:p>
        </w:tc>
        <w:tc>
          <w:tcPr>
            <w:tcW w:w="609" w:type="pct"/>
            <w:hideMark/>
          </w:tcPr>
          <w:p w14:paraId="6B2E214D" w14:textId="77777777" w:rsidR="00DF1795" w:rsidRDefault="00DF1795" w:rsidP="00506E02">
            <w:pPr>
              <w:pStyle w:val="Tableheadingrow1"/>
              <w:jc w:val="right"/>
            </w:pPr>
            <w:r w:rsidRPr="00C61C87">
              <w:t>30/06/</w:t>
            </w:r>
            <w:r w:rsidR="00797C71">
              <w:t>20</w:t>
            </w:r>
            <w:r w:rsidRPr="00C61C87">
              <w:br/>
              <w:t>Actual</w:t>
            </w:r>
            <w:r w:rsidRPr="00C61C87">
              <w:br/>
            </w:r>
            <w:r w:rsidRPr="00C61C87">
              <w:br/>
            </w:r>
          </w:p>
          <w:p w14:paraId="63C070FF" w14:textId="77777777" w:rsidR="00DF1795" w:rsidRPr="00C61C87" w:rsidRDefault="00DF1795" w:rsidP="00506E02">
            <w:pPr>
              <w:pStyle w:val="Tableheadingrow1"/>
              <w:jc w:val="right"/>
            </w:pPr>
            <w:r w:rsidRPr="00C61C87">
              <w:t>$(000)</w:t>
            </w:r>
          </w:p>
        </w:tc>
        <w:tc>
          <w:tcPr>
            <w:tcW w:w="627" w:type="pct"/>
            <w:hideMark/>
          </w:tcPr>
          <w:p w14:paraId="68BBC15F" w14:textId="77777777" w:rsidR="00DF1795" w:rsidRDefault="00DF1795" w:rsidP="00506E02">
            <w:pPr>
              <w:pStyle w:val="Tableheadingrow1"/>
              <w:jc w:val="right"/>
            </w:pPr>
            <w:r w:rsidRPr="00C61C87">
              <w:t>30/06/</w:t>
            </w:r>
            <w:r w:rsidR="00797C71">
              <w:t>20</w:t>
            </w:r>
            <w:r w:rsidRPr="00C61C87">
              <w:br/>
              <w:t>Main</w:t>
            </w:r>
            <w:r w:rsidRPr="00C61C87">
              <w:br/>
            </w:r>
            <w:r>
              <w:t>e</w:t>
            </w:r>
            <w:r w:rsidRPr="00C61C87">
              <w:t>stimates</w:t>
            </w:r>
            <w:r w:rsidRPr="00C61C87">
              <w:br/>
            </w:r>
          </w:p>
          <w:p w14:paraId="05F65872" w14:textId="77777777" w:rsidR="00DF1795" w:rsidRPr="00C61C87" w:rsidRDefault="00DF1795" w:rsidP="00506E02">
            <w:pPr>
              <w:pStyle w:val="Tableheadingrow1"/>
              <w:jc w:val="right"/>
            </w:pPr>
            <w:r w:rsidRPr="00C61C87">
              <w:t>$(000)</w:t>
            </w:r>
          </w:p>
        </w:tc>
        <w:tc>
          <w:tcPr>
            <w:tcW w:w="658" w:type="pct"/>
            <w:hideMark/>
          </w:tcPr>
          <w:p w14:paraId="56ABB55A" w14:textId="77777777" w:rsidR="00DF1795" w:rsidRDefault="00DF1795" w:rsidP="00506E02">
            <w:pPr>
              <w:pStyle w:val="Tableheadingrow1"/>
              <w:jc w:val="right"/>
            </w:pPr>
            <w:r w:rsidRPr="00C61C87">
              <w:t>30/06/</w:t>
            </w:r>
            <w:r w:rsidR="00797C71">
              <w:t>20</w:t>
            </w:r>
            <w:r w:rsidRPr="00C61C87">
              <w:br/>
              <w:t>Supp.</w:t>
            </w:r>
            <w:r w:rsidRPr="00C61C87">
              <w:br/>
            </w:r>
            <w:r>
              <w:t>e</w:t>
            </w:r>
            <w:r w:rsidRPr="00C61C87">
              <w:t>stimates</w:t>
            </w:r>
            <w:r w:rsidRPr="00C61C87">
              <w:br/>
            </w:r>
          </w:p>
          <w:p w14:paraId="1459106B" w14:textId="77777777" w:rsidR="00DF1795" w:rsidRPr="00C61C87" w:rsidRDefault="00DF1795" w:rsidP="00506E02">
            <w:pPr>
              <w:pStyle w:val="Tableheadingrow1"/>
              <w:jc w:val="right"/>
            </w:pPr>
            <w:r w:rsidRPr="00C61C87">
              <w:t>$(000)</w:t>
            </w:r>
          </w:p>
        </w:tc>
        <w:tc>
          <w:tcPr>
            <w:tcW w:w="671" w:type="pct"/>
          </w:tcPr>
          <w:p w14:paraId="37D7A0BA" w14:textId="77777777" w:rsidR="00DF1795" w:rsidRPr="00C61C87" w:rsidRDefault="00DF1795" w:rsidP="00506E02">
            <w:pPr>
              <w:pStyle w:val="Tableheadingrow1"/>
              <w:jc w:val="right"/>
            </w:pPr>
            <w:r>
              <w:t>30/06/2</w:t>
            </w:r>
            <w:r w:rsidR="00797C71">
              <w:t>1</w:t>
            </w:r>
          </w:p>
          <w:p w14:paraId="663DE0D3" w14:textId="77777777" w:rsidR="00DF1795" w:rsidRPr="00C61C87" w:rsidRDefault="00DF1795" w:rsidP="00506E02">
            <w:pPr>
              <w:pStyle w:val="Tableheadingrow1"/>
              <w:jc w:val="right"/>
            </w:pPr>
            <w:r w:rsidRPr="00C61C87">
              <w:t xml:space="preserve">Unaudited </w:t>
            </w:r>
            <w:r>
              <w:t>f</w:t>
            </w:r>
            <w:r w:rsidRPr="00C61C87">
              <w:t>orecast IPSAS</w:t>
            </w:r>
            <w:r>
              <w:t>*</w:t>
            </w:r>
          </w:p>
          <w:p w14:paraId="6EE6F603" w14:textId="77777777" w:rsidR="00DF1795" w:rsidRPr="00C61C87" w:rsidRDefault="00DF1795" w:rsidP="00506E02">
            <w:pPr>
              <w:pStyle w:val="Tableheadingrow1"/>
              <w:jc w:val="right"/>
            </w:pPr>
            <w:r w:rsidRPr="00C61C87">
              <w:t>$(000)</w:t>
            </w:r>
          </w:p>
        </w:tc>
      </w:tr>
      <w:tr w:rsidR="00B63CF2" w14:paraId="2115E2CB" w14:textId="77777777" w:rsidTr="00B63CF2">
        <w:trPr>
          <w:cnfStyle w:val="000000100000" w:firstRow="0" w:lastRow="0" w:firstColumn="0" w:lastColumn="0" w:oddVBand="0" w:evenVBand="0" w:oddHBand="1" w:evenHBand="0" w:firstRowFirstColumn="0" w:firstRowLastColumn="0" w:lastRowFirstColumn="0" w:lastRowLastColumn="0"/>
          <w:trHeight w:val="189"/>
        </w:trPr>
        <w:tc>
          <w:tcPr>
            <w:tcW w:w="609" w:type="pct"/>
            <w:shd w:val="clear" w:color="auto" w:fill="BFBFBF"/>
          </w:tcPr>
          <w:p w14:paraId="0B4A86BA" w14:textId="77777777" w:rsidR="00B63CF2" w:rsidRPr="00C61C87" w:rsidRDefault="00B63CF2" w:rsidP="00B63CF2">
            <w:pPr>
              <w:pStyle w:val="Tablebodytextnospaceafter"/>
            </w:pPr>
          </w:p>
        </w:tc>
        <w:tc>
          <w:tcPr>
            <w:tcW w:w="1444" w:type="pct"/>
            <w:shd w:val="clear" w:color="auto" w:fill="BFBFBF"/>
            <w:hideMark/>
          </w:tcPr>
          <w:p w14:paraId="46E9EFED" w14:textId="282F4DE6" w:rsidR="00B63CF2" w:rsidRPr="00C61C87" w:rsidRDefault="00B63CF2" w:rsidP="00B63CF2">
            <w:pPr>
              <w:pStyle w:val="Tablebodytextnospaceafter"/>
              <w:rPr>
                <w:b/>
              </w:rPr>
            </w:pPr>
            <w:r w:rsidRPr="00717943">
              <w:rPr>
                <w:rStyle w:val="Emphasis"/>
              </w:rPr>
              <w:t>Revenue</w:t>
            </w:r>
          </w:p>
        </w:tc>
        <w:tc>
          <w:tcPr>
            <w:tcW w:w="382" w:type="pct"/>
            <w:shd w:val="clear" w:color="auto" w:fill="BFBFBF"/>
          </w:tcPr>
          <w:p w14:paraId="17A6373C" w14:textId="77777777" w:rsidR="00B63CF2" w:rsidRPr="00C61C87" w:rsidRDefault="00B63CF2" w:rsidP="00B63CF2">
            <w:pPr>
              <w:pStyle w:val="Tablebodytextnospaceafter"/>
              <w:rPr>
                <w:b/>
              </w:rPr>
            </w:pPr>
          </w:p>
        </w:tc>
        <w:tc>
          <w:tcPr>
            <w:tcW w:w="609" w:type="pct"/>
            <w:shd w:val="clear" w:color="auto" w:fill="BFBFBF"/>
          </w:tcPr>
          <w:p w14:paraId="5EA1ADFF" w14:textId="77777777" w:rsidR="00B63CF2" w:rsidRPr="00C61C87" w:rsidRDefault="00B63CF2" w:rsidP="00B63CF2">
            <w:pPr>
              <w:pStyle w:val="Tablebodytextnospaceafter"/>
              <w:rPr>
                <w:b/>
              </w:rPr>
            </w:pPr>
          </w:p>
        </w:tc>
        <w:tc>
          <w:tcPr>
            <w:tcW w:w="627" w:type="pct"/>
            <w:shd w:val="clear" w:color="auto" w:fill="BFBFBF"/>
          </w:tcPr>
          <w:p w14:paraId="7B9CE820" w14:textId="77777777" w:rsidR="00B63CF2" w:rsidRPr="00C61C87" w:rsidRDefault="00B63CF2" w:rsidP="00B63CF2">
            <w:pPr>
              <w:pStyle w:val="Tablebodytextnospaceafter"/>
              <w:rPr>
                <w:b/>
              </w:rPr>
            </w:pPr>
          </w:p>
        </w:tc>
        <w:tc>
          <w:tcPr>
            <w:tcW w:w="658" w:type="pct"/>
            <w:shd w:val="clear" w:color="auto" w:fill="BFBFBF"/>
          </w:tcPr>
          <w:p w14:paraId="451F55F3" w14:textId="19AEDE88" w:rsidR="00B63CF2" w:rsidRPr="00C61C87" w:rsidRDefault="00B63CF2" w:rsidP="00B63CF2">
            <w:pPr>
              <w:pStyle w:val="Tablebodytextnospaceafter"/>
              <w:rPr>
                <w:b/>
              </w:rPr>
            </w:pPr>
          </w:p>
        </w:tc>
        <w:tc>
          <w:tcPr>
            <w:tcW w:w="671" w:type="pct"/>
            <w:shd w:val="clear" w:color="auto" w:fill="BFBFBF"/>
          </w:tcPr>
          <w:p w14:paraId="5E3136F3" w14:textId="77777777" w:rsidR="00B63CF2" w:rsidRPr="00C61C87" w:rsidRDefault="00B63CF2" w:rsidP="00B63CF2">
            <w:pPr>
              <w:pStyle w:val="Tablebodytextnospaceafter"/>
            </w:pPr>
          </w:p>
        </w:tc>
      </w:tr>
      <w:tr w:rsidR="00B63CF2" w14:paraId="4D495D79" w14:textId="77777777" w:rsidTr="00B63CF2">
        <w:trPr>
          <w:cnfStyle w:val="000000010000" w:firstRow="0" w:lastRow="0" w:firstColumn="0" w:lastColumn="0" w:oddVBand="0" w:evenVBand="0" w:oddHBand="0" w:evenHBand="1" w:firstRowFirstColumn="0" w:firstRowLastColumn="0" w:lastRowFirstColumn="0" w:lastRowLastColumn="0"/>
          <w:trHeight w:val="60"/>
        </w:trPr>
        <w:tc>
          <w:tcPr>
            <w:tcW w:w="609" w:type="pct"/>
          </w:tcPr>
          <w:p w14:paraId="5FAA4968" w14:textId="77777777" w:rsidR="00B63CF2" w:rsidRPr="00770D53" w:rsidRDefault="00B63CF2" w:rsidP="00B63CF2">
            <w:pPr>
              <w:pStyle w:val="Tablebodytextnospaceafter"/>
              <w:jc w:val="right"/>
            </w:pPr>
            <w:r>
              <w:rPr>
                <w:rStyle w:val="Emphasis"/>
                <w:b w:val="0"/>
              </w:rPr>
              <w:t>18,624</w:t>
            </w:r>
          </w:p>
        </w:tc>
        <w:tc>
          <w:tcPr>
            <w:tcW w:w="1444" w:type="pct"/>
            <w:hideMark/>
          </w:tcPr>
          <w:p w14:paraId="22CEF572" w14:textId="77777777" w:rsidR="00B63CF2" w:rsidRPr="00C61C87" w:rsidRDefault="00B63CF2" w:rsidP="00B63CF2">
            <w:pPr>
              <w:pStyle w:val="Tablebodytextnospaceafter"/>
            </w:pPr>
            <w:r w:rsidRPr="00C61C87">
              <w:t>Revenue Crown</w:t>
            </w:r>
          </w:p>
        </w:tc>
        <w:tc>
          <w:tcPr>
            <w:tcW w:w="382" w:type="pct"/>
          </w:tcPr>
          <w:p w14:paraId="78AAE802" w14:textId="77777777" w:rsidR="00B63CF2" w:rsidRPr="00C61C87" w:rsidRDefault="00B63CF2" w:rsidP="00B63CF2">
            <w:pPr>
              <w:pStyle w:val="Tablebodytextnospaceafter"/>
              <w:jc w:val="right"/>
            </w:pPr>
          </w:p>
        </w:tc>
        <w:tc>
          <w:tcPr>
            <w:tcW w:w="609" w:type="pct"/>
          </w:tcPr>
          <w:p w14:paraId="4F938D83" w14:textId="77777777" w:rsidR="00B63CF2" w:rsidRPr="00AE2E80" w:rsidRDefault="00B63CF2" w:rsidP="00B63CF2">
            <w:pPr>
              <w:pStyle w:val="Tablebodytextnospaceafter"/>
              <w:jc w:val="right"/>
              <w:rPr>
                <w:rStyle w:val="Emphasis"/>
              </w:rPr>
            </w:pPr>
            <w:r w:rsidRPr="00AE2E80">
              <w:rPr>
                <w:rStyle w:val="Emphasis"/>
              </w:rPr>
              <w:t>23,945</w:t>
            </w:r>
          </w:p>
        </w:tc>
        <w:tc>
          <w:tcPr>
            <w:tcW w:w="627" w:type="pct"/>
          </w:tcPr>
          <w:p w14:paraId="6AA8ACEF" w14:textId="77777777" w:rsidR="00B63CF2" w:rsidRPr="00C93CA5" w:rsidRDefault="00B63CF2" w:rsidP="00B63CF2">
            <w:pPr>
              <w:pStyle w:val="Tablebodytextnospaceafter"/>
              <w:jc w:val="right"/>
            </w:pPr>
            <w:r>
              <w:t>23,880</w:t>
            </w:r>
          </w:p>
        </w:tc>
        <w:tc>
          <w:tcPr>
            <w:tcW w:w="658" w:type="pct"/>
          </w:tcPr>
          <w:p w14:paraId="63FF3E90" w14:textId="77777777" w:rsidR="00B63CF2" w:rsidRPr="00C93CA5" w:rsidRDefault="00B63CF2" w:rsidP="00B63CF2">
            <w:pPr>
              <w:pStyle w:val="Tablebodytextnospaceafter"/>
              <w:jc w:val="right"/>
            </w:pPr>
            <w:r>
              <w:t>23,945</w:t>
            </w:r>
          </w:p>
        </w:tc>
        <w:tc>
          <w:tcPr>
            <w:tcW w:w="671" w:type="pct"/>
          </w:tcPr>
          <w:p w14:paraId="5210102D" w14:textId="77777777" w:rsidR="00B63CF2" w:rsidRPr="00C93CA5" w:rsidRDefault="00B63CF2" w:rsidP="00B63CF2">
            <w:pPr>
              <w:pStyle w:val="Tablebodytextnospaceafter"/>
              <w:jc w:val="right"/>
            </w:pPr>
            <w:r>
              <w:t>33,265</w:t>
            </w:r>
          </w:p>
        </w:tc>
      </w:tr>
      <w:tr w:rsidR="00B63CF2" w14:paraId="65E96D98" w14:textId="77777777" w:rsidTr="00B63CF2">
        <w:trPr>
          <w:cnfStyle w:val="000000100000" w:firstRow="0" w:lastRow="0" w:firstColumn="0" w:lastColumn="0" w:oddVBand="0" w:evenVBand="0" w:oddHBand="1" w:evenHBand="0" w:firstRowFirstColumn="0" w:firstRowLastColumn="0" w:lastRowFirstColumn="0" w:lastRowLastColumn="0"/>
          <w:trHeight w:val="305"/>
        </w:trPr>
        <w:tc>
          <w:tcPr>
            <w:tcW w:w="609" w:type="pct"/>
            <w:tcBorders>
              <w:top w:val="single" w:sz="4" w:space="0" w:color="FFFFFF" w:themeColor="background1"/>
              <w:bottom w:val="single" w:sz="4" w:space="0" w:color="FFFFFF" w:themeColor="background1"/>
            </w:tcBorders>
            <w:shd w:val="clear" w:color="auto" w:fill="BFBFBF"/>
          </w:tcPr>
          <w:p w14:paraId="1293BD9B" w14:textId="77777777" w:rsidR="00B63CF2" w:rsidRPr="00797C71" w:rsidRDefault="00B63CF2" w:rsidP="00B63CF2">
            <w:pPr>
              <w:pStyle w:val="Tablebodytextnospaceafter"/>
              <w:jc w:val="right"/>
              <w:rPr>
                <w:rStyle w:val="Emphasis"/>
              </w:rPr>
            </w:pPr>
            <w:r w:rsidRPr="00797C71">
              <w:rPr>
                <w:rStyle w:val="Emphasis"/>
                <w:u w:val="single"/>
              </w:rPr>
              <w:t>18,624</w:t>
            </w:r>
          </w:p>
        </w:tc>
        <w:tc>
          <w:tcPr>
            <w:tcW w:w="1444" w:type="pct"/>
            <w:shd w:val="clear" w:color="auto" w:fill="BFBFBF"/>
            <w:hideMark/>
          </w:tcPr>
          <w:p w14:paraId="48DDA432" w14:textId="77777777" w:rsidR="00B63CF2" w:rsidRPr="00717943" w:rsidRDefault="00B63CF2" w:rsidP="00B63CF2">
            <w:pPr>
              <w:pStyle w:val="Tablebodytextnospaceafter"/>
              <w:rPr>
                <w:rStyle w:val="EmphasisItalics"/>
              </w:rPr>
            </w:pPr>
            <w:r w:rsidRPr="00717943">
              <w:rPr>
                <w:rStyle w:val="EmphasisItalics"/>
              </w:rPr>
              <w:t>Total revenue</w:t>
            </w:r>
          </w:p>
        </w:tc>
        <w:tc>
          <w:tcPr>
            <w:tcW w:w="382" w:type="pct"/>
            <w:shd w:val="clear" w:color="auto" w:fill="BFBFBF"/>
          </w:tcPr>
          <w:p w14:paraId="79F0F78A" w14:textId="77777777" w:rsidR="00B63CF2" w:rsidRPr="00307F0C" w:rsidRDefault="00B63CF2" w:rsidP="00B63CF2">
            <w:pPr>
              <w:pStyle w:val="Tablebodytextnospaceafter"/>
              <w:jc w:val="right"/>
              <w:rPr>
                <w:highlight w:val="yellow"/>
              </w:rPr>
            </w:pPr>
          </w:p>
        </w:tc>
        <w:tc>
          <w:tcPr>
            <w:tcW w:w="609" w:type="pct"/>
            <w:tcBorders>
              <w:top w:val="single" w:sz="4" w:space="0" w:color="FFFFFF" w:themeColor="background1"/>
              <w:bottom w:val="single" w:sz="4" w:space="0" w:color="FFFFFF" w:themeColor="background1"/>
            </w:tcBorders>
            <w:shd w:val="clear" w:color="auto" w:fill="BFBFBF"/>
          </w:tcPr>
          <w:p w14:paraId="2C55601F" w14:textId="77777777" w:rsidR="00B63CF2" w:rsidRPr="00AE2E80" w:rsidRDefault="00B63CF2" w:rsidP="00B63CF2">
            <w:pPr>
              <w:pStyle w:val="Tablebodytextnospaceafter"/>
              <w:jc w:val="right"/>
              <w:rPr>
                <w:rStyle w:val="Emphasis"/>
                <w:u w:val="single"/>
              </w:rPr>
            </w:pPr>
            <w:r w:rsidRPr="00AE2E80">
              <w:rPr>
                <w:rStyle w:val="Emphasis"/>
                <w:u w:val="single"/>
              </w:rPr>
              <w:t>23,945</w:t>
            </w:r>
          </w:p>
        </w:tc>
        <w:tc>
          <w:tcPr>
            <w:tcW w:w="627" w:type="pct"/>
            <w:tcBorders>
              <w:top w:val="single" w:sz="4" w:space="0" w:color="FFFFFF" w:themeColor="background1"/>
              <w:bottom w:val="single" w:sz="4" w:space="0" w:color="FFFFFF" w:themeColor="background1"/>
            </w:tcBorders>
            <w:shd w:val="clear" w:color="auto" w:fill="BFBFBF"/>
          </w:tcPr>
          <w:p w14:paraId="625549D2" w14:textId="77777777" w:rsidR="00B63CF2" w:rsidRPr="00C93CA5" w:rsidRDefault="00B63CF2" w:rsidP="00B63CF2">
            <w:pPr>
              <w:pStyle w:val="Tablebodytextnospaceafter"/>
              <w:jc w:val="right"/>
              <w:rPr>
                <w:u w:val="single"/>
              </w:rPr>
            </w:pPr>
            <w:r>
              <w:rPr>
                <w:u w:val="single"/>
              </w:rPr>
              <w:t>23,880</w:t>
            </w:r>
          </w:p>
        </w:tc>
        <w:tc>
          <w:tcPr>
            <w:tcW w:w="658" w:type="pct"/>
            <w:tcBorders>
              <w:top w:val="single" w:sz="4" w:space="0" w:color="FFFFFF" w:themeColor="background1"/>
              <w:bottom w:val="single" w:sz="4" w:space="0" w:color="FFFFFF" w:themeColor="background1"/>
            </w:tcBorders>
            <w:shd w:val="clear" w:color="auto" w:fill="BFBFBF"/>
          </w:tcPr>
          <w:p w14:paraId="7CFDDED8" w14:textId="77777777" w:rsidR="00B63CF2" w:rsidRPr="00C93CA5" w:rsidRDefault="00B63CF2" w:rsidP="00B63CF2">
            <w:pPr>
              <w:pStyle w:val="Tablebodytextnospaceafter"/>
              <w:jc w:val="right"/>
              <w:rPr>
                <w:u w:val="single"/>
              </w:rPr>
            </w:pPr>
            <w:r>
              <w:rPr>
                <w:u w:val="single"/>
              </w:rPr>
              <w:t>23,945</w:t>
            </w:r>
          </w:p>
        </w:tc>
        <w:tc>
          <w:tcPr>
            <w:tcW w:w="671" w:type="pct"/>
            <w:tcBorders>
              <w:top w:val="single" w:sz="4" w:space="0" w:color="FFFFFF" w:themeColor="background1"/>
              <w:bottom w:val="single" w:sz="4" w:space="0" w:color="FFFFFF" w:themeColor="background1"/>
            </w:tcBorders>
            <w:shd w:val="clear" w:color="auto" w:fill="BFBFBF"/>
          </w:tcPr>
          <w:p w14:paraId="325AF157" w14:textId="77777777" w:rsidR="00B63CF2" w:rsidRPr="00C93CA5" w:rsidRDefault="00B63CF2" w:rsidP="00B63CF2">
            <w:pPr>
              <w:pStyle w:val="Tablebodytextnospaceafter"/>
              <w:jc w:val="right"/>
              <w:rPr>
                <w:u w:val="single"/>
              </w:rPr>
            </w:pPr>
            <w:r>
              <w:rPr>
                <w:u w:val="single"/>
              </w:rPr>
              <w:t>33,265</w:t>
            </w:r>
          </w:p>
        </w:tc>
      </w:tr>
      <w:tr w:rsidR="00B63CF2" w14:paraId="51D43E8A" w14:textId="77777777" w:rsidTr="00B63CF2">
        <w:trPr>
          <w:cnfStyle w:val="000000010000" w:firstRow="0" w:lastRow="0" w:firstColumn="0" w:lastColumn="0" w:oddVBand="0" w:evenVBand="0" w:oddHBand="0" w:evenHBand="1" w:firstRowFirstColumn="0" w:firstRowLastColumn="0" w:lastRowFirstColumn="0" w:lastRowLastColumn="0"/>
          <w:trHeight w:val="305"/>
        </w:trPr>
        <w:tc>
          <w:tcPr>
            <w:tcW w:w="609" w:type="pct"/>
            <w:tcBorders>
              <w:top w:val="single" w:sz="4" w:space="0" w:color="FFFFFF" w:themeColor="background1"/>
            </w:tcBorders>
            <w:shd w:val="clear" w:color="auto" w:fill="BFBFBF"/>
          </w:tcPr>
          <w:p w14:paraId="471E5C00" w14:textId="77777777" w:rsidR="00B63CF2" w:rsidRPr="00770D53" w:rsidRDefault="00B63CF2" w:rsidP="00B63CF2">
            <w:pPr>
              <w:pStyle w:val="Tablebodytextnospaceafter"/>
              <w:jc w:val="right"/>
            </w:pPr>
          </w:p>
        </w:tc>
        <w:tc>
          <w:tcPr>
            <w:tcW w:w="1444" w:type="pct"/>
            <w:shd w:val="clear" w:color="auto" w:fill="BFBFBF"/>
            <w:hideMark/>
          </w:tcPr>
          <w:p w14:paraId="72BC4889" w14:textId="77777777" w:rsidR="00B63CF2" w:rsidRPr="00717943" w:rsidRDefault="00B63CF2" w:rsidP="00B63CF2">
            <w:pPr>
              <w:pStyle w:val="Tablebodytextnospaceafter"/>
              <w:rPr>
                <w:rStyle w:val="Emphasis"/>
              </w:rPr>
            </w:pPr>
            <w:r w:rsidRPr="00717943">
              <w:rPr>
                <w:rStyle w:val="Emphasis"/>
              </w:rPr>
              <w:t>Expenses</w:t>
            </w:r>
          </w:p>
        </w:tc>
        <w:tc>
          <w:tcPr>
            <w:tcW w:w="382" w:type="pct"/>
            <w:shd w:val="clear" w:color="auto" w:fill="BFBFBF"/>
          </w:tcPr>
          <w:p w14:paraId="3C37961F" w14:textId="77777777" w:rsidR="00B63CF2" w:rsidRPr="00307F0C" w:rsidRDefault="00B63CF2" w:rsidP="00B63CF2">
            <w:pPr>
              <w:pStyle w:val="Tablebodytextnospaceafter"/>
              <w:jc w:val="right"/>
              <w:rPr>
                <w:highlight w:val="yellow"/>
              </w:rPr>
            </w:pPr>
          </w:p>
        </w:tc>
        <w:tc>
          <w:tcPr>
            <w:tcW w:w="609" w:type="pct"/>
            <w:tcBorders>
              <w:top w:val="single" w:sz="4" w:space="0" w:color="FFFFFF" w:themeColor="background1"/>
            </w:tcBorders>
            <w:shd w:val="clear" w:color="auto" w:fill="BFBFBF"/>
          </w:tcPr>
          <w:p w14:paraId="3B8701E6" w14:textId="77777777" w:rsidR="00B63CF2" w:rsidRPr="003727C7" w:rsidRDefault="00B63CF2" w:rsidP="00B63CF2">
            <w:pPr>
              <w:pStyle w:val="Tablebodytextnospaceafter"/>
              <w:jc w:val="right"/>
              <w:rPr>
                <w:rStyle w:val="Emphasis"/>
              </w:rPr>
            </w:pPr>
          </w:p>
        </w:tc>
        <w:tc>
          <w:tcPr>
            <w:tcW w:w="627" w:type="pct"/>
            <w:tcBorders>
              <w:top w:val="single" w:sz="4" w:space="0" w:color="FFFFFF" w:themeColor="background1"/>
            </w:tcBorders>
            <w:shd w:val="clear" w:color="auto" w:fill="BFBFBF"/>
          </w:tcPr>
          <w:p w14:paraId="456097D7" w14:textId="77777777" w:rsidR="00B63CF2" w:rsidRPr="00C93CA5" w:rsidRDefault="00B63CF2" w:rsidP="00B63CF2">
            <w:pPr>
              <w:pStyle w:val="Tablebodytextnospaceafter"/>
              <w:jc w:val="right"/>
            </w:pPr>
          </w:p>
        </w:tc>
        <w:tc>
          <w:tcPr>
            <w:tcW w:w="658" w:type="pct"/>
            <w:tcBorders>
              <w:top w:val="single" w:sz="4" w:space="0" w:color="FFFFFF" w:themeColor="background1"/>
            </w:tcBorders>
            <w:shd w:val="clear" w:color="auto" w:fill="BFBFBF"/>
          </w:tcPr>
          <w:p w14:paraId="25ADF14B" w14:textId="77777777" w:rsidR="00B63CF2" w:rsidRPr="00C93CA5" w:rsidRDefault="00B63CF2" w:rsidP="00B63CF2">
            <w:pPr>
              <w:pStyle w:val="Tablebodytextnospaceafter"/>
              <w:jc w:val="right"/>
            </w:pPr>
          </w:p>
        </w:tc>
        <w:tc>
          <w:tcPr>
            <w:tcW w:w="671" w:type="pct"/>
            <w:tcBorders>
              <w:top w:val="single" w:sz="4" w:space="0" w:color="FFFFFF" w:themeColor="background1"/>
            </w:tcBorders>
            <w:shd w:val="clear" w:color="auto" w:fill="BFBFBF"/>
          </w:tcPr>
          <w:p w14:paraId="1D0E8A16" w14:textId="77777777" w:rsidR="00B63CF2" w:rsidRPr="00C93CA5" w:rsidRDefault="00B63CF2" w:rsidP="00B63CF2">
            <w:pPr>
              <w:pStyle w:val="Tablebodytextnospaceafter"/>
              <w:jc w:val="right"/>
            </w:pPr>
          </w:p>
        </w:tc>
      </w:tr>
      <w:tr w:rsidR="00B63CF2" w14:paraId="54C22E3B" w14:textId="77777777" w:rsidTr="00B63CF2">
        <w:trPr>
          <w:cnfStyle w:val="000000100000" w:firstRow="0" w:lastRow="0" w:firstColumn="0" w:lastColumn="0" w:oddVBand="0" w:evenVBand="0" w:oddHBand="1" w:evenHBand="0" w:firstRowFirstColumn="0" w:firstRowLastColumn="0" w:lastRowFirstColumn="0" w:lastRowLastColumn="0"/>
          <w:trHeight w:val="305"/>
        </w:trPr>
        <w:tc>
          <w:tcPr>
            <w:tcW w:w="609" w:type="pct"/>
          </w:tcPr>
          <w:p w14:paraId="56701816" w14:textId="77777777" w:rsidR="00B63CF2" w:rsidRPr="00770D53" w:rsidRDefault="00B63CF2" w:rsidP="00B63CF2">
            <w:pPr>
              <w:pStyle w:val="Tablebodytextnospaceafter"/>
              <w:jc w:val="right"/>
            </w:pPr>
            <w:r>
              <w:rPr>
                <w:rStyle w:val="Emphasis"/>
                <w:b w:val="0"/>
              </w:rPr>
              <w:t>10,948</w:t>
            </w:r>
          </w:p>
        </w:tc>
        <w:tc>
          <w:tcPr>
            <w:tcW w:w="1444" w:type="pct"/>
            <w:hideMark/>
          </w:tcPr>
          <w:p w14:paraId="2558E9AC" w14:textId="77777777" w:rsidR="00B63CF2" w:rsidRPr="00C61C87" w:rsidRDefault="00B63CF2" w:rsidP="00B63CF2">
            <w:pPr>
              <w:pStyle w:val="Tablebodytextnospaceafter"/>
            </w:pPr>
            <w:r w:rsidRPr="00C61C87">
              <w:t>Personnel costs</w:t>
            </w:r>
          </w:p>
        </w:tc>
        <w:tc>
          <w:tcPr>
            <w:tcW w:w="382" w:type="pct"/>
            <w:hideMark/>
          </w:tcPr>
          <w:p w14:paraId="5F09319E" w14:textId="77777777" w:rsidR="00B63CF2" w:rsidRPr="00E92E0C" w:rsidRDefault="00B63CF2" w:rsidP="00B63CF2">
            <w:pPr>
              <w:pStyle w:val="Tablebodytextnospaceafter"/>
              <w:jc w:val="right"/>
            </w:pPr>
            <w:r>
              <w:t>3</w:t>
            </w:r>
          </w:p>
        </w:tc>
        <w:tc>
          <w:tcPr>
            <w:tcW w:w="609" w:type="pct"/>
          </w:tcPr>
          <w:p w14:paraId="7EC154D5" w14:textId="77777777" w:rsidR="00B63CF2" w:rsidRPr="00AE2E80" w:rsidRDefault="00B63CF2" w:rsidP="00B63CF2">
            <w:pPr>
              <w:pStyle w:val="Tablebodytextnospaceafter"/>
              <w:jc w:val="right"/>
              <w:rPr>
                <w:rStyle w:val="Emphasis"/>
              </w:rPr>
            </w:pPr>
            <w:r w:rsidRPr="00AE2E80">
              <w:rPr>
                <w:rStyle w:val="Emphasis"/>
              </w:rPr>
              <w:t>14,228</w:t>
            </w:r>
          </w:p>
        </w:tc>
        <w:tc>
          <w:tcPr>
            <w:tcW w:w="627" w:type="pct"/>
          </w:tcPr>
          <w:p w14:paraId="59E078CC" w14:textId="77777777" w:rsidR="00B63CF2" w:rsidRPr="00C93CA5" w:rsidRDefault="00B63CF2" w:rsidP="00B63CF2">
            <w:pPr>
              <w:pStyle w:val="Tablebodytextnospaceafter"/>
              <w:jc w:val="right"/>
            </w:pPr>
            <w:r>
              <w:t>13,821</w:t>
            </w:r>
          </w:p>
        </w:tc>
        <w:tc>
          <w:tcPr>
            <w:tcW w:w="658" w:type="pct"/>
          </w:tcPr>
          <w:p w14:paraId="1387090C" w14:textId="77777777" w:rsidR="00B63CF2" w:rsidRPr="00C93CA5" w:rsidRDefault="00B63CF2" w:rsidP="00B63CF2">
            <w:pPr>
              <w:pStyle w:val="Tablebodytextnospaceafter"/>
              <w:jc w:val="right"/>
            </w:pPr>
            <w:r>
              <w:t>13,821</w:t>
            </w:r>
          </w:p>
        </w:tc>
        <w:tc>
          <w:tcPr>
            <w:tcW w:w="671" w:type="pct"/>
          </w:tcPr>
          <w:p w14:paraId="3E72CA28" w14:textId="77777777" w:rsidR="00B63CF2" w:rsidRPr="0068675D" w:rsidRDefault="00B63CF2" w:rsidP="00B63CF2">
            <w:pPr>
              <w:pStyle w:val="Tablebodytextnospaceafter"/>
              <w:jc w:val="right"/>
            </w:pPr>
            <w:r>
              <w:t>18,803</w:t>
            </w:r>
          </w:p>
        </w:tc>
      </w:tr>
      <w:tr w:rsidR="00B63CF2" w14:paraId="7EB216CA" w14:textId="77777777" w:rsidTr="00B63CF2">
        <w:trPr>
          <w:cnfStyle w:val="000000010000" w:firstRow="0" w:lastRow="0" w:firstColumn="0" w:lastColumn="0" w:oddVBand="0" w:evenVBand="0" w:oddHBand="0" w:evenHBand="1" w:firstRowFirstColumn="0" w:firstRowLastColumn="0" w:lastRowFirstColumn="0" w:lastRowLastColumn="0"/>
          <w:trHeight w:val="283"/>
        </w:trPr>
        <w:tc>
          <w:tcPr>
            <w:tcW w:w="609" w:type="pct"/>
          </w:tcPr>
          <w:p w14:paraId="38747523" w14:textId="77777777" w:rsidR="00B63CF2" w:rsidRPr="00770D53" w:rsidRDefault="00B63CF2" w:rsidP="00B63CF2">
            <w:pPr>
              <w:pStyle w:val="Tablebodytextnospaceafter"/>
              <w:jc w:val="right"/>
            </w:pPr>
            <w:r>
              <w:rPr>
                <w:rStyle w:val="Emphasis"/>
                <w:b w:val="0"/>
              </w:rPr>
              <w:t>5,916</w:t>
            </w:r>
          </w:p>
        </w:tc>
        <w:tc>
          <w:tcPr>
            <w:tcW w:w="1444" w:type="pct"/>
            <w:hideMark/>
          </w:tcPr>
          <w:p w14:paraId="66BE822D" w14:textId="77777777" w:rsidR="00B63CF2" w:rsidRPr="00C61C87" w:rsidRDefault="00B63CF2" w:rsidP="00B63CF2">
            <w:pPr>
              <w:pStyle w:val="Tablebodytextnospaceafter"/>
            </w:pPr>
            <w:r w:rsidRPr="00C61C87">
              <w:t>Other operating costs</w:t>
            </w:r>
          </w:p>
        </w:tc>
        <w:tc>
          <w:tcPr>
            <w:tcW w:w="382" w:type="pct"/>
            <w:hideMark/>
          </w:tcPr>
          <w:p w14:paraId="3594D69C" w14:textId="77777777" w:rsidR="00B63CF2" w:rsidRPr="00E92E0C" w:rsidRDefault="00B63CF2" w:rsidP="00B63CF2">
            <w:pPr>
              <w:pStyle w:val="Tablebodytextnospaceafter"/>
              <w:jc w:val="right"/>
            </w:pPr>
            <w:r>
              <w:t>4</w:t>
            </w:r>
          </w:p>
        </w:tc>
        <w:tc>
          <w:tcPr>
            <w:tcW w:w="609" w:type="pct"/>
          </w:tcPr>
          <w:p w14:paraId="29F9E57B" w14:textId="77777777" w:rsidR="00B63CF2" w:rsidRPr="00AE2E80" w:rsidRDefault="00B63CF2" w:rsidP="00B63CF2">
            <w:pPr>
              <w:pStyle w:val="Tablebodytextnospaceafter"/>
              <w:jc w:val="right"/>
              <w:rPr>
                <w:rStyle w:val="Emphasis"/>
              </w:rPr>
            </w:pPr>
            <w:r w:rsidRPr="00AE2E80">
              <w:rPr>
                <w:rStyle w:val="Emphasis"/>
              </w:rPr>
              <w:t>7,250</w:t>
            </w:r>
          </w:p>
        </w:tc>
        <w:tc>
          <w:tcPr>
            <w:tcW w:w="627" w:type="pct"/>
          </w:tcPr>
          <w:p w14:paraId="72E56C1C" w14:textId="77777777" w:rsidR="00B63CF2" w:rsidRPr="00C93CA5" w:rsidRDefault="00B63CF2" w:rsidP="00B63CF2">
            <w:pPr>
              <w:pStyle w:val="Tablebodytextnospaceafter"/>
              <w:jc w:val="right"/>
            </w:pPr>
            <w:r>
              <w:t>8,870</w:t>
            </w:r>
          </w:p>
        </w:tc>
        <w:tc>
          <w:tcPr>
            <w:tcW w:w="658" w:type="pct"/>
          </w:tcPr>
          <w:p w14:paraId="66715280" w14:textId="77777777" w:rsidR="00B63CF2" w:rsidRPr="00C93CA5" w:rsidRDefault="00B63CF2" w:rsidP="00B63CF2">
            <w:pPr>
              <w:pStyle w:val="Tablebodytextnospaceafter"/>
              <w:jc w:val="right"/>
            </w:pPr>
            <w:r>
              <w:t>8,935</w:t>
            </w:r>
          </w:p>
        </w:tc>
        <w:tc>
          <w:tcPr>
            <w:tcW w:w="671" w:type="pct"/>
          </w:tcPr>
          <w:p w14:paraId="2476DABC" w14:textId="77777777" w:rsidR="00B63CF2" w:rsidRPr="0068675D" w:rsidRDefault="00B63CF2" w:rsidP="00B63CF2">
            <w:pPr>
              <w:pStyle w:val="Tablebodytextnospaceafter"/>
              <w:jc w:val="right"/>
            </w:pPr>
            <w:r>
              <w:t>12,777</w:t>
            </w:r>
          </w:p>
        </w:tc>
      </w:tr>
      <w:tr w:rsidR="00B63CF2" w14:paraId="5E41E68E" w14:textId="77777777" w:rsidTr="00B63CF2">
        <w:trPr>
          <w:cnfStyle w:val="000000100000" w:firstRow="0" w:lastRow="0" w:firstColumn="0" w:lastColumn="0" w:oddVBand="0" w:evenVBand="0" w:oddHBand="1" w:evenHBand="0" w:firstRowFirstColumn="0" w:firstRowLastColumn="0" w:lastRowFirstColumn="0" w:lastRowLastColumn="0"/>
          <w:trHeight w:val="305"/>
        </w:trPr>
        <w:tc>
          <w:tcPr>
            <w:tcW w:w="609" w:type="pct"/>
            <w:vAlign w:val="center"/>
          </w:tcPr>
          <w:p w14:paraId="112141F1" w14:textId="77777777" w:rsidR="00B63CF2" w:rsidRPr="00770D53" w:rsidRDefault="00B63CF2" w:rsidP="00B63CF2">
            <w:pPr>
              <w:pStyle w:val="Tablebodytextnospaceafter"/>
              <w:jc w:val="right"/>
            </w:pPr>
            <w:r>
              <w:rPr>
                <w:rStyle w:val="Emphasis"/>
                <w:b w:val="0"/>
              </w:rPr>
              <w:t>570</w:t>
            </w:r>
          </w:p>
        </w:tc>
        <w:tc>
          <w:tcPr>
            <w:tcW w:w="1444" w:type="pct"/>
            <w:vAlign w:val="center"/>
            <w:hideMark/>
          </w:tcPr>
          <w:p w14:paraId="43EB6616" w14:textId="77777777" w:rsidR="00B63CF2" w:rsidRPr="00C61C87" w:rsidRDefault="00B63CF2" w:rsidP="00B63CF2">
            <w:pPr>
              <w:pStyle w:val="Tablebodytextnospaceafter"/>
            </w:pPr>
            <w:r w:rsidRPr="00C61C87">
              <w:t>Depreciation and amortisation</w:t>
            </w:r>
          </w:p>
        </w:tc>
        <w:tc>
          <w:tcPr>
            <w:tcW w:w="382" w:type="pct"/>
            <w:vAlign w:val="center"/>
            <w:hideMark/>
          </w:tcPr>
          <w:p w14:paraId="38B821ED" w14:textId="77777777" w:rsidR="00B63CF2" w:rsidRPr="00E92E0C" w:rsidRDefault="00B63CF2" w:rsidP="00B63CF2">
            <w:pPr>
              <w:pStyle w:val="Tablebodytextnospaceafter"/>
              <w:jc w:val="right"/>
            </w:pPr>
            <w:r>
              <w:t>5</w:t>
            </w:r>
          </w:p>
        </w:tc>
        <w:tc>
          <w:tcPr>
            <w:tcW w:w="609" w:type="pct"/>
            <w:vAlign w:val="center"/>
          </w:tcPr>
          <w:p w14:paraId="0AFA42F7" w14:textId="77777777" w:rsidR="00B63CF2" w:rsidRPr="00AE2E80" w:rsidRDefault="00B63CF2" w:rsidP="00B63CF2">
            <w:pPr>
              <w:pStyle w:val="Tablebodytextnospaceafter"/>
              <w:jc w:val="right"/>
              <w:rPr>
                <w:rStyle w:val="Emphasis"/>
              </w:rPr>
            </w:pPr>
            <w:r w:rsidRPr="00AE2E80">
              <w:rPr>
                <w:rStyle w:val="Emphasis"/>
              </w:rPr>
              <w:t>614</w:t>
            </w:r>
          </w:p>
        </w:tc>
        <w:tc>
          <w:tcPr>
            <w:tcW w:w="627" w:type="pct"/>
            <w:vAlign w:val="center"/>
          </w:tcPr>
          <w:p w14:paraId="3DE7A43E" w14:textId="77777777" w:rsidR="00B63CF2" w:rsidRPr="00C93CA5" w:rsidRDefault="00B63CF2" w:rsidP="00B63CF2">
            <w:pPr>
              <w:pStyle w:val="Tablebodytextnospaceafter"/>
              <w:jc w:val="right"/>
            </w:pPr>
            <w:r>
              <w:t>866</w:t>
            </w:r>
          </w:p>
        </w:tc>
        <w:tc>
          <w:tcPr>
            <w:tcW w:w="658" w:type="pct"/>
            <w:vAlign w:val="center"/>
          </w:tcPr>
          <w:p w14:paraId="7A94C64C" w14:textId="77777777" w:rsidR="00B63CF2" w:rsidRPr="00C93CA5" w:rsidRDefault="00B63CF2" w:rsidP="00B63CF2">
            <w:pPr>
              <w:pStyle w:val="Tablebodytextnospaceafter"/>
              <w:jc w:val="right"/>
            </w:pPr>
            <w:r>
              <w:t>866</w:t>
            </w:r>
          </w:p>
        </w:tc>
        <w:tc>
          <w:tcPr>
            <w:tcW w:w="671" w:type="pct"/>
            <w:vAlign w:val="center"/>
          </w:tcPr>
          <w:p w14:paraId="38884167" w14:textId="77777777" w:rsidR="00B63CF2" w:rsidRPr="0068675D" w:rsidRDefault="00B63CF2" w:rsidP="00B63CF2">
            <w:pPr>
              <w:pStyle w:val="Tablebodytextnospaceafter"/>
              <w:jc w:val="right"/>
            </w:pPr>
            <w:r>
              <w:t>1,091</w:t>
            </w:r>
          </w:p>
        </w:tc>
      </w:tr>
      <w:tr w:rsidR="00B63CF2" w14:paraId="3C29DB20" w14:textId="77777777" w:rsidTr="00B63CF2">
        <w:trPr>
          <w:cnfStyle w:val="000000010000" w:firstRow="0" w:lastRow="0" w:firstColumn="0" w:lastColumn="0" w:oddVBand="0" w:evenVBand="0" w:oddHBand="0" w:evenHBand="1" w:firstRowFirstColumn="0" w:firstRowLastColumn="0" w:lastRowFirstColumn="0" w:lastRowLastColumn="0"/>
          <w:trHeight w:val="254"/>
        </w:trPr>
        <w:tc>
          <w:tcPr>
            <w:tcW w:w="609" w:type="pct"/>
            <w:tcBorders>
              <w:bottom w:val="single" w:sz="4" w:space="0" w:color="FFFFFF" w:themeColor="background1"/>
            </w:tcBorders>
          </w:tcPr>
          <w:p w14:paraId="2136C322" w14:textId="77777777" w:rsidR="00B63CF2" w:rsidRPr="00770D53" w:rsidRDefault="00B63CF2" w:rsidP="00B63CF2">
            <w:pPr>
              <w:pStyle w:val="Tablebodytextnospaceafter"/>
              <w:jc w:val="right"/>
            </w:pPr>
            <w:r>
              <w:rPr>
                <w:rStyle w:val="Emphasis"/>
                <w:b w:val="0"/>
              </w:rPr>
              <w:t>267</w:t>
            </w:r>
          </w:p>
        </w:tc>
        <w:tc>
          <w:tcPr>
            <w:tcW w:w="1444" w:type="pct"/>
            <w:hideMark/>
          </w:tcPr>
          <w:p w14:paraId="4CE8B842" w14:textId="77777777" w:rsidR="00B63CF2" w:rsidRPr="00C61C87" w:rsidRDefault="00B63CF2" w:rsidP="00B63CF2">
            <w:pPr>
              <w:pStyle w:val="Tablebodytextnospaceafter"/>
            </w:pPr>
            <w:r w:rsidRPr="00C61C87">
              <w:t>Capital charge</w:t>
            </w:r>
          </w:p>
        </w:tc>
        <w:tc>
          <w:tcPr>
            <w:tcW w:w="382" w:type="pct"/>
            <w:hideMark/>
          </w:tcPr>
          <w:p w14:paraId="16F18BB4" w14:textId="77777777" w:rsidR="00B63CF2" w:rsidRPr="00E92E0C" w:rsidRDefault="00B63CF2" w:rsidP="00B63CF2">
            <w:pPr>
              <w:pStyle w:val="Tablebodytextnospaceafter"/>
              <w:jc w:val="right"/>
            </w:pPr>
            <w:r>
              <w:t>6</w:t>
            </w:r>
          </w:p>
        </w:tc>
        <w:tc>
          <w:tcPr>
            <w:tcW w:w="609" w:type="pct"/>
            <w:tcBorders>
              <w:bottom w:val="single" w:sz="4" w:space="0" w:color="FFFFFF" w:themeColor="background1"/>
            </w:tcBorders>
          </w:tcPr>
          <w:p w14:paraId="4B89360E" w14:textId="77777777" w:rsidR="00B63CF2" w:rsidRPr="00AE2E80" w:rsidRDefault="00B63CF2" w:rsidP="00B63CF2">
            <w:pPr>
              <w:pStyle w:val="Tablebodytextnospaceafter"/>
              <w:jc w:val="right"/>
              <w:rPr>
                <w:rStyle w:val="Emphasis"/>
              </w:rPr>
            </w:pPr>
            <w:r w:rsidRPr="00AE2E80">
              <w:rPr>
                <w:rStyle w:val="Emphasis"/>
              </w:rPr>
              <w:t>406</w:t>
            </w:r>
          </w:p>
        </w:tc>
        <w:tc>
          <w:tcPr>
            <w:tcW w:w="627" w:type="pct"/>
            <w:tcBorders>
              <w:bottom w:val="single" w:sz="4" w:space="0" w:color="FFFFFF" w:themeColor="background1"/>
            </w:tcBorders>
          </w:tcPr>
          <w:p w14:paraId="69EBA3BB" w14:textId="77777777" w:rsidR="00B63CF2" w:rsidRPr="00C93CA5" w:rsidRDefault="00B63CF2" w:rsidP="00B63CF2">
            <w:pPr>
              <w:pStyle w:val="Tablebodytextnospaceafter"/>
              <w:jc w:val="right"/>
            </w:pPr>
            <w:r>
              <w:t>323</w:t>
            </w:r>
          </w:p>
        </w:tc>
        <w:tc>
          <w:tcPr>
            <w:tcW w:w="658" w:type="pct"/>
            <w:tcBorders>
              <w:bottom w:val="single" w:sz="4" w:space="0" w:color="FFFFFF" w:themeColor="background1"/>
            </w:tcBorders>
          </w:tcPr>
          <w:p w14:paraId="0FF52550" w14:textId="77777777" w:rsidR="00B63CF2" w:rsidRPr="00C93CA5" w:rsidRDefault="00B63CF2" w:rsidP="00B63CF2">
            <w:pPr>
              <w:pStyle w:val="Tablebodytextnospaceafter"/>
              <w:jc w:val="right"/>
            </w:pPr>
            <w:r>
              <w:t>323</w:t>
            </w:r>
          </w:p>
        </w:tc>
        <w:tc>
          <w:tcPr>
            <w:tcW w:w="671" w:type="pct"/>
            <w:tcBorders>
              <w:bottom w:val="single" w:sz="4" w:space="0" w:color="FFFFFF" w:themeColor="background1"/>
            </w:tcBorders>
          </w:tcPr>
          <w:p w14:paraId="4AA52283" w14:textId="77777777" w:rsidR="00B63CF2" w:rsidRPr="0068675D" w:rsidRDefault="00B63CF2" w:rsidP="00B63CF2">
            <w:pPr>
              <w:pStyle w:val="Tablebodytextnospaceafter"/>
              <w:jc w:val="right"/>
            </w:pPr>
            <w:r>
              <w:t>594</w:t>
            </w:r>
          </w:p>
        </w:tc>
      </w:tr>
      <w:tr w:rsidR="00B63CF2" w14:paraId="5141073D" w14:textId="77777777" w:rsidTr="00B63CF2">
        <w:trPr>
          <w:cnfStyle w:val="000000100000" w:firstRow="0" w:lastRow="0" w:firstColumn="0" w:lastColumn="0" w:oddVBand="0" w:evenVBand="0" w:oddHBand="1" w:evenHBand="0" w:firstRowFirstColumn="0" w:firstRowLastColumn="0" w:lastRowFirstColumn="0" w:lastRowLastColumn="0"/>
          <w:trHeight w:val="60"/>
        </w:trPr>
        <w:tc>
          <w:tcPr>
            <w:tcW w:w="609" w:type="pct"/>
            <w:tcBorders>
              <w:top w:val="single" w:sz="4" w:space="0" w:color="FFFFFF" w:themeColor="background1"/>
              <w:bottom w:val="single" w:sz="4" w:space="0" w:color="FFFFFF" w:themeColor="background1"/>
            </w:tcBorders>
            <w:shd w:val="clear" w:color="auto" w:fill="BFBFBF"/>
          </w:tcPr>
          <w:p w14:paraId="2CC824CE" w14:textId="77777777" w:rsidR="00B63CF2" w:rsidRPr="00770D53" w:rsidRDefault="00B63CF2" w:rsidP="00B63CF2">
            <w:pPr>
              <w:pStyle w:val="Tablebodytextnospaceafter"/>
              <w:jc w:val="right"/>
              <w:rPr>
                <w:u w:val="single"/>
              </w:rPr>
            </w:pPr>
            <w:r>
              <w:rPr>
                <w:rStyle w:val="Emphasis"/>
                <w:u w:val="single"/>
              </w:rPr>
              <w:t>17,699</w:t>
            </w:r>
          </w:p>
        </w:tc>
        <w:tc>
          <w:tcPr>
            <w:tcW w:w="1444" w:type="pct"/>
            <w:tcBorders>
              <w:top w:val="single" w:sz="4" w:space="0" w:color="FFFFFF" w:themeColor="background1"/>
            </w:tcBorders>
            <w:shd w:val="clear" w:color="auto" w:fill="BFBFBF"/>
            <w:hideMark/>
          </w:tcPr>
          <w:p w14:paraId="1538C5EF" w14:textId="77777777" w:rsidR="00B63CF2" w:rsidRPr="00717943" w:rsidRDefault="00B63CF2" w:rsidP="00B63CF2">
            <w:pPr>
              <w:pStyle w:val="Tablebodytextnospaceafter"/>
              <w:rPr>
                <w:rStyle w:val="EmphasisItalics"/>
              </w:rPr>
            </w:pPr>
            <w:r w:rsidRPr="00717943">
              <w:rPr>
                <w:rStyle w:val="EmphasisItalics"/>
              </w:rPr>
              <w:t>Total expenses</w:t>
            </w:r>
          </w:p>
        </w:tc>
        <w:tc>
          <w:tcPr>
            <w:tcW w:w="382" w:type="pct"/>
            <w:tcBorders>
              <w:top w:val="single" w:sz="4" w:space="0" w:color="FFFFFF" w:themeColor="background1"/>
            </w:tcBorders>
            <w:shd w:val="clear" w:color="auto" w:fill="BFBFBF"/>
          </w:tcPr>
          <w:p w14:paraId="3E0E2629" w14:textId="77777777" w:rsidR="00B63CF2" w:rsidRPr="00C61C87" w:rsidRDefault="00B63CF2" w:rsidP="00B63CF2">
            <w:pPr>
              <w:pStyle w:val="Tablebodytextnospaceafter"/>
              <w:jc w:val="right"/>
            </w:pPr>
          </w:p>
        </w:tc>
        <w:tc>
          <w:tcPr>
            <w:tcW w:w="609" w:type="pct"/>
            <w:tcBorders>
              <w:top w:val="single" w:sz="4" w:space="0" w:color="FFFFFF" w:themeColor="background1"/>
              <w:bottom w:val="single" w:sz="4" w:space="0" w:color="FFFFFF" w:themeColor="background1"/>
            </w:tcBorders>
            <w:shd w:val="clear" w:color="auto" w:fill="BFBFBF"/>
          </w:tcPr>
          <w:p w14:paraId="3FDABF8C" w14:textId="12DE15CA" w:rsidR="00B63CF2" w:rsidRPr="009C6242" w:rsidRDefault="00B63CF2" w:rsidP="00B63CF2">
            <w:pPr>
              <w:pStyle w:val="Tablebodytextnospaceafter"/>
              <w:jc w:val="right"/>
              <w:rPr>
                <w:rStyle w:val="Emphasis"/>
                <w:u w:val="single"/>
              </w:rPr>
            </w:pPr>
            <w:r w:rsidRPr="009C6242">
              <w:rPr>
                <w:rStyle w:val="Emphasis"/>
                <w:u w:val="single"/>
              </w:rPr>
              <w:t>22,49</w:t>
            </w:r>
            <w:r>
              <w:rPr>
                <w:rStyle w:val="Emphasis"/>
                <w:u w:val="single"/>
              </w:rPr>
              <w:t>8</w:t>
            </w:r>
          </w:p>
        </w:tc>
        <w:tc>
          <w:tcPr>
            <w:tcW w:w="627" w:type="pct"/>
            <w:tcBorders>
              <w:top w:val="single" w:sz="4" w:space="0" w:color="FFFFFF" w:themeColor="background1"/>
              <w:bottom w:val="single" w:sz="4" w:space="0" w:color="FFFFFF" w:themeColor="background1"/>
            </w:tcBorders>
            <w:shd w:val="clear" w:color="auto" w:fill="BFBFBF"/>
          </w:tcPr>
          <w:p w14:paraId="45F330BB" w14:textId="77777777" w:rsidR="00B63CF2" w:rsidRPr="009C6242" w:rsidRDefault="00B63CF2" w:rsidP="00B63CF2">
            <w:pPr>
              <w:pStyle w:val="Tablebodytextnospaceafter"/>
              <w:jc w:val="right"/>
              <w:rPr>
                <w:u w:val="single"/>
              </w:rPr>
            </w:pPr>
            <w:r>
              <w:rPr>
                <w:u w:val="single"/>
              </w:rPr>
              <w:t>23,880</w:t>
            </w:r>
          </w:p>
        </w:tc>
        <w:tc>
          <w:tcPr>
            <w:tcW w:w="658" w:type="pct"/>
            <w:tcBorders>
              <w:top w:val="single" w:sz="4" w:space="0" w:color="FFFFFF" w:themeColor="background1"/>
              <w:bottom w:val="single" w:sz="4" w:space="0" w:color="FFFFFF" w:themeColor="background1"/>
            </w:tcBorders>
            <w:shd w:val="clear" w:color="auto" w:fill="BFBFBF"/>
          </w:tcPr>
          <w:p w14:paraId="1DA14BBB" w14:textId="77777777" w:rsidR="00B63CF2" w:rsidRPr="00C93CA5" w:rsidRDefault="00B63CF2" w:rsidP="00B63CF2">
            <w:pPr>
              <w:pStyle w:val="Tablebodytextnospaceafter"/>
              <w:jc w:val="right"/>
              <w:rPr>
                <w:u w:val="single"/>
              </w:rPr>
            </w:pPr>
            <w:r>
              <w:rPr>
                <w:u w:val="single"/>
              </w:rPr>
              <w:t>23,945</w:t>
            </w:r>
          </w:p>
        </w:tc>
        <w:tc>
          <w:tcPr>
            <w:tcW w:w="671" w:type="pct"/>
            <w:tcBorders>
              <w:top w:val="single" w:sz="4" w:space="0" w:color="FFFFFF" w:themeColor="background1"/>
              <w:bottom w:val="single" w:sz="4" w:space="0" w:color="FFFFFF" w:themeColor="background1"/>
            </w:tcBorders>
            <w:shd w:val="clear" w:color="auto" w:fill="BFBFBF"/>
          </w:tcPr>
          <w:p w14:paraId="4FE2F796" w14:textId="77777777" w:rsidR="00B63CF2" w:rsidRPr="00C93CA5" w:rsidRDefault="00B63CF2" w:rsidP="00B63CF2">
            <w:pPr>
              <w:pStyle w:val="Tablebodytextnospaceafter"/>
              <w:jc w:val="right"/>
              <w:rPr>
                <w:u w:val="single"/>
              </w:rPr>
            </w:pPr>
            <w:r>
              <w:rPr>
                <w:u w:val="single"/>
              </w:rPr>
              <w:t>33,265</w:t>
            </w:r>
          </w:p>
        </w:tc>
      </w:tr>
      <w:tr w:rsidR="00B63CF2" w14:paraId="488D7EEB" w14:textId="77777777" w:rsidTr="00B63CF2">
        <w:trPr>
          <w:cnfStyle w:val="000000010000" w:firstRow="0" w:lastRow="0" w:firstColumn="0" w:lastColumn="0" w:oddVBand="0" w:evenVBand="0" w:oddHBand="0" w:evenHBand="1" w:firstRowFirstColumn="0" w:firstRowLastColumn="0" w:lastRowFirstColumn="0" w:lastRowLastColumn="0"/>
          <w:trHeight w:val="60"/>
        </w:trPr>
        <w:tc>
          <w:tcPr>
            <w:tcW w:w="609" w:type="pct"/>
            <w:tcBorders>
              <w:top w:val="single" w:sz="4" w:space="0" w:color="FFFFFF" w:themeColor="background1"/>
            </w:tcBorders>
            <w:shd w:val="clear" w:color="auto" w:fill="BFBFBF"/>
          </w:tcPr>
          <w:p w14:paraId="46BF8F85" w14:textId="77777777" w:rsidR="00B63CF2" w:rsidRPr="00C61C87" w:rsidRDefault="00B63CF2" w:rsidP="00B63CF2">
            <w:pPr>
              <w:pStyle w:val="Tablebodytextnospaceafter"/>
              <w:jc w:val="right"/>
            </w:pPr>
            <w:r>
              <w:rPr>
                <w:rStyle w:val="Emphasis"/>
              </w:rPr>
              <w:t>923</w:t>
            </w:r>
          </w:p>
        </w:tc>
        <w:tc>
          <w:tcPr>
            <w:tcW w:w="1444" w:type="pct"/>
            <w:shd w:val="clear" w:color="auto" w:fill="BFBFBF"/>
            <w:hideMark/>
          </w:tcPr>
          <w:p w14:paraId="3DF1AB6C" w14:textId="77777777" w:rsidR="00B63CF2" w:rsidRPr="00717943" w:rsidRDefault="00B63CF2" w:rsidP="00B63CF2">
            <w:pPr>
              <w:pStyle w:val="Tablebodytextnospaceafter"/>
              <w:rPr>
                <w:rStyle w:val="Emphasis"/>
              </w:rPr>
            </w:pPr>
            <w:r w:rsidRPr="00717943">
              <w:rPr>
                <w:rStyle w:val="Emphasis"/>
              </w:rPr>
              <w:t>Surplus/(deficit)</w:t>
            </w:r>
          </w:p>
        </w:tc>
        <w:tc>
          <w:tcPr>
            <w:tcW w:w="382" w:type="pct"/>
            <w:shd w:val="clear" w:color="auto" w:fill="BFBFBF"/>
          </w:tcPr>
          <w:p w14:paraId="7B4A1A5C" w14:textId="77777777" w:rsidR="00B63CF2" w:rsidRPr="00C61C87" w:rsidRDefault="00B63CF2" w:rsidP="00B63CF2">
            <w:pPr>
              <w:pStyle w:val="Tablebodytextnospaceafter"/>
              <w:jc w:val="right"/>
            </w:pPr>
          </w:p>
        </w:tc>
        <w:tc>
          <w:tcPr>
            <w:tcW w:w="609" w:type="pct"/>
            <w:tcBorders>
              <w:top w:val="single" w:sz="4" w:space="0" w:color="FFFFFF" w:themeColor="background1"/>
            </w:tcBorders>
            <w:shd w:val="clear" w:color="auto" w:fill="BFBFBF"/>
          </w:tcPr>
          <w:p w14:paraId="64E22A3D" w14:textId="77777777" w:rsidR="00B63CF2" w:rsidRPr="009C6242" w:rsidRDefault="00B63CF2" w:rsidP="00B63CF2">
            <w:pPr>
              <w:pStyle w:val="Tablebodytextnospaceafter"/>
              <w:jc w:val="right"/>
              <w:rPr>
                <w:rStyle w:val="Emphasis"/>
              </w:rPr>
            </w:pPr>
            <w:r>
              <w:rPr>
                <w:rStyle w:val="Emphasis"/>
              </w:rPr>
              <w:t>1,446</w:t>
            </w:r>
          </w:p>
        </w:tc>
        <w:tc>
          <w:tcPr>
            <w:tcW w:w="627" w:type="pct"/>
            <w:tcBorders>
              <w:top w:val="single" w:sz="4" w:space="0" w:color="FFFFFF" w:themeColor="background1"/>
            </w:tcBorders>
            <w:shd w:val="clear" w:color="auto" w:fill="BFBFBF"/>
          </w:tcPr>
          <w:p w14:paraId="537B58E0" w14:textId="77777777" w:rsidR="00B63CF2" w:rsidRPr="00C93CA5" w:rsidRDefault="00B63CF2" w:rsidP="00B63CF2">
            <w:pPr>
              <w:pStyle w:val="Tablebodytextnospaceafter"/>
              <w:jc w:val="right"/>
            </w:pPr>
            <w:r>
              <w:t>-</w:t>
            </w:r>
          </w:p>
        </w:tc>
        <w:tc>
          <w:tcPr>
            <w:tcW w:w="658" w:type="pct"/>
            <w:tcBorders>
              <w:top w:val="single" w:sz="4" w:space="0" w:color="FFFFFF" w:themeColor="background1"/>
            </w:tcBorders>
            <w:shd w:val="clear" w:color="auto" w:fill="BFBFBF"/>
          </w:tcPr>
          <w:p w14:paraId="3E0D66BC" w14:textId="77777777" w:rsidR="00B63CF2" w:rsidRPr="00C93CA5" w:rsidRDefault="00B63CF2" w:rsidP="00B63CF2">
            <w:pPr>
              <w:pStyle w:val="Tablebodytextnospaceafter"/>
              <w:jc w:val="right"/>
            </w:pPr>
            <w:r>
              <w:t>-</w:t>
            </w:r>
          </w:p>
        </w:tc>
        <w:tc>
          <w:tcPr>
            <w:tcW w:w="671" w:type="pct"/>
            <w:tcBorders>
              <w:top w:val="single" w:sz="4" w:space="0" w:color="FFFFFF" w:themeColor="background1"/>
            </w:tcBorders>
            <w:shd w:val="clear" w:color="auto" w:fill="BFBFBF"/>
          </w:tcPr>
          <w:p w14:paraId="232B2093" w14:textId="77777777" w:rsidR="00B63CF2" w:rsidRPr="00C93CA5" w:rsidRDefault="00B63CF2" w:rsidP="00B63CF2">
            <w:pPr>
              <w:pStyle w:val="Tablebodytextnospaceafter"/>
              <w:jc w:val="right"/>
            </w:pPr>
            <w:r>
              <w:t>-</w:t>
            </w:r>
          </w:p>
        </w:tc>
      </w:tr>
      <w:tr w:rsidR="00B63CF2" w14:paraId="02300E80" w14:textId="77777777" w:rsidTr="00B63CF2">
        <w:trPr>
          <w:cnfStyle w:val="000000100000" w:firstRow="0" w:lastRow="0" w:firstColumn="0" w:lastColumn="0" w:oddVBand="0" w:evenVBand="0" w:oddHBand="1" w:evenHBand="0" w:firstRowFirstColumn="0" w:firstRowLastColumn="0" w:lastRowFirstColumn="0" w:lastRowLastColumn="0"/>
          <w:trHeight w:val="60"/>
        </w:trPr>
        <w:tc>
          <w:tcPr>
            <w:tcW w:w="609" w:type="pct"/>
          </w:tcPr>
          <w:p w14:paraId="774ADD34" w14:textId="77777777" w:rsidR="00B63CF2" w:rsidRPr="00C61C87" w:rsidRDefault="00B63CF2" w:rsidP="00B63CF2">
            <w:pPr>
              <w:pStyle w:val="Tablebodytextnospaceafter"/>
              <w:jc w:val="right"/>
            </w:pPr>
            <w:r>
              <w:t>-</w:t>
            </w:r>
          </w:p>
        </w:tc>
        <w:tc>
          <w:tcPr>
            <w:tcW w:w="1444" w:type="pct"/>
            <w:hideMark/>
          </w:tcPr>
          <w:p w14:paraId="0E14F9F2" w14:textId="77777777" w:rsidR="00B63CF2" w:rsidRPr="00C61C87" w:rsidRDefault="00B63CF2" w:rsidP="00B63CF2">
            <w:pPr>
              <w:pStyle w:val="Tablebodytextnospaceafter"/>
            </w:pPr>
            <w:r w:rsidRPr="00C61C87">
              <w:t>Other comprehensive revenue and expense</w:t>
            </w:r>
          </w:p>
        </w:tc>
        <w:tc>
          <w:tcPr>
            <w:tcW w:w="382" w:type="pct"/>
          </w:tcPr>
          <w:p w14:paraId="55C57BAD" w14:textId="77777777" w:rsidR="00B63CF2" w:rsidRPr="00C61C87" w:rsidRDefault="00B63CF2" w:rsidP="00B63CF2">
            <w:pPr>
              <w:pStyle w:val="Tablebodytextnospaceafter"/>
              <w:jc w:val="right"/>
            </w:pPr>
          </w:p>
        </w:tc>
        <w:tc>
          <w:tcPr>
            <w:tcW w:w="609" w:type="pct"/>
          </w:tcPr>
          <w:p w14:paraId="14266F9F" w14:textId="77777777" w:rsidR="00B63CF2" w:rsidRPr="00C61C87" w:rsidRDefault="00B63CF2" w:rsidP="00B63CF2">
            <w:pPr>
              <w:pStyle w:val="Tablebodytextnospaceafter"/>
              <w:jc w:val="right"/>
            </w:pPr>
            <w:r>
              <w:t>-</w:t>
            </w:r>
          </w:p>
        </w:tc>
        <w:tc>
          <w:tcPr>
            <w:tcW w:w="627" w:type="pct"/>
          </w:tcPr>
          <w:p w14:paraId="2194DD16" w14:textId="77777777" w:rsidR="00B63CF2" w:rsidRPr="00C93CA5" w:rsidRDefault="00B63CF2" w:rsidP="00B63CF2">
            <w:pPr>
              <w:pStyle w:val="Tablebodytextnospaceafter"/>
              <w:jc w:val="right"/>
            </w:pPr>
            <w:r>
              <w:t>-</w:t>
            </w:r>
          </w:p>
        </w:tc>
        <w:tc>
          <w:tcPr>
            <w:tcW w:w="658" w:type="pct"/>
          </w:tcPr>
          <w:p w14:paraId="66F262EA" w14:textId="77777777" w:rsidR="00B63CF2" w:rsidRPr="00C93CA5" w:rsidRDefault="00B63CF2" w:rsidP="00B63CF2">
            <w:pPr>
              <w:pStyle w:val="Tablebodytextnospaceafter"/>
              <w:jc w:val="right"/>
            </w:pPr>
            <w:r>
              <w:t>-</w:t>
            </w:r>
          </w:p>
        </w:tc>
        <w:tc>
          <w:tcPr>
            <w:tcW w:w="671" w:type="pct"/>
          </w:tcPr>
          <w:p w14:paraId="7BC9A79C" w14:textId="77777777" w:rsidR="00B63CF2" w:rsidRPr="00C93CA5" w:rsidRDefault="00B63CF2" w:rsidP="00B63CF2">
            <w:pPr>
              <w:pStyle w:val="Tablebodytextnospaceafter"/>
              <w:jc w:val="right"/>
            </w:pPr>
            <w:r>
              <w:t>-</w:t>
            </w:r>
          </w:p>
        </w:tc>
      </w:tr>
      <w:tr w:rsidR="00B63CF2" w14:paraId="0B132439" w14:textId="77777777" w:rsidTr="00B63CF2">
        <w:trPr>
          <w:cnfStyle w:val="000000010000" w:firstRow="0" w:lastRow="0" w:firstColumn="0" w:lastColumn="0" w:oddVBand="0" w:evenVBand="0" w:oddHBand="0" w:evenHBand="1" w:firstRowFirstColumn="0" w:firstRowLastColumn="0" w:lastRowFirstColumn="0" w:lastRowLastColumn="0"/>
          <w:trHeight w:val="60"/>
        </w:trPr>
        <w:tc>
          <w:tcPr>
            <w:tcW w:w="609" w:type="pct"/>
            <w:shd w:val="clear" w:color="auto" w:fill="BFBFBF"/>
          </w:tcPr>
          <w:p w14:paraId="08A8FDAD" w14:textId="77777777" w:rsidR="00B63CF2" w:rsidRPr="00797C71" w:rsidRDefault="00B63CF2" w:rsidP="00B63CF2">
            <w:pPr>
              <w:pStyle w:val="Tablebodytextnospaceafter"/>
              <w:jc w:val="right"/>
              <w:rPr>
                <w:rStyle w:val="Emphasis"/>
              </w:rPr>
            </w:pPr>
            <w:r w:rsidRPr="00797C71">
              <w:rPr>
                <w:rStyle w:val="Emphasis"/>
              </w:rPr>
              <w:t>923</w:t>
            </w:r>
          </w:p>
        </w:tc>
        <w:tc>
          <w:tcPr>
            <w:tcW w:w="1444" w:type="pct"/>
            <w:shd w:val="clear" w:color="auto" w:fill="BFBFBF"/>
            <w:hideMark/>
          </w:tcPr>
          <w:p w14:paraId="561879AA" w14:textId="77777777" w:rsidR="00B63CF2" w:rsidRPr="00C61C87" w:rsidRDefault="00B63CF2" w:rsidP="00B63CF2">
            <w:pPr>
              <w:pStyle w:val="Tablebodytextnospaceafter"/>
              <w:rPr>
                <w:b/>
              </w:rPr>
            </w:pPr>
            <w:r w:rsidRPr="00C61C87">
              <w:rPr>
                <w:b/>
              </w:rPr>
              <w:t>Total comprehensive revenue and expense</w:t>
            </w:r>
          </w:p>
        </w:tc>
        <w:tc>
          <w:tcPr>
            <w:tcW w:w="382" w:type="pct"/>
            <w:shd w:val="clear" w:color="auto" w:fill="BFBFBF"/>
          </w:tcPr>
          <w:p w14:paraId="040058DA" w14:textId="77777777" w:rsidR="00B63CF2" w:rsidRPr="00C61C87" w:rsidRDefault="00B63CF2" w:rsidP="00B63CF2">
            <w:pPr>
              <w:pStyle w:val="Tablebodytextnospaceafter"/>
              <w:jc w:val="right"/>
            </w:pPr>
          </w:p>
        </w:tc>
        <w:tc>
          <w:tcPr>
            <w:tcW w:w="609" w:type="pct"/>
            <w:shd w:val="clear" w:color="auto" w:fill="BFBFBF"/>
          </w:tcPr>
          <w:p w14:paraId="1C5D4F2E" w14:textId="77777777" w:rsidR="00B63CF2" w:rsidRPr="00AE2E80" w:rsidRDefault="00B63CF2" w:rsidP="00B63CF2">
            <w:pPr>
              <w:pStyle w:val="Tablebodytextnospaceafter"/>
              <w:jc w:val="right"/>
              <w:rPr>
                <w:b/>
              </w:rPr>
            </w:pPr>
            <w:r w:rsidRPr="00AE2E80">
              <w:rPr>
                <w:b/>
              </w:rPr>
              <w:t>1,446</w:t>
            </w:r>
          </w:p>
        </w:tc>
        <w:tc>
          <w:tcPr>
            <w:tcW w:w="627" w:type="pct"/>
            <w:shd w:val="clear" w:color="auto" w:fill="BFBFBF"/>
          </w:tcPr>
          <w:p w14:paraId="42B36317" w14:textId="77777777" w:rsidR="00B63CF2" w:rsidRPr="00C93CA5" w:rsidRDefault="00B63CF2" w:rsidP="00B63CF2">
            <w:pPr>
              <w:pStyle w:val="Tablebodytextnospaceafter"/>
              <w:jc w:val="right"/>
            </w:pPr>
            <w:r>
              <w:t>-</w:t>
            </w:r>
          </w:p>
        </w:tc>
        <w:tc>
          <w:tcPr>
            <w:tcW w:w="658" w:type="pct"/>
            <w:shd w:val="clear" w:color="auto" w:fill="BFBFBF"/>
          </w:tcPr>
          <w:p w14:paraId="76ED38DA" w14:textId="77777777" w:rsidR="00B63CF2" w:rsidRPr="00C93CA5" w:rsidRDefault="00B63CF2" w:rsidP="00B63CF2">
            <w:pPr>
              <w:pStyle w:val="Tablebodytextnospaceafter"/>
              <w:jc w:val="right"/>
            </w:pPr>
            <w:r>
              <w:t>-</w:t>
            </w:r>
          </w:p>
        </w:tc>
        <w:tc>
          <w:tcPr>
            <w:tcW w:w="671" w:type="pct"/>
            <w:shd w:val="clear" w:color="auto" w:fill="BFBFBF"/>
          </w:tcPr>
          <w:p w14:paraId="05AAF8B0" w14:textId="77777777" w:rsidR="00B63CF2" w:rsidRPr="00C93CA5" w:rsidRDefault="00B63CF2" w:rsidP="00B63CF2">
            <w:pPr>
              <w:pStyle w:val="Tablebodytextnospaceafter"/>
              <w:jc w:val="right"/>
            </w:pPr>
            <w:r>
              <w:t>-</w:t>
            </w:r>
          </w:p>
        </w:tc>
      </w:tr>
    </w:tbl>
    <w:p w14:paraId="78615F98" w14:textId="77777777" w:rsidR="00DF1795" w:rsidRDefault="00DF1795" w:rsidP="00DF1795">
      <w:pPr>
        <w:pStyle w:val="Whitespace"/>
      </w:pPr>
    </w:p>
    <w:p w14:paraId="4A9D2F99" w14:textId="6CF69510" w:rsidR="00DF1795" w:rsidRDefault="00DF1795" w:rsidP="00DF1795">
      <w:pPr>
        <w:pStyle w:val="BodyText"/>
      </w:pPr>
      <w:r w:rsidRPr="00AF0AE2">
        <w:t>Explanations of major variances against the original 201</w:t>
      </w:r>
      <w:r w:rsidR="00797C71">
        <w:t>9</w:t>
      </w:r>
      <w:r w:rsidRPr="00AF0AE2">
        <w:t>/</w:t>
      </w:r>
      <w:r w:rsidR="00797C71">
        <w:t>20</w:t>
      </w:r>
      <w:r w:rsidRPr="00AF0AE2">
        <w:t xml:space="preserve"> budget are provided in Note </w:t>
      </w:r>
      <w:r w:rsidR="00BE5A31" w:rsidRPr="00AF0AE2">
        <w:t>1</w:t>
      </w:r>
      <w:r w:rsidR="00BE5A31">
        <w:t>7</w:t>
      </w:r>
      <w:r>
        <w:t>.</w:t>
      </w:r>
    </w:p>
    <w:p w14:paraId="0B37D149" w14:textId="77777777" w:rsidR="00DF1795" w:rsidRDefault="00DF1795" w:rsidP="00DF1795">
      <w:pPr>
        <w:spacing w:line="276" w:lineRule="auto"/>
        <w:rPr>
          <w:rFonts w:eastAsiaTheme="majorEastAsia" w:cstheme="majorBidi"/>
          <w:bCs/>
          <w:color w:val="2BB673"/>
          <w:sz w:val="36"/>
          <w:szCs w:val="26"/>
        </w:rPr>
      </w:pPr>
      <w:r>
        <w:br w:type="page"/>
      </w:r>
    </w:p>
    <w:p w14:paraId="776482AE" w14:textId="77777777" w:rsidR="00DF1795" w:rsidRPr="00BE4BB3" w:rsidRDefault="00DF1795" w:rsidP="00DF1795">
      <w:pPr>
        <w:pStyle w:val="Heading2"/>
      </w:pPr>
      <w:bookmarkStart w:id="129" w:name="_Statement_of_financial_1"/>
      <w:bookmarkStart w:id="130" w:name="_Ref54687258"/>
      <w:bookmarkEnd w:id="129"/>
      <w:r w:rsidRPr="00BE0CCD">
        <w:t>Statement of financial position as at 30 June 20</w:t>
      </w:r>
      <w:r w:rsidR="00797C71">
        <w:t>20</w:t>
      </w:r>
      <w:bookmarkEnd w:id="130"/>
    </w:p>
    <w:tbl>
      <w:tblPr>
        <w:tblStyle w:val="TableGridAnnualReport2"/>
        <w:tblW w:w="9300" w:type="dxa"/>
        <w:tblInd w:w="-10" w:type="dxa"/>
        <w:tblLook w:val="0420" w:firstRow="1" w:lastRow="0" w:firstColumn="0" w:lastColumn="0" w:noHBand="0" w:noVBand="1"/>
        <w:tblCaption w:val="Statement of financial position as at 30 June 2017"/>
      </w:tblPr>
      <w:tblGrid>
        <w:gridCol w:w="1134"/>
        <w:gridCol w:w="2256"/>
        <w:gridCol w:w="865"/>
        <w:gridCol w:w="1393"/>
        <w:gridCol w:w="1168"/>
        <w:gridCol w:w="1228"/>
        <w:gridCol w:w="1256"/>
      </w:tblGrid>
      <w:tr w:rsidR="00797C71" w14:paraId="3E273FD4" w14:textId="77777777" w:rsidTr="00703978">
        <w:trPr>
          <w:cnfStyle w:val="100000000000" w:firstRow="1" w:lastRow="0" w:firstColumn="0" w:lastColumn="0" w:oddVBand="0" w:evenVBand="0" w:oddHBand="0" w:evenHBand="0" w:firstRowFirstColumn="0" w:firstRowLastColumn="0" w:lastRowFirstColumn="0" w:lastRowLastColumn="0"/>
          <w:trHeight w:val="960"/>
        </w:trPr>
        <w:tc>
          <w:tcPr>
            <w:tcW w:w="610" w:type="pct"/>
          </w:tcPr>
          <w:p w14:paraId="65F65102" w14:textId="77777777" w:rsidR="00DF1795" w:rsidRPr="00A4209E" w:rsidRDefault="00DF1795" w:rsidP="00506E02">
            <w:pPr>
              <w:pStyle w:val="Tableheadingrow1"/>
              <w:jc w:val="right"/>
            </w:pPr>
            <w:r w:rsidRPr="00A4209E">
              <w:t>30/06/1</w:t>
            </w:r>
            <w:r w:rsidR="00797C71">
              <w:t>9</w:t>
            </w:r>
            <w:r w:rsidRPr="00A4209E">
              <w:br/>
              <w:t>Actual</w:t>
            </w:r>
            <w:r w:rsidRPr="00A4209E">
              <w:br/>
            </w:r>
          </w:p>
          <w:p w14:paraId="358EA70C" w14:textId="77777777" w:rsidR="00DF1795" w:rsidRDefault="00DF1795" w:rsidP="00506E02">
            <w:pPr>
              <w:pStyle w:val="Tableheadingrow1"/>
              <w:jc w:val="right"/>
            </w:pPr>
          </w:p>
          <w:p w14:paraId="3CAB51B9" w14:textId="77777777" w:rsidR="00DF1795" w:rsidRPr="00A4209E" w:rsidRDefault="00DF1795" w:rsidP="00506E02">
            <w:pPr>
              <w:pStyle w:val="Tableheadingrow1"/>
              <w:jc w:val="right"/>
            </w:pPr>
            <w:r w:rsidRPr="00A4209E">
              <w:t>$(000)</w:t>
            </w:r>
          </w:p>
        </w:tc>
        <w:tc>
          <w:tcPr>
            <w:tcW w:w="1213" w:type="pct"/>
          </w:tcPr>
          <w:p w14:paraId="136B024C" w14:textId="77777777" w:rsidR="00DF1795" w:rsidRPr="00A4209E" w:rsidRDefault="00DF1795" w:rsidP="00506E02">
            <w:pPr>
              <w:pStyle w:val="Tableheadingrow1"/>
              <w:jc w:val="right"/>
            </w:pPr>
          </w:p>
        </w:tc>
        <w:tc>
          <w:tcPr>
            <w:tcW w:w="465" w:type="pct"/>
            <w:hideMark/>
          </w:tcPr>
          <w:p w14:paraId="0B43DA28" w14:textId="77777777" w:rsidR="00DF1795" w:rsidRPr="00A4209E" w:rsidRDefault="00DF1795" w:rsidP="00506E02">
            <w:pPr>
              <w:pStyle w:val="Tableheadingrow1"/>
              <w:jc w:val="right"/>
            </w:pPr>
            <w:r w:rsidRPr="00A4209E">
              <w:t>Notes</w:t>
            </w:r>
          </w:p>
        </w:tc>
        <w:tc>
          <w:tcPr>
            <w:tcW w:w="749" w:type="pct"/>
          </w:tcPr>
          <w:p w14:paraId="4514DB04" w14:textId="77777777" w:rsidR="00DF1795" w:rsidRPr="00A4209E" w:rsidRDefault="00DF1795" w:rsidP="00506E02">
            <w:pPr>
              <w:pStyle w:val="Tableheadingrow1"/>
              <w:jc w:val="right"/>
            </w:pPr>
            <w:r w:rsidRPr="00A4209E">
              <w:t>30/06/</w:t>
            </w:r>
            <w:r w:rsidR="00797C71">
              <w:t>20</w:t>
            </w:r>
            <w:r w:rsidRPr="00A4209E">
              <w:br/>
              <w:t>Actual</w:t>
            </w:r>
            <w:r w:rsidRPr="00A4209E">
              <w:br/>
            </w:r>
          </w:p>
          <w:p w14:paraId="4C2301EB" w14:textId="77777777" w:rsidR="00DF1795" w:rsidRDefault="00DF1795" w:rsidP="00506E02">
            <w:pPr>
              <w:pStyle w:val="Tableheadingrow1"/>
              <w:jc w:val="right"/>
            </w:pPr>
          </w:p>
          <w:p w14:paraId="760D6990" w14:textId="77777777" w:rsidR="00DF1795" w:rsidRPr="00A4209E" w:rsidRDefault="00DF1795" w:rsidP="00506E02">
            <w:pPr>
              <w:pStyle w:val="Tableheadingrow1"/>
              <w:jc w:val="right"/>
            </w:pPr>
            <w:r w:rsidRPr="00A4209E">
              <w:t>$(000)</w:t>
            </w:r>
          </w:p>
        </w:tc>
        <w:tc>
          <w:tcPr>
            <w:tcW w:w="628" w:type="pct"/>
            <w:hideMark/>
          </w:tcPr>
          <w:p w14:paraId="7B97A74E" w14:textId="77777777" w:rsidR="00DF1795" w:rsidRDefault="00DF1795" w:rsidP="00506E02">
            <w:pPr>
              <w:pStyle w:val="Tableheadingrow1"/>
              <w:jc w:val="right"/>
            </w:pPr>
            <w:r w:rsidRPr="00A4209E">
              <w:t>30/06/</w:t>
            </w:r>
            <w:r w:rsidR="00797C71">
              <w:t>20</w:t>
            </w:r>
            <w:r w:rsidRPr="00A4209E">
              <w:br/>
              <w:t>Main</w:t>
            </w:r>
            <w:r w:rsidRPr="00A4209E">
              <w:br/>
            </w:r>
            <w:r>
              <w:t>e</w:t>
            </w:r>
            <w:r w:rsidRPr="00A4209E">
              <w:t>stimates</w:t>
            </w:r>
            <w:r w:rsidRPr="00A4209E">
              <w:br/>
            </w:r>
          </w:p>
          <w:p w14:paraId="03FA4E0E" w14:textId="77777777" w:rsidR="00DF1795" w:rsidRPr="00A4209E" w:rsidRDefault="00DF1795" w:rsidP="00506E02">
            <w:pPr>
              <w:pStyle w:val="Tableheadingrow1"/>
              <w:jc w:val="right"/>
            </w:pPr>
            <w:r w:rsidRPr="00A4209E">
              <w:t>$(000)</w:t>
            </w:r>
          </w:p>
        </w:tc>
        <w:tc>
          <w:tcPr>
            <w:tcW w:w="660" w:type="pct"/>
            <w:hideMark/>
          </w:tcPr>
          <w:p w14:paraId="34912629" w14:textId="77777777" w:rsidR="00DF1795" w:rsidRDefault="00DF1795" w:rsidP="00506E02">
            <w:pPr>
              <w:pStyle w:val="Tableheadingrow1"/>
              <w:jc w:val="right"/>
            </w:pPr>
            <w:r w:rsidRPr="00A4209E">
              <w:t>30/06/</w:t>
            </w:r>
            <w:r w:rsidR="00797C71">
              <w:t>20</w:t>
            </w:r>
            <w:r w:rsidRPr="00A4209E">
              <w:br/>
              <w:t>Supp.</w:t>
            </w:r>
            <w:r w:rsidRPr="00A4209E">
              <w:br/>
            </w:r>
            <w:r>
              <w:t>e</w:t>
            </w:r>
            <w:r w:rsidRPr="00A4209E">
              <w:t>stimates</w:t>
            </w:r>
            <w:r w:rsidRPr="00A4209E">
              <w:br/>
            </w:r>
          </w:p>
          <w:p w14:paraId="3F71B9C7" w14:textId="77777777" w:rsidR="00DF1795" w:rsidRPr="00A4209E" w:rsidRDefault="00DF1795" w:rsidP="00506E02">
            <w:pPr>
              <w:pStyle w:val="Tableheadingrow1"/>
              <w:jc w:val="right"/>
            </w:pPr>
            <w:r w:rsidRPr="00A4209E">
              <w:t>$(000)</w:t>
            </w:r>
          </w:p>
        </w:tc>
        <w:tc>
          <w:tcPr>
            <w:tcW w:w="675" w:type="pct"/>
          </w:tcPr>
          <w:p w14:paraId="08F0DAB1" w14:textId="77777777" w:rsidR="00DF1795" w:rsidRPr="00A4209E" w:rsidRDefault="00DF1795" w:rsidP="00506E02">
            <w:pPr>
              <w:pStyle w:val="Tableheadingrow1"/>
              <w:jc w:val="right"/>
            </w:pPr>
            <w:r>
              <w:t>30/06/2</w:t>
            </w:r>
            <w:r w:rsidR="00797C71">
              <w:t>1</w:t>
            </w:r>
          </w:p>
          <w:p w14:paraId="1B027226" w14:textId="77777777" w:rsidR="00DF1795" w:rsidRPr="00A4209E" w:rsidRDefault="00DF1795" w:rsidP="00506E02">
            <w:pPr>
              <w:pStyle w:val="Tableheadingrow1"/>
              <w:jc w:val="right"/>
            </w:pPr>
            <w:r w:rsidRPr="00A4209E">
              <w:t xml:space="preserve">Unaudited </w:t>
            </w:r>
            <w:r>
              <w:t>f</w:t>
            </w:r>
            <w:r w:rsidRPr="00A4209E">
              <w:t>orecast IPSAS</w:t>
            </w:r>
            <w:r>
              <w:t>*</w:t>
            </w:r>
          </w:p>
          <w:p w14:paraId="47E1D7F9" w14:textId="77777777" w:rsidR="00DF1795" w:rsidRPr="00A4209E" w:rsidRDefault="00DF1795" w:rsidP="00506E02">
            <w:pPr>
              <w:pStyle w:val="Tableheadingrow1"/>
              <w:jc w:val="right"/>
            </w:pPr>
            <w:r w:rsidRPr="00A4209E">
              <w:t>$(000)</w:t>
            </w:r>
          </w:p>
        </w:tc>
      </w:tr>
      <w:tr w:rsidR="00B63CF2" w14:paraId="77F61748" w14:textId="77777777" w:rsidTr="00703978">
        <w:trPr>
          <w:cnfStyle w:val="000000100000" w:firstRow="0" w:lastRow="0" w:firstColumn="0" w:lastColumn="0" w:oddVBand="0" w:evenVBand="0" w:oddHBand="1" w:evenHBand="0" w:firstRowFirstColumn="0" w:firstRowLastColumn="0" w:lastRowFirstColumn="0" w:lastRowLastColumn="0"/>
          <w:trHeight w:val="260"/>
        </w:trPr>
        <w:tc>
          <w:tcPr>
            <w:tcW w:w="610" w:type="pct"/>
            <w:shd w:val="clear" w:color="auto" w:fill="BFBFBF"/>
          </w:tcPr>
          <w:p w14:paraId="02C86FBA" w14:textId="77777777" w:rsidR="00B63CF2" w:rsidRPr="00A4209E" w:rsidRDefault="00B63CF2" w:rsidP="00506E02">
            <w:pPr>
              <w:pStyle w:val="Tablebodytextnospaceafter"/>
            </w:pPr>
          </w:p>
        </w:tc>
        <w:tc>
          <w:tcPr>
            <w:tcW w:w="1213" w:type="pct"/>
            <w:shd w:val="clear" w:color="auto" w:fill="BFBFBF"/>
            <w:hideMark/>
          </w:tcPr>
          <w:p w14:paraId="6D871D93" w14:textId="77777777" w:rsidR="00B63CF2" w:rsidRPr="00A4209E" w:rsidRDefault="00B63CF2" w:rsidP="00506E02">
            <w:pPr>
              <w:pStyle w:val="Tablebodytextnospaceafter"/>
            </w:pPr>
            <w:r w:rsidRPr="00717943">
              <w:rPr>
                <w:rStyle w:val="Emphasis"/>
              </w:rPr>
              <w:t>Assets</w:t>
            </w:r>
          </w:p>
        </w:tc>
        <w:tc>
          <w:tcPr>
            <w:tcW w:w="465" w:type="pct"/>
            <w:shd w:val="clear" w:color="auto" w:fill="BFBFBF"/>
          </w:tcPr>
          <w:p w14:paraId="73867494" w14:textId="77777777" w:rsidR="00B63CF2" w:rsidRPr="00A4209E" w:rsidRDefault="00B63CF2" w:rsidP="00506E02">
            <w:pPr>
              <w:pStyle w:val="Tablebodytextnospaceafter"/>
            </w:pPr>
          </w:p>
        </w:tc>
        <w:tc>
          <w:tcPr>
            <w:tcW w:w="749" w:type="pct"/>
            <w:shd w:val="clear" w:color="auto" w:fill="BFBFBF"/>
          </w:tcPr>
          <w:p w14:paraId="08334C6D" w14:textId="77777777" w:rsidR="00B63CF2" w:rsidRPr="00A4209E" w:rsidRDefault="00B63CF2" w:rsidP="00506E02">
            <w:pPr>
              <w:pStyle w:val="Tablebodytextnospaceafter"/>
            </w:pPr>
          </w:p>
        </w:tc>
        <w:tc>
          <w:tcPr>
            <w:tcW w:w="628" w:type="pct"/>
            <w:shd w:val="clear" w:color="auto" w:fill="BFBFBF"/>
          </w:tcPr>
          <w:p w14:paraId="3307B269" w14:textId="77777777" w:rsidR="00B63CF2" w:rsidRPr="00A4209E" w:rsidRDefault="00B63CF2" w:rsidP="00506E02">
            <w:pPr>
              <w:pStyle w:val="Tablebodytextnospaceafter"/>
            </w:pPr>
          </w:p>
        </w:tc>
        <w:tc>
          <w:tcPr>
            <w:tcW w:w="660" w:type="pct"/>
            <w:shd w:val="clear" w:color="auto" w:fill="BFBFBF"/>
          </w:tcPr>
          <w:p w14:paraId="4954448E" w14:textId="77777777" w:rsidR="00B63CF2" w:rsidRPr="00A4209E" w:rsidRDefault="00B63CF2" w:rsidP="00506E02">
            <w:pPr>
              <w:pStyle w:val="Tablebodytextnospaceafter"/>
            </w:pPr>
          </w:p>
        </w:tc>
        <w:tc>
          <w:tcPr>
            <w:tcW w:w="675" w:type="pct"/>
            <w:shd w:val="clear" w:color="auto" w:fill="BFBFBF"/>
          </w:tcPr>
          <w:p w14:paraId="5E72DF87" w14:textId="652F957F" w:rsidR="00B63CF2" w:rsidRPr="00A4209E" w:rsidRDefault="00B63CF2" w:rsidP="00506E02">
            <w:pPr>
              <w:pStyle w:val="Tablebodytextnospaceafter"/>
            </w:pPr>
          </w:p>
        </w:tc>
      </w:tr>
      <w:tr w:rsidR="00B63CF2" w14:paraId="5BFB9DB2" w14:textId="77777777" w:rsidTr="00703978">
        <w:trPr>
          <w:cnfStyle w:val="000000010000" w:firstRow="0" w:lastRow="0" w:firstColumn="0" w:lastColumn="0" w:oddVBand="0" w:evenVBand="0" w:oddHBand="0" w:evenHBand="1" w:firstRowFirstColumn="0" w:firstRowLastColumn="0" w:lastRowFirstColumn="0" w:lastRowLastColumn="0"/>
          <w:trHeight w:val="260"/>
        </w:trPr>
        <w:tc>
          <w:tcPr>
            <w:tcW w:w="610" w:type="pct"/>
          </w:tcPr>
          <w:p w14:paraId="36E822D0" w14:textId="77777777" w:rsidR="00B63CF2" w:rsidRPr="00A4209E" w:rsidRDefault="00B63CF2" w:rsidP="00506E02">
            <w:pPr>
              <w:pStyle w:val="Tablebodytextnospaceafter"/>
            </w:pPr>
          </w:p>
        </w:tc>
        <w:tc>
          <w:tcPr>
            <w:tcW w:w="1213" w:type="pct"/>
            <w:hideMark/>
          </w:tcPr>
          <w:p w14:paraId="39172592" w14:textId="77777777" w:rsidR="00B63CF2" w:rsidRPr="00A4209E" w:rsidRDefault="00B63CF2" w:rsidP="00506E02">
            <w:pPr>
              <w:pStyle w:val="Tablebodytextnospaceafter"/>
            </w:pPr>
            <w:r w:rsidRPr="00717943">
              <w:rPr>
                <w:rStyle w:val="Italics"/>
              </w:rPr>
              <w:t>Current assets</w:t>
            </w:r>
          </w:p>
        </w:tc>
        <w:tc>
          <w:tcPr>
            <w:tcW w:w="465" w:type="pct"/>
          </w:tcPr>
          <w:p w14:paraId="4809231C" w14:textId="77777777" w:rsidR="00B63CF2" w:rsidRPr="00A4209E" w:rsidRDefault="00B63CF2" w:rsidP="00506E02">
            <w:pPr>
              <w:pStyle w:val="Tablebodytextnospaceafter"/>
            </w:pPr>
          </w:p>
        </w:tc>
        <w:tc>
          <w:tcPr>
            <w:tcW w:w="749" w:type="pct"/>
          </w:tcPr>
          <w:p w14:paraId="2194D78B" w14:textId="77777777" w:rsidR="00B63CF2" w:rsidRPr="00A4209E" w:rsidRDefault="00B63CF2" w:rsidP="00506E02">
            <w:pPr>
              <w:pStyle w:val="Tablebodytextnospaceafter"/>
            </w:pPr>
          </w:p>
        </w:tc>
        <w:tc>
          <w:tcPr>
            <w:tcW w:w="628" w:type="pct"/>
          </w:tcPr>
          <w:p w14:paraId="661DB853" w14:textId="77777777" w:rsidR="00B63CF2" w:rsidRPr="00A4209E" w:rsidRDefault="00B63CF2" w:rsidP="00506E02">
            <w:pPr>
              <w:pStyle w:val="Tablebodytextnospaceafter"/>
            </w:pPr>
          </w:p>
        </w:tc>
        <w:tc>
          <w:tcPr>
            <w:tcW w:w="660" w:type="pct"/>
          </w:tcPr>
          <w:p w14:paraId="1D353746" w14:textId="77777777" w:rsidR="00B63CF2" w:rsidRPr="00A4209E" w:rsidRDefault="00B63CF2" w:rsidP="00506E02">
            <w:pPr>
              <w:pStyle w:val="Tablebodytextnospaceafter"/>
            </w:pPr>
          </w:p>
        </w:tc>
        <w:tc>
          <w:tcPr>
            <w:tcW w:w="675" w:type="pct"/>
          </w:tcPr>
          <w:p w14:paraId="028C5092" w14:textId="3A46617F" w:rsidR="00B63CF2" w:rsidRPr="00A4209E" w:rsidRDefault="00B63CF2" w:rsidP="00506E02">
            <w:pPr>
              <w:pStyle w:val="Tablebodytextnospaceafter"/>
            </w:pPr>
          </w:p>
        </w:tc>
      </w:tr>
      <w:tr w:rsidR="00797C71" w14:paraId="38DD5B42" w14:textId="77777777" w:rsidTr="00703978">
        <w:trPr>
          <w:cnfStyle w:val="000000100000" w:firstRow="0" w:lastRow="0" w:firstColumn="0" w:lastColumn="0" w:oddVBand="0" w:evenVBand="0" w:oddHBand="1" w:evenHBand="0" w:firstRowFirstColumn="0" w:firstRowLastColumn="0" w:lastRowFirstColumn="0" w:lastRowLastColumn="0"/>
          <w:trHeight w:val="60"/>
        </w:trPr>
        <w:tc>
          <w:tcPr>
            <w:tcW w:w="610" w:type="pct"/>
            <w:tcBorders>
              <w:bottom w:val="single" w:sz="4" w:space="0" w:color="FFFFFF" w:themeColor="background1"/>
            </w:tcBorders>
          </w:tcPr>
          <w:p w14:paraId="5EDD9965" w14:textId="77777777" w:rsidR="00797C71" w:rsidRPr="00307F0C" w:rsidRDefault="00797C71" w:rsidP="00797C71">
            <w:pPr>
              <w:pStyle w:val="Tablebodytextnospaceafter"/>
              <w:jc w:val="right"/>
            </w:pPr>
            <w:r>
              <w:rPr>
                <w:rStyle w:val="Emphasis"/>
                <w:b w:val="0"/>
              </w:rPr>
              <w:t>7,622</w:t>
            </w:r>
          </w:p>
        </w:tc>
        <w:tc>
          <w:tcPr>
            <w:tcW w:w="1213" w:type="pct"/>
            <w:tcBorders>
              <w:bottom w:val="single" w:sz="4" w:space="0" w:color="FFFFFF" w:themeColor="background1"/>
            </w:tcBorders>
            <w:hideMark/>
          </w:tcPr>
          <w:p w14:paraId="76529F77" w14:textId="77777777" w:rsidR="00797C71" w:rsidRPr="00A4209E" w:rsidRDefault="00797C71" w:rsidP="00797C71">
            <w:pPr>
              <w:pStyle w:val="Tablebodytextnospaceafter"/>
            </w:pPr>
            <w:r w:rsidRPr="00A4209E">
              <w:t>Cash and cash equivalents</w:t>
            </w:r>
          </w:p>
        </w:tc>
        <w:tc>
          <w:tcPr>
            <w:tcW w:w="465" w:type="pct"/>
            <w:tcBorders>
              <w:bottom w:val="single" w:sz="4" w:space="0" w:color="FFFFFF" w:themeColor="background1"/>
            </w:tcBorders>
          </w:tcPr>
          <w:p w14:paraId="5ABC8806" w14:textId="77777777" w:rsidR="00797C71" w:rsidRPr="00A4209E" w:rsidRDefault="00797C71" w:rsidP="00797C71">
            <w:pPr>
              <w:pStyle w:val="Tablebodytextnospaceafter"/>
              <w:jc w:val="right"/>
            </w:pPr>
          </w:p>
        </w:tc>
        <w:tc>
          <w:tcPr>
            <w:tcW w:w="749" w:type="pct"/>
            <w:tcBorders>
              <w:bottom w:val="single" w:sz="4" w:space="0" w:color="FFFFFF" w:themeColor="background1"/>
            </w:tcBorders>
          </w:tcPr>
          <w:p w14:paraId="0DBB2852" w14:textId="77777777" w:rsidR="00797C71" w:rsidRPr="00AE2E80" w:rsidRDefault="006E23DE" w:rsidP="00797C71">
            <w:pPr>
              <w:pStyle w:val="Tablebodytextnospaceafter"/>
              <w:jc w:val="right"/>
              <w:rPr>
                <w:rStyle w:val="Emphasis"/>
              </w:rPr>
            </w:pPr>
            <w:r w:rsidRPr="00AE2E80">
              <w:rPr>
                <w:rStyle w:val="Emphasis"/>
              </w:rPr>
              <w:t>9,921</w:t>
            </w:r>
          </w:p>
        </w:tc>
        <w:tc>
          <w:tcPr>
            <w:tcW w:w="628" w:type="pct"/>
            <w:tcBorders>
              <w:bottom w:val="single" w:sz="4" w:space="0" w:color="FFFFFF" w:themeColor="background1"/>
            </w:tcBorders>
          </w:tcPr>
          <w:p w14:paraId="600698F8" w14:textId="77777777" w:rsidR="00797C71" w:rsidRPr="00E00207" w:rsidRDefault="006E23DE" w:rsidP="00797C71">
            <w:pPr>
              <w:pStyle w:val="Tablebodytextnospaceafter"/>
              <w:jc w:val="right"/>
            </w:pPr>
            <w:r>
              <w:t>4,513</w:t>
            </w:r>
          </w:p>
        </w:tc>
        <w:tc>
          <w:tcPr>
            <w:tcW w:w="660" w:type="pct"/>
            <w:tcBorders>
              <w:bottom w:val="single" w:sz="4" w:space="0" w:color="FFFFFF" w:themeColor="background1"/>
            </w:tcBorders>
          </w:tcPr>
          <w:p w14:paraId="7827515C" w14:textId="77777777" w:rsidR="00797C71" w:rsidRPr="00621B12" w:rsidRDefault="006E23DE" w:rsidP="00797C71">
            <w:pPr>
              <w:pStyle w:val="Tablebodytextnospaceafter"/>
              <w:jc w:val="right"/>
            </w:pPr>
            <w:r>
              <w:t>6,269</w:t>
            </w:r>
          </w:p>
        </w:tc>
        <w:tc>
          <w:tcPr>
            <w:tcW w:w="675" w:type="pct"/>
            <w:tcBorders>
              <w:bottom w:val="single" w:sz="4" w:space="0" w:color="FFFFFF" w:themeColor="background1"/>
            </w:tcBorders>
          </w:tcPr>
          <w:p w14:paraId="17692C83" w14:textId="77777777" w:rsidR="00797C71" w:rsidRPr="00E00207" w:rsidRDefault="006E23DE" w:rsidP="00797C71">
            <w:pPr>
              <w:pStyle w:val="Tablebodytextnospaceafter"/>
              <w:jc w:val="right"/>
            </w:pPr>
            <w:r>
              <w:t>7,952</w:t>
            </w:r>
          </w:p>
        </w:tc>
      </w:tr>
      <w:tr w:rsidR="00797C71" w14:paraId="1CE42C9F" w14:textId="77777777" w:rsidTr="00703978">
        <w:trPr>
          <w:cnfStyle w:val="000000010000" w:firstRow="0" w:lastRow="0" w:firstColumn="0" w:lastColumn="0" w:oddVBand="0" w:evenVBand="0" w:oddHBand="0" w:evenHBand="1" w:firstRowFirstColumn="0" w:firstRowLastColumn="0" w:lastRowFirstColumn="0" w:lastRowLastColumn="0"/>
          <w:trHeight w:val="60"/>
        </w:trPr>
        <w:tc>
          <w:tcPr>
            <w:tcW w:w="610" w:type="pct"/>
            <w:tcBorders>
              <w:top w:val="single" w:sz="4" w:space="0" w:color="FFFFFF" w:themeColor="background1"/>
              <w:bottom w:val="single" w:sz="4" w:space="0" w:color="FFFFFF" w:themeColor="background1"/>
            </w:tcBorders>
          </w:tcPr>
          <w:p w14:paraId="1F02B943" w14:textId="77777777" w:rsidR="00797C71" w:rsidRPr="00307F0C" w:rsidRDefault="00797C71" w:rsidP="00797C71">
            <w:pPr>
              <w:pStyle w:val="Tablebodytextnospaceafter"/>
              <w:jc w:val="right"/>
              <w:rPr>
                <w:u w:val="single"/>
              </w:rPr>
            </w:pPr>
            <w:r>
              <w:rPr>
                <w:rStyle w:val="Emphasis"/>
                <w:b w:val="0"/>
                <w:u w:val="single"/>
              </w:rPr>
              <w:t>191</w:t>
            </w:r>
          </w:p>
        </w:tc>
        <w:tc>
          <w:tcPr>
            <w:tcW w:w="1213" w:type="pct"/>
            <w:tcBorders>
              <w:top w:val="single" w:sz="4" w:space="0" w:color="FFFFFF" w:themeColor="background1"/>
              <w:bottom w:val="single" w:sz="4" w:space="0" w:color="FFFFFF" w:themeColor="background1"/>
              <w:right w:val="single" w:sz="4" w:space="0" w:color="FFFFFF" w:themeColor="background1"/>
            </w:tcBorders>
            <w:hideMark/>
          </w:tcPr>
          <w:p w14:paraId="468A015A" w14:textId="77777777" w:rsidR="00797C71" w:rsidRPr="00A4209E" w:rsidRDefault="00797C71" w:rsidP="00797C71">
            <w:pPr>
              <w:pStyle w:val="Tablebodytextnospaceafter"/>
            </w:pPr>
            <w:r w:rsidRPr="00A4209E">
              <w:t>Other current assets</w:t>
            </w:r>
          </w:p>
        </w:tc>
        <w:tc>
          <w:tcPr>
            <w:tcW w:w="465" w:type="pct"/>
            <w:tcBorders>
              <w:top w:val="single" w:sz="4" w:space="0" w:color="FFFFFF" w:themeColor="background1"/>
              <w:left w:val="single" w:sz="4" w:space="0" w:color="FFFFFF" w:themeColor="background1"/>
              <w:bottom w:val="single" w:sz="4" w:space="0" w:color="FFFFFF" w:themeColor="background1"/>
            </w:tcBorders>
          </w:tcPr>
          <w:p w14:paraId="3762B482" w14:textId="77777777" w:rsidR="00797C71" w:rsidRPr="00E92E0C" w:rsidRDefault="009F2096" w:rsidP="00797C71">
            <w:pPr>
              <w:pStyle w:val="Tablebodytextnospaceafter"/>
              <w:jc w:val="right"/>
            </w:pPr>
            <w:r>
              <w:t>7</w:t>
            </w:r>
          </w:p>
        </w:tc>
        <w:tc>
          <w:tcPr>
            <w:tcW w:w="749" w:type="pct"/>
            <w:tcBorders>
              <w:top w:val="single" w:sz="4" w:space="0" w:color="FFFFFF" w:themeColor="background1"/>
              <w:bottom w:val="single" w:sz="4" w:space="0" w:color="FFFFFF" w:themeColor="background1"/>
            </w:tcBorders>
          </w:tcPr>
          <w:p w14:paraId="60B3BEC2" w14:textId="77777777" w:rsidR="00797C71" w:rsidRPr="00AE2E80" w:rsidRDefault="006E23DE" w:rsidP="00797C71">
            <w:pPr>
              <w:pStyle w:val="Tablebodytextnospaceafter"/>
              <w:jc w:val="right"/>
              <w:rPr>
                <w:rStyle w:val="Emphasis"/>
                <w:u w:val="single"/>
              </w:rPr>
            </w:pPr>
            <w:r w:rsidRPr="00AE2E80">
              <w:rPr>
                <w:rStyle w:val="Emphasis"/>
                <w:u w:val="single"/>
              </w:rPr>
              <w:t>142</w:t>
            </w:r>
          </w:p>
        </w:tc>
        <w:tc>
          <w:tcPr>
            <w:tcW w:w="628" w:type="pct"/>
            <w:tcBorders>
              <w:top w:val="single" w:sz="4" w:space="0" w:color="FFFFFF" w:themeColor="background1"/>
              <w:bottom w:val="single" w:sz="4" w:space="0" w:color="FFFFFF" w:themeColor="background1"/>
            </w:tcBorders>
          </w:tcPr>
          <w:p w14:paraId="6AAA0904" w14:textId="77777777" w:rsidR="00797C71" w:rsidRPr="00E00207" w:rsidRDefault="006E23DE" w:rsidP="00797C71">
            <w:pPr>
              <w:pStyle w:val="Tablebodytextnospaceafter"/>
              <w:jc w:val="right"/>
            </w:pPr>
            <w:r>
              <w:t>24</w:t>
            </w:r>
          </w:p>
        </w:tc>
        <w:tc>
          <w:tcPr>
            <w:tcW w:w="660" w:type="pct"/>
            <w:tcBorders>
              <w:top w:val="single" w:sz="4" w:space="0" w:color="FFFFFF" w:themeColor="background1"/>
              <w:bottom w:val="single" w:sz="4" w:space="0" w:color="FFFFFF" w:themeColor="background1"/>
            </w:tcBorders>
          </w:tcPr>
          <w:p w14:paraId="1828D7EA" w14:textId="77777777" w:rsidR="00797C71" w:rsidRPr="00621B12" w:rsidRDefault="006E23DE" w:rsidP="00797C71">
            <w:pPr>
              <w:pStyle w:val="Tablebodytextnospaceafter"/>
              <w:jc w:val="right"/>
            </w:pPr>
            <w:r>
              <w:t>24</w:t>
            </w:r>
          </w:p>
        </w:tc>
        <w:tc>
          <w:tcPr>
            <w:tcW w:w="675" w:type="pct"/>
            <w:tcBorders>
              <w:top w:val="single" w:sz="4" w:space="0" w:color="FFFFFF" w:themeColor="background1"/>
              <w:bottom w:val="single" w:sz="4" w:space="0" w:color="FFFFFF" w:themeColor="background1"/>
            </w:tcBorders>
          </w:tcPr>
          <w:p w14:paraId="71EFF057" w14:textId="77777777" w:rsidR="00797C71" w:rsidRPr="00E00207" w:rsidRDefault="006E23DE" w:rsidP="00797C71">
            <w:pPr>
              <w:pStyle w:val="Tablebodytextnospaceafter"/>
              <w:jc w:val="right"/>
            </w:pPr>
            <w:r>
              <w:t>143</w:t>
            </w:r>
          </w:p>
        </w:tc>
      </w:tr>
      <w:tr w:rsidR="00797C71" w14:paraId="704EFDEC" w14:textId="77777777" w:rsidTr="00703978">
        <w:trPr>
          <w:cnfStyle w:val="000000100000" w:firstRow="0" w:lastRow="0" w:firstColumn="0" w:lastColumn="0" w:oddVBand="0" w:evenVBand="0" w:oddHBand="1" w:evenHBand="0" w:firstRowFirstColumn="0" w:firstRowLastColumn="0" w:lastRowFirstColumn="0" w:lastRowLastColumn="0"/>
          <w:trHeight w:val="60"/>
        </w:trPr>
        <w:tc>
          <w:tcPr>
            <w:tcW w:w="610" w:type="pct"/>
            <w:tcBorders>
              <w:top w:val="single" w:sz="4" w:space="0" w:color="FFFFFF" w:themeColor="background1"/>
              <w:bottom w:val="single" w:sz="4" w:space="0" w:color="FFFFFF" w:themeColor="background1"/>
              <w:right w:val="single" w:sz="4" w:space="0" w:color="FFFFFF" w:themeColor="background1"/>
            </w:tcBorders>
            <w:shd w:val="clear" w:color="auto" w:fill="BFBFBF"/>
          </w:tcPr>
          <w:p w14:paraId="7890A2B4" w14:textId="77777777" w:rsidR="00797C71" w:rsidRPr="00307F0C" w:rsidRDefault="00797C71" w:rsidP="00797C71">
            <w:pPr>
              <w:pStyle w:val="Tablebodytextnospaceafter"/>
              <w:jc w:val="right"/>
              <w:rPr>
                <w:u w:val="single"/>
              </w:rPr>
            </w:pPr>
            <w:r>
              <w:rPr>
                <w:rStyle w:val="Emphasis"/>
                <w:u w:val="single"/>
              </w:rPr>
              <w:t>7,813</w:t>
            </w:r>
          </w:p>
        </w:tc>
        <w:tc>
          <w:tcPr>
            <w:tcW w:w="12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hideMark/>
          </w:tcPr>
          <w:p w14:paraId="5FBED683" w14:textId="77777777" w:rsidR="00797C71" w:rsidRPr="00A4209E" w:rsidRDefault="00797C71" w:rsidP="00797C71">
            <w:pPr>
              <w:pStyle w:val="Tablebodytextnospaceafter"/>
              <w:rPr>
                <w:i/>
              </w:rPr>
            </w:pPr>
            <w:r w:rsidRPr="00A4209E">
              <w:rPr>
                <w:i/>
              </w:rPr>
              <w:t>Total current assets</w:t>
            </w:r>
          </w:p>
        </w:tc>
        <w:tc>
          <w:tcPr>
            <w:tcW w:w="4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cPr>
          <w:p w14:paraId="37385AFF" w14:textId="77777777" w:rsidR="00797C71" w:rsidRPr="00E92E0C" w:rsidRDefault="00797C71" w:rsidP="00797C71">
            <w:pPr>
              <w:pStyle w:val="Tablebodytextnospaceafter"/>
              <w:jc w:val="right"/>
            </w:pPr>
          </w:p>
        </w:tc>
        <w:tc>
          <w:tcPr>
            <w:tcW w:w="749" w:type="pct"/>
            <w:tcBorders>
              <w:top w:val="single" w:sz="4" w:space="0" w:color="FFFFFF" w:themeColor="background1"/>
              <w:left w:val="single" w:sz="4" w:space="0" w:color="FFFFFF" w:themeColor="background1"/>
              <w:bottom w:val="single" w:sz="4" w:space="0" w:color="FFFFFF" w:themeColor="background1"/>
            </w:tcBorders>
            <w:shd w:val="clear" w:color="auto" w:fill="BFBFBF"/>
          </w:tcPr>
          <w:p w14:paraId="0807C8B3" w14:textId="77777777" w:rsidR="00797C71" w:rsidRPr="003727C7" w:rsidRDefault="006E23DE" w:rsidP="00797C71">
            <w:pPr>
              <w:pStyle w:val="Tablebodytextnospaceafter"/>
              <w:jc w:val="right"/>
              <w:rPr>
                <w:rStyle w:val="Emphasis"/>
                <w:u w:val="single"/>
              </w:rPr>
            </w:pPr>
            <w:r>
              <w:rPr>
                <w:rStyle w:val="Emphasis"/>
                <w:u w:val="single"/>
              </w:rPr>
              <w:t>10,063</w:t>
            </w:r>
          </w:p>
        </w:tc>
        <w:tc>
          <w:tcPr>
            <w:tcW w:w="628" w:type="pct"/>
            <w:tcBorders>
              <w:top w:val="single" w:sz="4" w:space="0" w:color="FFFFFF" w:themeColor="background1"/>
              <w:bottom w:val="single" w:sz="4" w:space="0" w:color="FFFFFF" w:themeColor="background1"/>
            </w:tcBorders>
            <w:shd w:val="clear" w:color="auto" w:fill="BFBFBF"/>
          </w:tcPr>
          <w:p w14:paraId="2DAB2942" w14:textId="77777777" w:rsidR="00797C71" w:rsidRPr="00E00207" w:rsidRDefault="006E23DE" w:rsidP="00797C71">
            <w:pPr>
              <w:pStyle w:val="Tablebodytextnospaceafter"/>
              <w:jc w:val="right"/>
              <w:rPr>
                <w:u w:val="single"/>
              </w:rPr>
            </w:pPr>
            <w:r>
              <w:rPr>
                <w:u w:val="single"/>
              </w:rPr>
              <w:t>4,537</w:t>
            </w:r>
          </w:p>
        </w:tc>
        <w:tc>
          <w:tcPr>
            <w:tcW w:w="660" w:type="pct"/>
            <w:tcBorders>
              <w:top w:val="single" w:sz="4" w:space="0" w:color="FFFFFF" w:themeColor="background1"/>
              <w:bottom w:val="single" w:sz="4" w:space="0" w:color="FFFFFF" w:themeColor="background1"/>
            </w:tcBorders>
            <w:shd w:val="clear" w:color="auto" w:fill="BFBFBF"/>
          </w:tcPr>
          <w:p w14:paraId="1A5AA597" w14:textId="77777777" w:rsidR="00797C71" w:rsidRPr="00621B12" w:rsidRDefault="006E23DE" w:rsidP="00797C71">
            <w:pPr>
              <w:pStyle w:val="Tablebodytextnospaceafter"/>
              <w:jc w:val="right"/>
              <w:rPr>
                <w:u w:val="single"/>
              </w:rPr>
            </w:pPr>
            <w:r>
              <w:rPr>
                <w:u w:val="single"/>
              </w:rPr>
              <w:t>6,293</w:t>
            </w:r>
          </w:p>
        </w:tc>
        <w:tc>
          <w:tcPr>
            <w:tcW w:w="675" w:type="pct"/>
            <w:tcBorders>
              <w:top w:val="single" w:sz="4" w:space="0" w:color="FFFFFF" w:themeColor="background1"/>
              <w:bottom w:val="single" w:sz="4" w:space="0" w:color="FFFFFF" w:themeColor="background1"/>
            </w:tcBorders>
            <w:shd w:val="clear" w:color="auto" w:fill="BFBFBF"/>
          </w:tcPr>
          <w:p w14:paraId="228F58D1" w14:textId="77777777" w:rsidR="00797C71" w:rsidRPr="00E00207" w:rsidRDefault="006E23DE" w:rsidP="00797C71">
            <w:pPr>
              <w:pStyle w:val="Tablebodytextnospaceafter"/>
              <w:jc w:val="right"/>
              <w:rPr>
                <w:u w:val="single"/>
              </w:rPr>
            </w:pPr>
            <w:r>
              <w:rPr>
                <w:u w:val="single"/>
              </w:rPr>
              <w:t>8,095</w:t>
            </w:r>
          </w:p>
        </w:tc>
      </w:tr>
      <w:tr w:rsidR="00B63CF2" w14:paraId="04AEB7E8" w14:textId="77777777" w:rsidTr="00703978">
        <w:trPr>
          <w:cnfStyle w:val="000000010000" w:firstRow="0" w:lastRow="0" w:firstColumn="0" w:lastColumn="0" w:oddVBand="0" w:evenVBand="0" w:oddHBand="0" w:evenHBand="1" w:firstRowFirstColumn="0" w:firstRowLastColumn="0" w:lastRowFirstColumn="0" w:lastRowLastColumn="0"/>
          <w:trHeight w:val="60"/>
        </w:trPr>
        <w:tc>
          <w:tcPr>
            <w:tcW w:w="610" w:type="pct"/>
            <w:tcBorders>
              <w:top w:val="single" w:sz="4" w:space="0" w:color="FFFFFF" w:themeColor="background1"/>
            </w:tcBorders>
          </w:tcPr>
          <w:p w14:paraId="21704930" w14:textId="77777777" w:rsidR="00B63CF2" w:rsidRPr="00307F0C" w:rsidRDefault="00B63CF2" w:rsidP="00506E02">
            <w:pPr>
              <w:pStyle w:val="Tablebodytextnospaceafter"/>
              <w:jc w:val="right"/>
            </w:pPr>
          </w:p>
        </w:tc>
        <w:tc>
          <w:tcPr>
            <w:tcW w:w="1213" w:type="pct"/>
            <w:tcBorders>
              <w:top w:val="single" w:sz="4" w:space="0" w:color="FFFFFF" w:themeColor="background1"/>
            </w:tcBorders>
          </w:tcPr>
          <w:p w14:paraId="3C054E64" w14:textId="77777777" w:rsidR="00B63CF2" w:rsidRPr="00E00207" w:rsidRDefault="00B63CF2" w:rsidP="00506E02">
            <w:pPr>
              <w:pStyle w:val="Tablebodytextnospaceafter"/>
            </w:pPr>
          </w:p>
        </w:tc>
        <w:tc>
          <w:tcPr>
            <w:tcW w:w="465" w:type="pct"/>
            <w:tcBorders>
              <w:top w:val="single" w:sz="4" w:space="0" w:color="FFFFFF" w:themeColor="background1"/>
            </w:tcBorders>
          </w:tcPr>
          <w:p w14:paraId="329D26EC" w14:textId="77777777" w:rsidR="00B63CF2" w:rsidRPr="00E00207" w:rsidRDefault="00B63CF2" w:rsidP="00506E02">
            <w:pPr>
              <w:pStyle w:val="Tablebodytextnospaceafter"/>
            </w:pPr>
          </w:p>
        </w:tc>
        <w:tc>
          <w:tcPr>
            <w:tcW w:w="749" w:type="pct"/>
            <w:tcBorders>
              <w:top w:val="single" w:sz="4" w:space="0" w:color="FFFFFF" w:themeColor="background1"/>
            </w:tcBorders>
          </w:tcPr>
          <w:p w14:paraId="51EB0858" w14:textId="77777777" w:rsidR="00B63CF2" w:rsidRPr="00E00207" w:rsidRDefault="00B63CF2" w:rsidP="00506E02">
            <w:pPr>
              <w:pStyle w:val="Tablebodytextnospaceafter"/>
            </w:pPr>
          </w:p>
        </w:tc>
        <w:tc>
          <w:tcPr>
            <w:tcW w:w="628" w:type="pct"/>
            <w:tcBorders>
              <w:top w:val="single" w:sz="4" w:space="0" w:color="FFFFFF" w:themeColor="background1"/>
            </w:tcBorders>
          </w:tcPr>
          <w:p w14:paraId="40AC054A" w14:textId="77777777" w:rsidR="00B63CF2" w:rsidRPr="00E00207" w:rsidRDefault="00B63CF2" w:rsidP="00506E02">
            <w:pPr>
              <w:pStyle w:val="Tablebodytextnospaceafter"/>
            </w:pPr>
          </w:p>
        </w:tc>
        <w:tc>
          <w:tcPr>
            <w:tcW w:w="660" w:type="pct"/>
            <w:tcBorders>
              <w:top w:val="single" w:sz="4" w:space="0" w:color="FFFFFF" w:themeColor="background1"/>
            </w:tcBorders>
          </w:tcPr>
          <w:p w14:paraId="2253C240" w14:textId="77777777" w:rsidR="00B63CF2" w:rsidRPr="00E00207" w:rsidRDefault="00B63CF2" w:rsidP="00506E02">
            <w:pPr>
              <w:pStyle w:val="Tablebodytextnospaceafter"/>
            </w:pPr>
          </w:p>
        </w:tc>
        <w:tc>
          <w:tcPr>
            <w:tcW w:w="675" w:type="pct"/>
            <w:tcBorders>
              <w:top w:val="single" w:sz="4" w:space="0" w:color="FFFFFF" w:themeColor="background1"/>
            </w:tcBorders>
          </w:tcPr>
          <w:p w14:paraId="6BB4730D" w14:textId="0CB5F85A" w:rsidR="00B63CF2" w:rsidRPr="00E00207" w:rsidRDefault="00B63CF2" w:rsidP="00506E02">
            <w:pPr>
              <w:pStyle w:val="Tablebodytextnospaceafter"/>
            </w:pPr>
          </w:p>
        </w:tc>
      </w:tr>
      <w:tr w:rsidR="00797C71" w:rsidRPr="00797C71" w14:paraId="7FAFB7B1" w14:textId="77777777" w:rsidTr="00703978">
        <w:trPr>
          <w:cnfStyle w:val="000000100000" w:firstRow="0" w:lastRow="0" w:firstColumn="0" w:lastColumn="0" w:oddVBand="0" w:evenVBand="0" w:oddHBand="1" w:evenHBand="0" w:firstRowFirstColumn="0" w:firstRowLastColumn="0" w:lastRowFirstColumn="0" w:lastRowLastColumn="0"/>
          <w:trHeight w:val="60"/>
        </w:trPr>
        <w:tc>
          <w:tcPr>
            <w:tcW w:w="610" w:type="pct"/>
          </w:tcPr>
          <w:p w14:paraId="3DD1EE43" w14:textId="77777777" w:rsidR="00797C71" w:rsidRPr="00797C71" w:rsidRDefault="00797C71" w:rsidP="00797C71">
            <w:pPr>
              <w:pStyle w:val="Tablebodytextnospaceafter"/>
              <w:jc w:val="right"/>
            </w:pPr>
            <w:r w:rsidRPr="00797C71">
              <w:t>1,672</w:t>
            </w:r>
          </w:p>
        </w:tc>
        <w:tc>
          <w:tcPr>
            <w:tcW w:w="1213" w:type="pct"/>
            <w:hideMark/>
          </w:tcPr>
          <w:p w14:paraId="39AE55E9" w14:textId="77777777" w:rsidR="00797C71" w:rsidRPr="00797C71" w:rsidRDefault="00797C71" w:rsidP="00797C71">
            <w:pPr>
              <w:pStyle w:val="Tablebodytextnospaceafter"/>
            </w:pPr>
            <w:r w:rsidRPr="00797C71">
              <w:t>Property, plant and equipment</w:t>
            </w:r>
          </w:p>
        </w:tc>
        <w:tc>
          <w:tcPr>
            <w:tcW w:w="465" w:type="pct"/>
            <w:tcBorders>
              <w:top w:val="single" w:sz="4" w:space="0" w:color="FFFFFF" w:themeColor="background1"/>
            </w:tcBorders>
            <w:hideMark/>
          </w:tcPr>
          <w:p w14:paraId="70228FC0" w14:textId="77777777" w:rsidR="00797C71" w:rsidRPr="00797C71" w:rsidRDefault="009F2096" w:rsidP="00797C71">
            <w:pPr>
              <w:pStyle w:val="Tablebodytextnospaceafter"/>
              <w:jc w:val="right"/>
            </w:pPr>
            <w:r>
              <w:t>8</w:t>
            </w:r>
          </w:p>
        </w:tc>
        <w:tc>
          <w:tcPr>
            <w:tcW w:w="749" w:type="pct"/>
          </w:tcPr>
          <w:p w14:paraId="78F1BD38" w14:textId="77777777" w:rsidR="00797C71" w:rsidRPr="00AE2E80" w:rsidRDefault="006E23DE" w:rsidP="00797C71">
            <w:pPr>
              <w:pStyle w:val="Tablebodytextnospaceafter"/>
              <w:jc w:val="right"/>
              <w:rPr>
                <w:b/>
              </w:rPr>
            </w:pPr>
            <w:r w:rsidRPr="00AE2E80">
              <w:rPr>
                <w:b/>
              </w:rPr>
              <w:t>2,076</w:t>
            </w:r>
          </w:p>
        </w:tc>
        <w:tc>
          <w:tcPr>
            <w:tcW w:w="628" w:type="pct"/>
          </w:tcPr>
          <w:p w14:paraId="6CF512F0" w14:textId="77777777" w:rsidR="00797C71" w:rsidRPr="00797C71" w:rsidRDefault="006E23DE" w:rsidP="00797C71">
            <w:pPr>
              <w:pStyle w:val="Tablebodytextnospaceafter"/>
              <w:jc w:val="right"/>
            </w:pPr>
            <w:r>
              <w:t>1,799</w:t>
            </w:r>
          </w:p>
        </w:tc>
        <w:tc>
          <w:tcPr>
            <w:tcW w:w="660" w:type="pct"/>
          </w:tcPr>
          <w:p w14:paraId="10E47C4C" w14:textId="77777777" w:rsidR="00797C71" w:rsidRPr="00797C71" w:rsidRDefault="006E23DE" w:rsidP="00797C71">
            <w:pPr>
              <w:pStyle w:val="Tablebodytextnospaceafter"/>
              <w:jc w:val="right"/>
            </w:pPr>
            <w:r>
              <w:t>1,912</w:t>
            </w:r>
          </w:p>
        </w:tc>
        <w:tc>
          <w:tcPr>
            <w:tcW w:w="675" w:type="pct"/>
          </w:tcPr>
          <w:p w14:paraId="288133DF" w14:textId="77777777" w:rsidR="00797C71" w:rsidRPr="00797C71" w:rsidRDefault="006E23DE" w:rsidP="00797C71">
            <w:pPr>
              <w:pStyle w:val="Tablebodytextnospaceafter"/>
              <w:jc w:val="right"/>
            </w:pPr>
            <w:r>
              <w:t>2,017</w:t>
            </w:r>
          </w:p>
        </w:tc>
      </w:tr>
      <w:tr w:rsidR="00797C71" w14:paraId="39278145" w14:textId="77777777" w:rsidTr="00703978">
        <w:trPr>
          <w:cnfStyle w:val="000000010000" w:firstRow="0" w:lastRow="0" w:firstColumn="0" w:lastColumn="0" w:oddVBand="0" w:evenVBand="0" w:oddHBand="0" w:evenHBand="1" w:firstRowFirstColumn="0" w:firstRowLastColumn="0" w:lastRowFirstColumn="0" w:lastRowLastColumn="0"/>
          <w:trHeight w:val="60"/>
        </w:trPr>
        <w:tc>
          <w:tcPr>
            <w:tcW w:w="610" w:type="pct"/>
            <w:tcBorders>
              <w:bottom w:val="single" w:sz="4" w:space="0" w:color="FFFFFF" w:themeColor="background1"/>
            </w:tcBorders>
          </w:tcPr>
          <w:p w14:paraId="1326FEA9" w14:textId="77777777" w:rsidR="00797C71" w:rsidRPr="00797C71" w:rsidRDefault="00797C71" w:rsidP="00797C71">
            <w:pPr>
              <w:pStyle w:val="Tablebodytextnospaceafter"/>
              <w:jc w:val="right"/>
            </w:pPr>
            <w:r w:rsidRPr="00797C71">
              <w:t>1,070</w:t>
            </w:r>
          </w:p>
        </w:tc>
        <w:tc>
          <w:tcPr>
            <w:tcW w:w="1213" w:type="pct"/>
            <w:hideMark/>
          </w:tcPr>
          <w:p w14:paraId="5A044886" w14:textId="4AC166DF" w:rsidR="00797C71" w:rsidRPr="00A4209E" w:rsidRDefault="00797C71" w:rsidP="00BE5A31">
            <w:pPr>
              <w:pStyle w:val="Tablebodytextnospaceafter"/>
            </w:pPr>
            <w:r w:rsidRPr="00A4209E">
              <w:t xml:space="preserve">Intangible assets – </w:t>
            </w:r>
            <w:r w:rsidR="00BE5A31">
              <w:t>s</w:t>
            </w:r>
            <w:r w:rsidR="00BE5A31" w:rsidRPr="00A4209E">
              <w:t>oftware</w:t>
            </w:r>
          </w:p>
        </w:tc>
        <w:tc>
          <w:tcPr>
            <w:tcW w:w="465" w:type="pct"/>
            <w:tcBorders>
              <w:bottom w:val="single" w:sz="4" w:space="0" w:color="FFFFFF" w:themeColor="background1"/>
            </w:tcBorders>
            <w:hideMark/>
          </w:tcPr>
          <w:p w14:paraId="715F202F" w14:textId="77777777" w:rsidR="00797C71" w:rsidRPr="00E92E0C" w:rsidRDefault="009F2096" w:rsidP="00797C71">
            <w:pPr>
              <w:pStyle w:val="Tablebodytextnospaceafter"/>
              <w:jc w:val="right"/>
            </w:pPr>
            <w:r>
              <w:t>9</w:t>
            </w:r>
          </w:p>
        </w:tc>
        <w:tc>
          <w:tcPr>
            <w:tcW w:w="749" w:type="pct"/>
            <w:tcBorders>
              <w:bottom w:val="single" w:sz="4" w:space="0" w:color="FFFFFF" w:themeColor="background1"/>
            </w:tcBorders>
          </w:tcPr>
          <w:p w14:paraId="69628D4E" w14:textId="77777777" w:rsidR="00797C71" w:rsidRPr="003727C7" w:rsidRDefault="006E23DE" w:rsidP="00797C71">
            <w:pPr>
              <w:pStyle w:val="Tablebodytextnospaceafter"/>
              <w:jc w:val="right"/>
              <w:rPr>
                <w:rStyle w:val="Emphasis"/>
              </w:rPr>
            </w:pPr>
            <w:r>
              <w:rPr>
                <w:rStyle w:val="Emphasis"/>
              </w:rPr>
              <w:t>942</w:t>
            </w:r>
          </w:p>
        </w:tc>
        <w:tc>
          <w:tcPr>
            <w:tcW w:w="628" w:type="pct"/>
            <w:tcBorders>
              <w:bottom w:val="single" w:sz="4" w:space="0" w:color="FFFFFF" w:themeColor="background1"/>
            </w:tcBorders>
          </w:tcPr>
          <w:p w14:paraId="04D3C846" w14:textId="77777777" w:rsidR="00797C71" w:rsidRPr="00E00207" w:rsidRDefault="006E23DE" w:rsidP="00797C71">
            <w:pPr>
              <w:pStyle w:val="Tablebodytextnospaceafter"/>
              <w:jc w:val="right"/>
            </w:pPr>
            <w:r>
              <w:t>3,788</w:t>
            </w:r>
          </w:p>
        </w:tc>
        <w:tc>
          <w:tcPr>
            <w:tcW w:w="660" w:type="pct"/>
            <w:tcBorders>
              <w:bottom w:val="single" w:sz="4" w:space="0" w:color="FFFFFF" w:themeColor="background1"/>
            </w:tcBorders>
          </w:tcPr>
          <w:p w14:paraId="4BB6DE3A" w14:textId="77777777" w:rsidR="00797C71" w:rsidRPr="00621B12" w:rsidRDefault="006E23DE" w:rsidP="00797C71">
            <w:pPr>
              <w:pStyle w:val="Tablebodytextnospaceafter"/>
              <w:jc w:val="right"/>
            </w:pPr>
            <w:r>
              <w:t>1,919</w:t>
            </w:r>
          </w:p>
        </w:tc>
        <w:tc>
          <w:tcPr>
            <w:tcW w:w="675" w:type="pct"/>
            <w:tcBorders>
              <w:bottom w:val="single" w:sz="4" w:space="0" w:color="FFFFFF" w:themeColor="background1"/>
            </w:tcBorders>
          </w:tcPr>
          <w:p w14:paraId="417824C5" w14:textId="77777777" w:rsidR="00797C71" w:rsidRPr="00E00207" w:rsidRDefault="006E23DE" w:rsidP="00797C71">
            <w:pPr>
              <w:pStyle w:val="Tablebodytextnospaceafter"/>
              <w:jc w:val="right"/>
            </w:pPr>
            <w:r>
              <w:t>2,179</w:t>
            </w:r>
          </w:p>
        </w:tc>
      </w:tr>
      <w:tr w:rsidR="00797C71" w14:paraId="7B84296D" w14:textId="77777777" w:rsidTr="00703978">
        <w:trPr>
          <w:cnfStyle w:val="000000100000" w:firstRow="0" w:lastRow="0" w:firstColumn="0" w:lastColumn="0" w:oddVBand="0" w:evenVBand="0" w:oddHBand="1" w:evenHBand="0" w:firstRowFirstColumn="0" w:firstRowLastColumn="0" w:lastRowFirstColumn="0" w:lastRowLastColumn="0"/>
          <w:trHeight w:val="60"/>
        </w:trPr>
        <w:tc>
          <w:tcPr>
            <w:tcW w:w="610" w:type="pct"/>
            <w:tcBorders>
              <w:top w:val="single" w:sz="4" w:space="0" w:color="FFFFFF" w:themeColor="background1"/>
              <w:bottom w:val="single" w:sz="4" w:space="0" w:color="FFFFFF" w:themeColor="background1"/>
            </w:tcBorders>
            <w:shd w:val="clear" w:color="auto" w:fill="BFBFBF"/>
          </w:tcPr>
          <w:p w14:paraId="3B96F687" w14:textId="77777777" w:rsidR="00797C71" w:rsidRPr="003B30D1" w:rsidRDefault="00797C71" w:rsidP="00797C71">
            <w:pPr>
              <w:pStyle w:val="Tablebodytextnospaceafter"/>
              <w:jc w:val="right"/>
              <w:rPr>
                <w:u w:val="single"/>
              </w:rPr>
            </w:pPr>
            <w:r>
              <w:rPr>
                <w:rStyle w:val="Emphasis"/>
                <w:u w:val="single"/>
              </w:rPr>
              <w:t>2,742</w:t>
            </w:r>
          </w:p>
        </w:tc>
        <w:tc>
          <w:tcPr>
            <w:tcW w:w="1213" w:type="pct"/>
            <w:tcBorders>
              <w:bottom w:val="single" w:sz="4" w:space="0" w:color="FFFFFF" w:themeColor="background1"/>
            </w:tcBorders>
            <w:shd w:val="clear" w:color="auto" w:fill="BFBFBF"/>
            <w:hideMark/>
          </w:tcPr>
          <w:p w14:paraId="297C774E" w14:textId="77777777" w:rsidR="00797C71" w:rsidRPr="00A4209E" w:rsidRDefault="00797C71" w:rsidP="00797C71">
            <w:pPr>
              <w:pStyle w:val="Tablebodytextnospaceafter"/>
              <w:rPr>
                <w:i/>
              </w:rPr>
            </w:pPr>
            <w:r w:rsidRPr="00A4209E">
              <w:rPr>
                <w:i/>
              </w:rPr>
              <w:t>Total non-current assets</w:t>
            </w:r>
          </w:p>
        </w:tc>
        <w:tc>
          <w:tcPr>
            <w:tcW w:w="465" w:type="pct"/>
            <w:tcBorders>
              <w:top w:val="single" w:sz="4" w:space="0" w:color="FFFFFF" w:themeColor="background1"/>
              <w:bottom w:val="single" w:sz="4" w:space="0" w:color="FFFFFF" w:themeColor="background1"/>
            </w:tcBorders>
            <w:shd w:val="clear" w:color="auto" w:fill="BFBFBF"/>
          </w:tcPr>
          <w:p w14:paraId="26F9B225" w14:textId="77777777" w:rsidR="00797C71" w:rsidRPr="00A4209E" w:rsidRDefault="00797C71" w:rsidP="00797C71">
            <w:pPr>
              <w:pStyle w:val="Tablebodytextnospaceafter"/>
            </w:pPr>
          </w:p>
        </w:tc>
        <w:tc>
          <w:tcPr>
            <w:tcW w:w="749" w:type="pct"/>
            <w:tcBorders>
              <w:top w:val="single" w:sz="4" w:space="0" w:color="FFFFFF" w:themeColor="background1"/>
              <w:bottom w:val="single" w:sz="4" w:space="0" w:color="FFFFFF" w:themeColor="background1"/>
            </w:tcBorders>
            <w:shd w:val="clear" w:color="auto" w:fill="BFBFBF"/>
          </w:tcPr>
          <w:p w14:paraId="543401DE" w14:textId="77777777" w:rsidR="00797C71" w:rsidRPr="003727C7" w:rsidRDefault="006E23DE" w:rsidP="00797C71">
            <w:pPr>
              <w:pStyle w:val="Tablebodytextnospaceafter"/>
              <w:jc w:val="right"/>
              <w:rPr>
                <w:rStyle w:val="Emphasis"/>
                <w:u w:val="single"/>
              </w:rPr>
            </w:pPr>
            <w:r>
              <w:rPr>
                <w:rStyle w:val="Emphasis"/>
                <w:u w:val="single"/>
              </w:rPr>
              <w:t>3,018</w:t>
            </w:r>
          </w:p>
        </w:tc>
        <w:tc>
          <w:tcPr>
            <w:tcW w:w="628" w:type="pct"/>
            <w:tcBorders>
              <w:top w:val="single" w:sz="4" w:space="0" w:color="FFFFFF" w:themeColor="background1"/>
              <w:bottom w:val="single" w:sz="4" w:space="0" w:color="FFFFFF" w:themeColor="background1"/>
            </w:tcBorders>
            <w:shd w:val="clear" w:color="auto" w:fill="BFBFBF"/>
          </w:tcPr>
          <w:p w14:paraId="6A3885FA" w14:textId="77777777" w:rsidR="00797C71" w:rsidRPr="00E00207" w:rsidRDefault="006E23DE" w:rsidP="00797C71">
            <w:pPr>
              <w:pStyle w:val="Tablebodytextnospaceafter"/>
              <w:jc w:val="right"/>
              <w:rPr>
                <w:u w:val="single"/>
              </w:rPr>
            </w:pPr>
            <w:r>
              <w:rPr>
                <w:u w:val="single"/>
              </w:rPr>
              <w:t>5,587</w:t>
            </w:r>
          </w:p>
        </w:tc>
        <w:tc>
          <w:tcPr>
            <w:tcW w:w="660" w:type="pct"/>
            <w:tcBorders>
              <w:top w:val="single" w:sz="4" w:space="0" w:color="FFFFFF" w:themeColor="background1"/>
              <w:bottom w:val="single" w:sz="4" w:space="0" w:color="FFFFFF" w:themeColor="background1"/>
            </w:tcBorders>
            <w:shd w:val="clear" w:color="auto" w:fill="BFBFBF"/>
          </w:tcPr>
          <w:p w14:paraId="1578A9FB" w14:textId="77777777" w:rsidR="00797C71" w:rsidRPr="00621B12" w:rsidRDefault="006E23DE" w:rsidP="00797C71">
            <w:pPr>
              <w:pStyle w:val="Tablebodytextnospaceafter"/>
              <w:jc w:val="right"/>
              <w:rPr>
                <w:u w:val="single"/>
              </w:rPr>
            </w:pPr>
            <w:r>
              <w:rPr>
                <w:u w:val="single"/>
              </w:rPr>
              <w:t>3,831</w:t>
            </w:r>
          </w:p>
        </w:tc>
        <w:tc>
          <w:tcPr>
            <w:tcW w:w="675" w:type="pct"/>
            <w:tcBorders>
              <w:top w:val="single" w:sz="4" w:space="0" w:color="FFFFFF" w:themeColor="background1"/>
              <w:bottom w:val="single" w:sz="4" w:space="0" w:color="FFFFFF" w:themeColor="background1"/>
            </w:tcBorders>
            <w:shd w:val="clear" w:color="auto" w:fill="BFBFBF"/>
          </w:tcPr>
          <w:p w14:paraId="511DB3B6" w14:textId="77777777" w:rsidR="00797C71" w:rsidRPr="00E00207" w:rsidRDefault="006E23DE" w:rsidP="00797C71">
            <w:pPr>
              <w:pStyle w:val="Tablebodytextnospaceafter"/>
              <w:jc w:val="right"/>
              <w:rPr>
                <w:u w:val="single"/>
              </w:rPr>
            </w:pPr>
            <w:r>
              <w:rPr>
                <w:u w:val="single"/>
              </w:rPr>
              <w:t>4,196</w:t>
            </w:r>
          </w:p>
        </w:tc>
      </w:tr>
      <w:tr w:rsidR="00797C71" w14:paraId="3DF40729" w14:textId="77777777" w:rsidTr="00703978">
        <w:trPr>
          <w:cnfStyle w:val="000000010000" w:firstRow="0" w:lastRow="0" w:firstColumn="0" w:lastColumn="0" w:oddVBand="0" w:evenVBand="0" w:oddHBand="0" w:evenHBand="1" w:firstRowFirstColumn="0" w:firstRowLastColumn="0" w:lastRowFirstColumn="0" w:lastRowLastColumn="0"/>
          <w:trHeight w:val="60"/>
        </w:trPr>
        <w:tc>
          <w:tcPr>
            <w:tcW w:w="610" w:type="pct"/>
            <w:tcBorders>
              <w:top w:val="single" w:sz="4" w:space="0" w:color="FFFFFF" w:themeColor="background1"/>
              <w:bottom w:val="single" w:sz="4" w:space="0" w:color="FFFFFF" w:themeColor="background1"/>
            </w:tcBorders>
            <w:shd w:val="clear" w:color="auto" w:fill="BFBFBF"/>
          </w:tcPr>
          <w:p w14:paraId="18363269" w14:textId="77777777" w:rsidR="00797C71" w:rsidRPr="003B30D1" w:rsidRDefault="00797C71" w:rsidP="00797C71">
            <w:pPr>
              <w:pStyle w:val="Tablebodytextnospaceafter"/>
              <w:jc w:val="right"/>
              <w:rPr>
                <w:u w:val="single"/>
              </w:rPr>
            </w:pPr>
            <w:r>
              <w:rPr>
                <w:rStyle w:val="Emphasis"/>
                <w:u w:val="single"/>
              </w:rPr>
              <w:t>10,555</w:t>
            </w:r>
          </w:p>
        </w:tc>
        <w:tc>
          <w:tcPr>
            <w:tcW w:w="1213" w:type="pct"/>
            <w:tcBorders>
              <w:top w:val="single" w:sz="4" w:space="0" w:color="FFFFFF" w:themeColor="background1"/>
              <w:bottom w:val="single" w:sz="4" w:space="0" w:color="FFFFFF" w:themeColor="background1"/>
              <w:right w:val="single" w:sz="4" w:space="0" w:color="FFFFFF" w:themeColor="background1"/>
            </w:tcBorders>
            <w:shd w:val="clear" w:color="auto" w:fill="BFBFBF"/>
            <w:hideMark/>
          </w:tcPr>
          <w:p w14:paraId="7238AAB4" w14:textId="77777777" w:rsidR="00797C71" w:rsidRPr="00717943" w:rsidRDefault="00797C71" w:rsidP="00797C71">
            <w:pPr>
              <w:pStyle w:val="Tablebodytextnospaceafter"/>
              <w:rPr>
                <w:rStyle w:val="Emphasis"/>
              </w:rPr>
            </w:pPr>
            <w:r w:rsidRPr="00717943">
              <w:rPr>
                <w:rStyle w:val="Emphasis"/>
              </w:rPr>
              <w:t>Total assets</w:t>
            </w:r>
          </w:p>
        </w:tc>
        <w:tc>
          <w:tcPr>
            <w:tcW w:w="4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cPr>
          <w:p w14:paraId="02F99CF4" w14:textId="77777777" w:rsidR="00797C71" w:rsidRPr="00A4209E" w:rsidRDefault="00797C71" w:rsidP="00797C71">
            <w:pPr>
              <w:pStyle w:val="Tablebodytextnospaceafter"/>
            </w:pPr>
          </w:p>
        </w:tc>
        <w:tc>
          <w:tcPr>
            <w:tcW w:w="749" w:type="pct"/>
            <w:tcBorders>
              <w:top w:val="single" w:sz="4" w:space="0" w:color="FFFFFF" w:themeColor="background1"/>
              <w:left w:val="single" w:sz="4" w:space="0" w:color="FFFFFF" w:themeColor="background1"/>
              <w:bottom w:val="single" w:sz="4" w:space="0" w:color="FFFFFF" w:themeColor="background1"/>
            </w:tcBorders>
            <w:shd w:val="clear" w:color="auto" w:fill="BFBFBF"/>
          </w:tcPr>
          <w:p w14:paraId="3D06DCEF" w14:textId="77777777" w:rsidR="00797C71" w:rsidRPr="003727C7" w:rsidRDefault="006E23DE" w:rsidP="00797C71">
            <w:pPr>
              <w:pStyle w:val="Tablebodytextnospaceafter"/>
              <w:jc w:val="right"/>
              <w:rPr>
                <w:rStyle w:val="Emphasis"/>
                <w:u w:val="single"/>
              </w:rPr>
            </w:pPr>
            <w:r>
              <w:rPr>
                <w:rStyle w:val="Emphasis"/>
                <w:u w:val="single"/>
              </w:rPr>
              <w:t>13,081</w:t>
            </w:r>
          </w:p>
        </w:tc>
        <w:tc>
          <w:tcPr>
            <w:tcW w:w="628" w:type="pct"/>
            <w:tcBorders>
              <w:top w:val="single" w:sz="4" w:space="0" w:color="FFFFFF" w:themeColor="background1"/>
              <w:bottom w:val="single" w:sz="4" w:space="0" w:color="FFFFFF" w:themeColor="background1"/>
            </w:tcBorders>
            <w:shd w:val="clear" w:color="auto" w:fill="BFBFBF"/>
          </w:tcPr>
          <w:p w14:paraId="4B56A1AE" w14:textId="77777777" w:rsidR="00797C71" w:rsidRPr="00E00207" w:rsidRDefault="006E23DE" w:rsidP="00797C71">
            <w:pPr>
              <w:pStyle w:val="Tablebodytextnospaceafter"/>
              <w:jc w:val="right"/>
              <w:rPr>
                <w:u w:val="single"/>
              </w:rPr>
            </w:pPr>
            <w:r>
              <w:rPr>
                <w:u w:val="single"/>
              </w:rPr>
              <w:t>10,124</w:t>
            </w:r>
          </w:p>
        </w:tc>
        <w:tc>
          <w:tcPr>
            <w:tcW w:w="660" w:type="pct"/>
            <w:tcBorders>
              <w:top w:val="single" w:sz="4" w:space="0" w:color="FFFFFF" w:themeColor="background1"/>
              <w:bottom w:val="single" w:sz="4" w:space="0" w:color="FFFFFF" w:themeColor="background1"/>
            </w:tcBorders>
            <w:shd w:val="clear" w:color="auto" w:fill="BFBFBF"/>
          </w:tcPr>
          <w:p w14:paraId="55856D6C" w14:textId="77777777" w:rsidR="00797C71" w:rsidRPr="00621B12" w:rsidRDefault="006E23DE" w:rsidP="00797C71">
            <w:pPr>
              <w:pStyle w:val="Tablebodytextnospaceafter"/>
              <w:jc w:val="right"/>
              <w:rPr>
                <w:u w:val="single"/>
              </w:rPr>
            </w:pPr>
            <w:r>
              <w:rPr>
                <w:u w:val="single"/>
              </w:rPr>
              <w:t>10,124</w:t>
            </w:r>
          </w:p>
        </w:tc>
        <w:tc>
          <w:tcPr>
            <w:tcW w:w="675" w:type="pct"/>
            <w:tcBorders>
              <w:top w:val="single" w:sz="4" w:space="0" w:color="FFFFFF" w:themeColor="background1"/>
              <w:bottom w:val="single" w:sz="4" w:space="0" w:color="FFFFFF" w:themeColor="background1"/>
            </w:tcBorders>
            <w:shd w:val="clear" w:color="auto" w:fill="BFBFBF"/>
          </w:tcPr>
          <w:p w14:paraId="7AC3A092" w14:textId="77777777" w:rsidR="00797C71" w:rsidRPr="00E00207" w:rsidRDefault="006E23DE" w:rsidP="00797C71">
            <w:pPr>
              <w:pStyle w:val="Tablebodytextnospaceafter"/>
              <w:jc w:val="right"/>
              <w:rPr>
                <w:u w:val="single"/>
              </w:rPr>
            </w:pPr>
            <w:r>
              <w:rPr>
                <w:u w:val="single"/>
              </w:rPr>
              <w:t>12,291</w:t>
            </w:r>
          </w:p>
        </w:tc>
      </w:tr>
      <w:tr w:rsidR="00B63CF2" w14:paraId="7C1D459C" w14:textId="77777777" w:rsidTr="00703978">
        <w:trPr>
          <w:cnfStyle w:val="000000100000" w:firstRow="0" w:lastRow="0" w:firstColumn="0" w:lastColumn="0" w:oddVBand="0" w:evenVBand="0" w:oddHBand="1" w:evenHBand="0" w:firstRowFirstColumn="0" w:firstRowLastColumn="0" w:lastRowFirstColumn="0" w:lastRowLastColumn="0"/>
          <w:trHeight w:val="60"/>
        </w:trPr>
        <w:tc>
          <w:tcPr>
            <w:tcW w:w="610" w:type="pct"/>
            <w:tcBorders>
              <w:top w:val="single" w:sz="4" w:space="0" w:color="FFFFFF" w:themeColor="background1"/>
              <w:bottom w:val="single" w:sz="2" w:space="0" w:color="FFFFFF" w:themeColor="background1"/>
            </w:tcBorders>
            <w:shd w:val="clear" w:color="auto" w:fill="BFBFBF"/>
          </w:tcPr>
          <w:p w14:paraId="55C38F21" w14:textId="77777777" w:rsidR="00B63CF2" w:rsidRPr="003B30D1" w:rsidRDefault="00B63CF2" w:rsidP="00506E02">
            <w:pPr>
              <w:pStyle w:val="Tablebodytextnospaceafter"/>
              <w:jc w:val="right"/>
            </w:pPr>
          </w:p>
        </w:tc>
        <w:tc>
          <w:tcPr>
            <w:tcW w:w="1213" w:type="pct"/>
            <w:tcBorders>
              <w:top w:val="single" w:sz="4" w:space="0" w:color="FFFFFF" w:themeColor="background1"/>
              <w:bottom w:val="single" w:sz="2" w:space="0" w:color="FFFFFF" w:themeColor="background1"/>
            </w:tcBorders>
            <w:shd w:val="clear" w:color="auto" w:fill="BFBFBF"/>
            <w:hideMark/>
          </w:tcPr>
          <w:p w14:paraId="51415BAF" w14:textId="77777777" w:rsidR="00B63CF2" w:rsidRPr="00E00207" w:rsidRDefault="00B63CF2" w:rsidP="00506E02">
            <w:pPr>
              <w:pStyle w:val="Tablebodytextnospaceafter"/>
            </w:pPr>
            <w:r w:rsidRPr="00621B12">
              <w:rPr>
                <w:rStyle w:val="Emphasis"/>
              </w:rPr>
              <w:t>Liabilities</w:t>
            </w:r>
          </w:p>
        </w:tc>
        <w:tc>
          <w:tcPr>
            <w:tcW w:w="465" w:type="pct"/>
            <w:tcBorders>
              <w:top w:val="single" w:sz="4" w:space="0" w:color="FFFFFF" w:themeColor="background1"/>
              <w:bottom w:val="single" w:sz="2" w:space="0" w:color="FFFFFF" w:themeColor="background1"/>
            </w:tcBorders>
            <w:shd w:val="clear" w:color="auto" w:fill="BFBFBF"/>
          </w:tcPr>
          <w:p w14:paraId="53672110" w14:textId="77777777" w:rsidR="00B63CF2" w:rsidRPr="00E00207" w:rsidRDefault="00B63CF2" w:rsidP="00506E02">
            <w:pPr>
              <w:pStyle w:val="Tablebodytextnospaceafter"/>
            </w:pPr>
          </w:p>
        </w:tc>
        <w:tc>
          <w:tcPr>
            <w:tcW w:w="749" w:type="pct"/>
            <w:tcBorders>
              <w:top w:val="single" w:sz="4" w:space="0" w:color="FFFFFF" w:themeColor="background1"/>
              <w:bottom w:val="single" w:sz="2" w:space="0" w:color="FFFFFF" w:themeColor="background1"/>
            </w:tcBorders>
            <w:shd w:val="clear" w:color="auto" w:fill="BFBFBF"/>
          </w:tcPr>
          <w:p w14:paraId="366C5082" w14:textId="77777777" w:rsidR="00B63CF2" w:rsidRPr="00E00207" w:rsidRDefault="00B63CF2" w:rsidP="00506E02">
            <w:pPr>
              <w:pStyle w:val="Tablebodytextnospaceafter"/>
            </w:pPr>
          </w:p>
        </w:tc>
        <w:tc>
          <w:tcPr>
            <w:tcW w:w="628" w:type="pct"/>
            <w:tcBorders>
              <w:top w:val="single" w:sz="4" w:space="0" w:color="FFFFFF" w:themeColor="background1"/>
              <w:bottom w:val="single" w:sz="2" w:space="0" w:color="FFFFFF" w:themeColor="background1"/>
            </w:tcBorders>
            <w:shd w:val="clear" w:color="auto" w:fill="BFBFBF"/>
          </w:tcPr>
          <w:p w14:paraId="74596211" w14:textId="77777777" w:rsidR="00B63CF2" w:rsidRPr="00E00207" w:rsidRDefault="00B63CF2" w:rsidP="00506E02">
            <w:pPr>
              <w:pStyle w:val="Tablebodytextnospaceafter"/>
            </w:pPr>
          </w:p>
        </w:tc>
        <w:tc>
          <w:tcPr>
            <w:tcW w:w="660" w:type="pct"/>
            <w:tcBorders>
              <w:top w:val="single" w:sz="4" w:space="0" w:color="FFFFFF" w:themeColor="background1"/>
              <w:bottom w:val="single" w:sz="2" w:space="0" w:color="FFFFFF" w:themeColor="background1"/>
            </w:tcBorders>
            <w:shd w:val="clear" w:color="auto" w:fill="BFBFBF"/>
          </w:tcPr>
          <w:p w14:paraId="24141406" w14:textId="77777777" w:rsidR="00B63CF2" w:rsidRPr="00E00207" w:rsidRDefault="00B63CF2" w:rsidP="00506E02">
            <w:pPr>
              <w:pStyle w:val="Tablebodytextnospaceafter"/>
            </w:pPr>
          </w:p>
        </w:tc>
        <w:tc>
          <w:tcPr>
            <w:tcW w:w="675" w:type="pct"/>
            <w:tcBorders>
              <w:top w:val="single" w:sz="4" w:space="0" w:color="FFFFFF" w:themeColor="background1"/>
              <w:bottom w:val="single" w:sz="2" w:space="0" w:color="FFFFFF" w:themeColor="background1"/>
            </w:tcBorders>
            <w:shd w:val="clear" w:color="auto" w:fill="BFBFBF"/>
          </w:tcPr>
          <w:p w14:paraId="4A56B9A8" w14:textId="5B1860AB" w:rsidR="00B63CF2" w:rsidRPr="00E00207" w:rsidRDefault="00B63CF2" w:rsidP="00506E02">
            <w:pPr>
              <w:pStyle w:val="Tablebodytextnospaceafter"/>
            </w:pPr>
          </w:p>
        </w:tc>
      </w:tr>
      <w:tr w:rsidR="00B63CF2" w14:paraId="13135951" w14:textId="77777777" w:rsidTr="00703978">
        <w:trPr>
          <w:cnfStyle w:val="000000010000" w:firstRow="0" w:lastRow="0" w:firstColumn="0" w:lastColumn="0" w:oddVBand="0" w:evenVBand="0" w:oddHBand="0" w:evenHBand="1" w:firstRowFirstColumn="0" w:firstRowLastColumn="0" w:lastRowFirstColumn="0" w:lastRowLastColumn="0"/>
          <w:trHeight w:val="60"/>
        </w:trPr>
        <w:tc>
          <w:tcPr>
            <w:tcW w:w="610" w:type="pct"/>
          </w:tcPr>
          <w:p w14:paraId="0A045AE0" w14:textId="77777777" w:rsidR="00B63CF2" w:rsidRPr="003B30D1" w:rsidRDefault="00B63CF2" w:rsidP="00506E02">
            <w:pPr>
              <w:pStyle w:val="Tablebodytextnospaceafter"/>
              <w:jc w:val="right"/>
            </w:pPr>
          </w:p>
        </w:tc>
        <w:tc>
          <w:tcPr>
            <w:tcW w:w="1213" w:type="pct"/>
            <w:hideMark/>
          </w:tcPr>
          <w:p w14:paraId="1AD8956D" w14:textId="77777777" w:rsidR="00B63CF2" w:rsidRPr="00E00207" w:rsidRDefault="00B63CF2" w:rsidP="00506E02">
            <w:pPr>
              <w:pStyle w:val="Tablebodytextnospaceafter"/>
            </w:pPr>
            <w:r w:rsidRPr="00621B12">
              <w:rPr>
                <w:i/>
              </w:rPr>
              <w:t>Current liabilities</w:t>
            </w:r>
          </w:p>
        </w:tc>
        <w:tc>
          <w:tcPr>
            <w:tcW w:w="465" w:type="pct"/>
          </w:tcPr>
          <w:p w14:paraId="01E92D13" w14:textId="77777777" w:rsidR="00B63CF2" w:rsidRPr="00E00207" w:rsidRDefault="00B63CF2" w:rsidP="00506E02">
            <w:pPr>
              <w:pStyle w:val="Tablebodytextnospaceafter"/>
            </w:pPr>
          </w:p>
        </w:tc>
        <w:tc>
          <w:tcPr>
            <w:tcW w:w="749" w:type="pct"/>
          </w:tcPr>
          <w:p w14:paraId="6972E766" w14:textId="77777777" w:rsidR="00B63CF2" w:rsidRPr="00E00207" w:rsidRDefault="00B63CF2" w:rsidP="00506E02">
            <w:pPr>
              <w:pStyle w:val="Tablebodytextnospaceafter"/>
            </w:pPr>
          </w:p>
        </w:tc>
        <w:tc>
          <w:tcPr>
            <w:tcW w:w="628" w:type="pct"/>
          </w:tcPr>
          <w:p w14:paraId="7824286B" w14:textId="77777777" w:rsidR="00B63CF2" w:rsidRPr="00E00207" w:rsidRDefault="00B63CF2" w:rsidP="00506E02">
            <w:pPr>
              <w:pStyle w:val="Tablebodytextnospaceafter"/>
            </w:pPr>
          </w:p>
        </w:tc>
        <w:tc>
          <w:tcPr>
            <w:tcW w:w="660" w:type="pct"/>
          </w:tcPr>
          <w:p w14:paraId="1E2F8516" w14:textId="77777777" w:rsidR="00B63CF2" w:rsidRPr="00E00207" w:rsidRDefault="00B63CF2" w:rsidP="00506E02">
            <w:pPr>
              <w:pStyle w:val="Tablebodytextnospaceafter"/>
            </w:pPr>
          </w:p>
        </w:tc>
        <w:tc>
          <w:tcPr>
            <w:tcW w:w="675" w:type="pct"/>
          </w:tcPr>
          <w:p w14:paraId="641EF7BF" w14:textId="534861B1" w:rsidR="00B63CF2" w:rsidRPr="00E00207" w:rsidRDefault="00B63CF2" w:rsidP="00506E02">
            <w:pPr>
              <w:pStyle w:val="Tablebodytextnospaceafter"/>
            </w:pPr>
          </w:p>
        </w:tc>
      </w:tr>
      <w:tr w:rsidR="00797C71" w:rsidRPr="00797C71" w14:paraId="6AF9E2E6" w14:textId="77777777" w:rsidTr="00703978">
        <w:trPr>
          <w:cnfStyle w:val="000000100000" w:firstRow="0" w:lastRow="0" w:firstColumn="0" w:lastColumn="0" w:oddVBand="0" w:evenVBand="0" w:oddHBand="1" w:evenHBand="0" w:firstRowFirstColumn="0" w:firstRowLastColumn="0" w:lastRowFirstColumn="0" w:lastRowLastColumn="0"/>
          <w:trHeight w:val="60"/>
        </w:trPr>
        <w:tc>
          <w:tcPr>
            <w:tcW w:w="610" w:type="pct"/>
          </w:tcPr>
          <w:p w14:paraId="685646B9" w14:textId="77777777" w:rsidR="00797C71" w:rsidRPr="00797C71" w:rsidRDefault="00797C71" w:rsidP="00797C71">
            <w:pPr>
              <w:pStyle w:val="Tablebodytextnospaceafter"/>
              <w:jc w:val="right"/>
            </w:pPr>
            <w:r w:rsidRPr="00797C71">
              <w:t>1,237</w:t>
            </w:r>
          </w:p>
        </w:tc>
        <w:tc>
          <w:tcPr>
            <w:tcW w:w="1213" w:type="pct"/>
            <w:hideMark/>
          </w:tcPr>
          <w:p w14:paraId="50E4204A" w14:textId="77777777" w:rsidR="00797C71" w:rsidRPr="00797C71" w:rsidRDefault="00797C71" w:rsidP="00797C71">
            <w:pPr>
              <w:pStyle w:val="Tablebodytextnospaceafter"/>
            </w:pPr>
            <w:r w:rsidRPr="00797C71">
              <w:t>Creditors and other payables</w:t>
            </w:r>
          </w:p>
        </w:tc>
        <w:tc>
          <w:tcPr>
            <w:tcW w:w="465" w:type="pct"/>
            <w:hideMark/>
          </w:tcPr>
          <w:p w14:paraId="5AB7A51A" w14:textId="77777777" w:rsidR="00797C71" w:rsidRPr="00797C71" w:rsidRDefault="009F2096" w:rsidP="00797C71">
            <w:pPr>
              <w:pStyle w:val="Tablebodytextnospaceafter"/>
              <w:jc w:val="right"/>
            </w:pPr>
            <w:r>
              <w:t>10</w:t>
            </w:r>
          </w:p>
        </w:tc>
        <w:tc>
          <w:tcPr>
            <w:tcW w:w="749" w:type="pct"/>
          </w:tcPr>
          <w:p w14:paraId="5245B7B4" w14:textId="77777777" w:rsidR="00797C71" w:rsidRPr="006E23DE" w:rsidRDefault="006E23DE" w:rsidP="00797C71">
            <w:pPr>
              <w:pStyle w:val="Tablebodytextnospaceafter"/>
              <w:jc w:val="right"/>
              <w:rPr>
                <w:b/>
              </w:rPr>
            </w:pPr>
            <w:r>
              <w:rPr>
                <w:b/>
              </w:rPr>
              <w:t>1,275</w:t>
            </w:r>
          </w:p>
        </w:tc>
        <w:tc>
          <w:tcPr>
            <w:tcW w:w="628" w:type="pct"/>
          </w:tcPr>
          <w:p w14:paraId="57A54563" w14:textId="77777777" w:rsidR="00797C71" w:rsidRPr="00797C71" w:rsidRDefault="006E23DE" w:rsidP="00797C71">
            <w:pPr>
              <w:pStyle w:val="Tablebodytextnospaceafter"/>
              <w:jc w:val="right"/>
            </w:pPr>
            <w:r>
              <w:t>374</w:t>
            </w:r>
          </w:p>
        </w:tc>
        <w:tc>
          <w:tcPr>
            <w:tcW w:w="660" w:type="pct"/>
          </w:tcPr>
          <w:p w14:paraId="7A63CE5D" w14:textId="77777777" w:rsidR="00797C71" w:rsidRPr="00797C71" w:rsidRDefault="006E23DE" w:rsidP="00797C71">
            <w:pPr>
              <w:pStyle w:val="Tablebodytextnospaceafter"/>
              <w:jc w:val="right"/>
              <w:rPr>
                <w:highlight w:val="yellow"/>
              </w:rPr>
            </w:pPr>
            <w:r w:rsidRPr="006E23DE">
              <w:t>374</w:t>
            </w:r>
          </w:p>
        </w:tc>
        <w:tc>
          <w:tcPr>
            <w:tcW w:w="675" w:type="pct"/>
          </w:tcPr>
          <w:p w14:paraId="61F0B919" w14:textId="77777777" w:rsidR="00797C71" w:rsidRPr="00797C71" w:rsidRDefault="006E23DE" w:rsidP="00797C71">
            <w:pPr>
              <w:pStyle w:val="Tablebodytextnospaceafter"/>
              <w:jc w:val="right"/>
            </w:pPr>
            <w:r>
              <w:t>898</w:t>
            </w:r>
          </w:p>
        </w:tc>
      </w:tr>
      <w:tr w:rsidR="00797C71" w:rsidRPr="00797C71" w14:paraId="45018DC0" w14:textId="77777777" w:rsidTr="00703978">
        <w:trPr>
          <w:cnfStyle w:val="000000010000" w:firstRow="0" w:lastRow="0" w:firstColumn="0" w:lastColumn="0" w:oddVBand="0" w:evenVBand="0" w:oddHBand="0" w:evenHBand="1" w:firstRowFirstColumn="0" w:firstRowLastColumn="0" w:lastRowFirstColumn="0" w:lastRowLastColumn="0"/>
          <w:trHeight w:val="60"/>
        </w:trPr>
        <w:tc>
          <w:tcPr>
            <w:tcW w:w="610" w:type="pct"/>
          </w:tcPr>
          <w:p w14:paraId="0F828433" w14:textId="77777777" w:rsidR="00797C71" w:rsidRPr="00797C71" w:rsidRDefault="00797C71" w:rsidP="00797C71">
            <w:pPr>
              <w:pStyle w:val="Tablebodytextnospaceafter"/>
              <w:jc w:val="right"/>
            </w:pPr>
            <w:r w:rsidRPr="00797C71">
              <w:t>98</w:t>
            </w:r>
          </w:p>
        </w:tc>
        <w:tc>
          <w:tcPr>
            <w:tcW w:w="1213" w:type="pct"/>
          </w:tcPr>
          <w:p w14:paraId="1D1648B5" w14:textId="77777777" w:rsidR="00797C71" w:rsidRPr="00797C71" w:rsidRDefault="00797C71" w:rsidP="00797C71">
            <w:pPr>
              <w:pStyle w:val="Tablebodytextnospaceafter"/>
            </w:pPr>
            <w:r w:rsidRPr="00797C71">
              <w:t>Leasehold incentive – current portion^</w:t>
            </w:r>
          </w:p>
        </w:tc>
        <w:tc>
          <w:tcPr>
            <w:tcW w:w="465" w:type="pct"/>
          </w:tcPr>
          <w:p w14:paraId="7AF019B9" w14:textId="77777777" w:rsidR="00797C71" w:rsidRPr="00797C71" w:rsidRDefault="00797C71" w:rsidP="00797C71">
            <w:pPr>
              <w:pStyle w:val="Tablebodytextnospaceafter"/>
              <w:jc w:val="right"/>
            </w:pPr>
          </w:p>
        </w:tc>
        <w:tc>
          <w:tcPr>
            <w:tcW w:w="749" w:type="pct"/>
          </w:tcPr>
          <w:p w14:paraId="6817C378" w14:textId="77777777" w:rsidR="00797C71" w:rsidRPr="00797C71" w:rsidRDefault="00DD7B50" w:rsidP="00797C71">
            <w:pPr>
              <w:pStyle w:val="Tablebodytextnospaceafter"/>
              <w:jc w:val="right"/>
            </w:pPr>
            <w:r>
              <w:t>98</w:t>
            </w:r>
          </w:p>
        </w:tc>
        <w:tc>
          <w:tcPr>
            <w:tcW w:w="628" w:type="pct"/>
          </w:tcPr>
          <w:p w14:paraId="72B2B6C5" w14:textId="77777777" w:rsidR="00797C71" w:rsidRPr="00797C71" w:rsidRDefault="006E23DE" w:rsidP="00797C71">
            <w:pPr>
              <w:pStyle w:val="Tablebodytextnospaceafter"/>
              <w:jc w:val="right"/>
            </w:pPr>
            <w:r>
              <w:t>-</w:t>
            </w:r>
          </w:p>
        </w:tc>
        <w:tc>
          <w:tcPr>
            <w:tcW w:w="660" w:type="pct"/>
          </w:tcPr>
          <w:p w14:paraId="4D1A9E26" w14:textId="77777777" w:rsidR="00797C71" w:rsidRPr="00797C71" w:rsidRDefault="006E23DE" w:rsidP="00797C71">
            <w:pPr>
              <w:pStyle w:val="Tablebodytextnospaceafter"/>
              <w:jc w:val="right"/>
            </w:pPr>
            <w:r>
              <w:t>-</w:t>
            </w:r>
          </w:p>
        </w:tc>
        <w:tc>
          <w:tcPr>
            <w:tcW w:w="675" w:type="pct"/>
          </w:tcPr>
          <w:p w14:paraId="1131F7F1" w14:textId="77777777" w:rsidR="00797C71" w:rsidRPr="00797C71" w:rsidRDefault="006E23DE" w:rsidP="00797C71">
            <w:pPr>
              <w:pStyle w:val="Tablebodytextnospaceafter"/>
              <w:jc w:val="right"/>
            </w:pPr>
            <w:r>
              <w:t>-</w:t>
            </w:r>
          </w:p>
        </w:tc>
      </w:tr>
      <w:tr w:rsidR="00797C71" w:rsidRPr="00797C71" w14:paraId="608A0295" w14:textId="77777777" w:rsidTr="00703978">
        <w:trPr>
          <w:cnfStyle w:val="000000100000" w:firstRow="0" w:lastRow="0" w:firstColumn="0" w:lastColumn="0" w:oddVBand="0" w:evenVBand="0" w:oddHBand="1" w:evenHBand="0" w:firstRowFirstColumn="0" w:firstRowLastColumn="0" w:lastRowFirstColumn="0" w:lastRowLastColumn="0"/>
          <w:trHeight w:val="60"/>
        </w:trPr>
        <w:tc>
          <w:tcPr>
            <w:tcW w:w="610" w:type="pct"/>
          </w:tcPr>
          <w:p w14:paraId="67A7D73D" w14:textId="77777777" w:rsidR="00797C71" w:rsidRPr="00797C71" w:rsidRDefault="00797C71" w:rsidP="00797C71">
            <w:pPr>
              <w:pStyle w:val="Tablebodytextnospaceafter"/>
              <w:jc w:val="right"/>
            </w:pPr>
            <w:r w:rsidRPr="00797C71">
              <w:t>923</w:t>
            </w:r>
          </w:p>
        </w:tc>
        <w:tc>
          <w:tcPr>
            <w:tcW w:w="1213" w:type="pct"/>
            <w:hideMark/>
          </w:tcPr>
          <w:p w14:paraId="2CF92CDB" w14:textId="77777777" w:rsidR="00797C71" w:rsidRPr="00797C71" w:rsidRDefault="00797C71" w:rsidP="00797C71">
            <w:pPr>
              <w:pStyle w:val="Tablebodytextnospaceafter"/>
            </w:pPr>
            <w:r w:rsidRPr="00797C71">
              <w:t>Return of operating surplus</w:t>
            </w:r>
          </w:p>
        </w:tc>
        <w:tc>
          <w:tcPr>
            <w:tcW w:w="465" w:type="pct"/>
            <w:hideMark/>
          </w:tcPr>
          <w:p w14:paraId="6E3AA466" w14:textId="77777777" w:rsidR="00797C71" w:rsidRPr="00797C71" w:rsidRDefault="009F2096" w:rsidP="00797C71">
            <w:pPr>
              <w:pStyle w:val="Tablebodytextnospaceafter"/>
              <w:jc w:val="right"/>
            </w:pPr>
            <w:r>
              <w:t>11</w:t>
            </w:r>
          </w:p>
        </w:tc>
        <w:tc>
          <w:tcPr>
            <w:tcW w:w="749" w:type="pct"/>
          </w:tcPr>
          <w:p w14:paraId="5AC1CAE6" w14:textId="77777777" w:rsidR="00797C71" w:rsidRPr="006E23DE" w:rsidRDefault="006E23DE" w:rsidP="00797C71">
            <w:pPr>
              <w:pStyle w:val="Tablebodytextnospaceafter"/>
              <w:jc w:val="right"/>
              <w:rPr>
                <w:b/>
              </w:rPr>
            </w:pPr>
            <w:r>
              <w:rPr>
                <w:b/>
              </w:rPr>
              <w:t>1,446</w:t>
            </w:r>
          </w:p>
        </w:tc>
        <w:tc>
          <w:tcPr>
            <w:tcW w:w="628" w:type="pct"/>
          </w:tcPr>
          <w:p w14:paraId="5791BE7B" w14:textId="77777777" w:rsidR="00797C71" w:rsidRPr="00797C71" w:rsidRDefault="006E23DE" w:rsidP="00797C71">
            <w:pPr>
              <w:pStyle w:val="Tablebodytextnospaceafter"/>
              <w:jc w:val="right"/>
            </w:pPr>
            <w:r>
              <w:t>-</w:t>
            </w:r>
          </w:p>
        </w:tc>
        <w:tc>
          <w:tcPr>
            <w:tcW w:w="660" w:type="pct"/>
          </w:tcPr>
          <w:p w14:paraId="0D45683A" w14:textId="77777777" w:rsidR="00797C71" w:rsidRPr="00797C71" w:rsidRDefault="006E23DE" w:rsidP="00797C71">
            <w:pPr>
              <w:pStyle w:val="Tablebodytextnospaceafter"/>
              <w:jc w:val="right"/>
            </w:pPr>
            <w:r>
              <w:t>-</w:t>
            </w:r>
          </w:p>
        </w:tc>
        <w:tc>
          <w:tcPr>
            <w:tcW w:w="675" w:type="pct"/>
          </w:tcPr>
          <w:p w14:paraId="3ABC2FFE" w14:textId="77777777" w:rsidR="00797C71" w:rsidRPr="00797C71" w:rsidRDefault="006E23DE" w:rsidP="00797C71">
            <w:pPr>
              <w:pStyle w:val="Tablebodytextnospaceafter"/>
              <w:jc w:val="right"/>
            </w:pPr>
            <w:r>
              <w:t>-</w:t>
            </w:r>
          </w:p>
        </w:tc>
      </w:tr>
      <w:tr w:rsidR="00797C71" w14:paraId="06F5F2FC" w14:textId="77777777" w:rsidTr="00703978">
        <w:trPr>
          <w:cnfStyle w:val="000000010000" w:firstRow="0" w:lastRow="0" w:firstColumn="0" w:lastColumn="0" w:oddVBand="0" w:evenVBand="0" w:oddHBand="0" w:evenHBand="1" w:firstRowFirstColumn="0" w:firstRowLastColumn="0" w:lastRowFirstColumn="0" w:lastRowLastColumn="0"/>
          <w:trHeight w:val="60"/>
        </w:trPr>
        <w:tc>
          <w:tcPr>
            <w:tcW w:w="610" w:type="pct"/>
            <w:tcBorders>
              <w:bottom w:val="single" w:sz="4" w:space="0" w:color="FFFFFF" w:themeColor="background1"/>
            </w:tcBorders>
          </w:tcPr>
          <w:p w14:paraId="2991E9C5" w14:textId="77777777" w:rsidR="00797C71" w:rsidRPr="00797C71" w:rsidRDefault="00797C71" w:rsidP="00797C71">
            <w:pPr>
              <w:pStyle w:val="Tablebodytextnospaceafter"/>
              <w:jc w:val="right"/>
            </w:pPr>
            <w:r w:rsidRPr="00797C71">
              <w:t>896</w:t>
            </w:r>
          </w:p>
        </w:tc>
        <w:tc>
          <w:tcPr>
            <w:tcW w:w="1213" w:type="pct"/>
            <w:tcBorders>
              <w:bottom w:val="single" w:sz="4" w:space="0" w:color="FFFFFF" w:themeColor="background1"/>
            </w:tcBorders>
            <w:hideMark/>
          </w:tcPr>
          <w:p w14:paraId="5DC1E3A9" w14:textId="77777777" w:rsidR="00797C71" w:rsidRPr="00A4209E" w:rsidRDefault="00797C71" w:rsidP="00797C71">
            <w:pPr>
              <w:pStyle w:val="Tablebodytextnospaceafter"/>
            </w:pPr>
            <w:r w:rsidRPr="00A4209E">
              <w:t>Employee entitlements</w:t>
            </w:r>
          </w:p>
        </w:tc>
        <w:tc>
          <w:tcPr>
            <w:tcW w:w="465" w:type="pct"/>
            <w:tcBorders>
              <w:bottom w:val="single" w:sz="4" w:space="0" w:color="FFFFFF" w:themeColor="background1"/>
              <w:right w:val="single" w:sz="4" w:space="0" w:color="FFFFFF" w:themeColor="background1"/>
            </w:tcBorders>
            <w:hideMark/>
          </w:tcPr>
          <w:p w14:paraId="7247B3F7" w14:textId="77777777" w:rsidR="00797C71" w:rsidRPr="00E92E0C" w:rsidRDefault="009F2096" w:rsidP="00797C71">
            <w:pPr>
              <w:pStyle w:val="Tablebodytextnospaceafter"/>
              <w:jc w:val="right"/>
            </w:pPr>
            <w:r>
              <w:t>12</w:t>
            </w:r>
          </w:p>
        </w:tc>
        <w:tc>
          <w:tcPr>
            <w:tcW w:w="749" w:type="pct"/>
            <w:tcBorders>
              <w:left w:val="single" w:sz="4" w:space="0" w:color="FFFFFF" w:themeColor="background1"/>
              <w:bottom w:val="single" w:sz="4" w:space="0" w:color="FFFFFF" w:themeColor="background1"/>
            </w:tcBorders>
          </w:tcPr>
          <w:p w14:paraId="43D0084F" w14:textId="77777777" w:rsidR="00797C71" w:rsidRPr="003727C7" w:rsidRDefault="006E23DE" w:rsidP="00797C71">
            <w:pPr>
              <w:pStyle w:val="Tablebodytextnospaceafter"/>
              <w:jc w:val="right"/>
              <w:rPr>
                <w:rStyle w:val="Emphasis"/>
              </w:rPr>
            </w:pPr>
            <w:r>
              <w:rPr>
                <w:rStyle w:val="Emphasis"/>
              </w:rPr>
              <w:t>1,077</w:t>
            </w:r>
          </w:p>
        </w:tc>
        <w:tc>
          <w:tcPr>
            <w:tcW w:w="628" w:type="pct"/>
            <w:tcBorders>
              <w:bottom w:val="single" w:sz="4" w:space="0" w:color="FFFFFF" w:themeColor="background1"/>
            </w:tcBorders>
          </w:tcPr>
          <w:p w14:paraId="1EDBA906" w14:textId="77777777" w:rsidR="00797C71" w:rsidRPr="00E00207" w:rsidRDefault="006E23DE" w:rsidP="00797C71">
            <w:pPr>
              <w:pStyle w:val="Tablebodytextnospaceafter"/>
              <w:jc w:val="right"/>
            </w:pPr>
            <w:r>
              <w:t>467</w:t>
            </w:r>
          </w:p>
        </w:tc>
        <w:tc>
          <w:tcPr>
            <w:tcW w:w="660" w:type="pct"/>
            <w:tcBorders>
              <w:bottom w:val="single" w:sz="4" w:space="0" w:color="FFFFFF" w:themeColor="background1"/>
            </w:tcBorders>
          </w:tcPr>
          <w:p w14:paraId="6BF01B5A" w14:textId="77777777" w:rsidR="00797C71" w:rsidRPr="00621B12" w:rsidRDefault="006E23DE" w:rsidP="00797C71">
            <w:pPr>
              <w:pStyle w:val="Tablebodytextnospaceafter"/>
              <w:jc w:val="right"/>
            </w:pPr>
            <w:r>
              <w:t>467</w:t>
            </w:r>
          </w:p>
        </w:tc>
        <w:tc>
          <w:tcPr>
            <w:tcW w:w="675" w:type="pct"/>
            <w:tcBorders>
              <w:bottom w:val="single" w:sz="4" w:space="0" w:color="FFFFFF" w:themeColor="background1"/>
            </w:tcBorders>
          </w:tcPr>
          <w:p w14:paraId="7556332B" w14:textId="77777777" w:rsidR="00797C71" w:rsidRPr="00621B12" w:rsidRDefault="006E23DE" w:rsidP="00797C71">
            <w:pPr>
              <w:pStyle w:val="Tablebodytextnospaceafter"/>
              <w:jc w:val="right"/>
            </w:pPr>
            <w:r>
              <w:t>951</w:t>
            </w:r>
          </w:p>
        </w:tc>
      </w:tr>
      <w:tr w:rsidR="00797C71" w14:paraId="45CAF1D1" w14:textId="77777777" w:rsidTr="00703978">
        <w:trPr>
          <w:cnfStyle w:val="000000100000" w:firstRow="0" w:lastRow="0" w:firstColumn="0" w:lastColumn="0" w:oddVBand="0" w:evenVBand="0" w:oddHBand="1" w:evenHBand="0" w:firstRowFirstColumn="0" w:firstRowLastColumn="0" w:lastRowFirstColumn="0" w:lastRowLastColumn="0"/>
          <w:trHeight w:val="60"/>
        </w:trPr>
        <w:tc>
          <w:tcPr>
            <w:tcW w:w="610" w:type="pct"/>
            <w:tcBorders>
              <w:top w:val="single" w:sz="4" w:space="0" w:color="FFFFFF" w:themeColor="background1"/>
              <w:bottom w:val="single" w:sz="4" w:space="0" w:color="FFFFFF" w:themeColor="background1"/>
            </w:tcBorders>
          </w:tcPr>
          <w:p w14:paraId="2477527D" w14:textId="77777777" w:rsidR="00797C71" w:rsidRPr="00797C71" w:rsidRDefault="00797C71" w:rsidP="00797C71">
            <w:pPr>
              <w:pStyle w:val="Tablebodytextnospaceafter"/>
              <w:jc w:val="right"/>
              <w:rPr>
                <w:u w:val="single"/>
              </w:rPr>
            </w:pPr>
            <w:r w:rsidRPr="00797C71">
              <w:rPr>
                <w:u w:val="single"/>
              </w:rPr>
              <w:t>3,154</w:t>
            </w:r>
          </w:p>
        </w:tc>
        <w:tc>
          <w:tcPr>
            <w:tcW w:w="1213" w:type="pct"/>
            <w:tcBorders>
              <w:top w:val="single" w:sz="4" w:space="0" w:color="FFFFFF" w:themeColor="background1"/>
              <w:bottom w:val="single" w:sz="4" w:space="0" w:color="FFFFFF" w:themeColor="background1"/>
              <w:right w:val="single" w:sz="4" w:space="0" w:color="FFFFFF" w:themeColor="background1"/>
            </w:tcBorders>
            <w:hideMark/>
          </w:tcPr>
          <w:p w14:paraId="10A44DF2" w14:textId="77777777" w:rsidR="00797C71" w:rsidRPr="00A4209E" w:rsidRDefault="00797C71" w:rsidP="00797C71">
            <w:pPr>
              <w:pStyle w:val="Tablebodytextnospaceafter"/>
              <w:rPr>
                <w:i/>
              </w:rPr>
            </w:pPr>
            <w:r w:rsidRPr="00A4209E">
              <w:rPr>
                <w:i/>
              </w:rPr>
              <w:t>Total current liabilities</w:t>
            </w:r>
          </w:p>
        </w:tc>
        <w:tc>
          <w:tcPr>
            <w:tcW w:w="4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4EE9CD" w14:textId="77777777" w:rsidR="00797C71" w:rsidRPr="00E92E0C" w:rsidRDefault="00797C71" w:rsidP="00797C71">
            <w:pPr>
              <w:pStyle w:val="Tablebodytextnospaceafter"/>
              <w:jc w:val="right"/>
            </w:pPr>
          </w:p>
        </w:tc>
        <w:tc>
          <w:tcPr>
            <w:tcW w:w="749" w:type="pct"/>
            <w:tcBorders>
              <w:top w:val="single" w:sz="4" w:space="0" w:color="FFFFFF" w:themeColor="background1"/>
              <w:left w:val="single" w:sz="4" w:space="0" w:color="FFFFFF" w:themeColor="background1"/>
              <w:bottom w:val="single" w:sz="4" w:space="0" w:color="FFFFFF" w:themeColor="background1"/>
            </w:tcBorders>
          </w:tcPr>
          <w:p w14:paraId="106C0962" w14:textId="77777777" w:rsidR="00797C71" w:rsidRPr="00F71803" w:rsidRDefault="006E23DE" w:rsidP="00797C71">
            <w:pPr>
              <w:pStyle w:val="Tablebodytextnospaceafter"/>
              <w:jc w:val="right"/>
              <w:rPr>
                <w:rStyle w:val="Emphasis"/>
                <w:u w:val="single"/>
              </w:rPr>
            </w:pPr>
            <w:r>
              <w:rPr>
                <w:rStyle w:val="Emphasis"/>
                <w:u w:val="single"/>
              </w:rPr>
              <w:t>3,798</w:t>
            </w:r>
          </w:p>
        </w:tc>
        <w:tc>
          <w:tcPr>
            <w:tcW w:w="628" w:type="pct"/>
            <w:tcBorders>
              <w:top w:val="single" w:sz="4" w:space="0" w:color="FFFFFF" w:themeColor="background1"/>
              <w:bottom w:val="single" w:sz="4" w:space="0" w:color="FFFFFF" w:themeColor="background1"/>
            </w:tcBorders>
          </w:tcPr>
          <w:p w14:paraId="1BB0B903" w14:textId="77777777" w:rsidR="00797C71" w:rsidRPr="00E00207" w:rsidRDefault="006E23DE" w:rsidP="00797C71">
            <w:pPr>
              <w:pStyle w:val="Tablebodytextnospaceafter"/>
              <w:jc w:val="right"/>
              <w:rPr>
                <w:u w:val="single"/>
              </w:rPr>
            </w:pPr>
            <w:r>
              <w:rPr>
                <w:u w:val="single"/>
              </w:rPr>
              <w:t>841</w:t>
            </w:r>
          </w:p>
        </w:tc>
        <w:tc>
          <w:tcPr>
            <w:tcW w:w="660" w:type="pct"/>
            <w:tcBorders>
              <w:top w:val="single" w:sz="4" w:space="0" w:color="FFFFFF" w:themeColor="background1"/>
              <w:bottom w:val="single" w:sz="4" w:space="0" w:color="FFFFFF" w:themeColor="background1"/>
            </w:tcBorders>
          </w:tcPr>
          <w:p w14:paraId="65B67BB5" w14:textId="77777777" w:rsidR="00797C71" w:rsidRPr="00016409" w:rsidRDefault="006E23DE" w:rsidP="00797C71">
            <w:pPr>
              <w:pStyle w:val="Tablebodytextnospaceafter"/>
              <w:jc w:val="right"/>
              <w:rPr>
                <w:highlight w:val="yellow"/>
                <w:u w:val="single"/>
              </w:rPr>
            </w:pPr>
            <w:r w:rsidRPr="006E23DE">
              <w:rPr>
                <w:u w:val="single"/>
              </w:rPr>
              <w:t>841</w:t>
            </w:r>
          </w:p>
        </w:tc>
        <w:tc>
          <w:tcPr>
            <w:tcW w:w="675" w:type="pct"/>
            <w:tcBorders>
              <w:top w:val="single" w:sz="4" w:space="0" w:color="FFFFFF" w:themeColor="background1"/>
              <w:bottom w:val="single" w:sz="4" w:space="0" w:color="FFFFFF" w:themeColor="background1"/>
            </w:tcBorders>
          </w:tcPr>
          <w:p w14:paraId="24B4C3DE" w14:textId="77777777" w:rsidR="00797C71" w:rsidRPr="00E00207" w:rsidRDefault="006E23DE" w:rsidP="00797C71">
            <w:pPr>
              <w:pStyle w:val="Tablebodytextnospaceafter"/>
              <w:jc w:val="right"/>
              <w:rPr>
                <w:u w:val="single"/>
              </w:rPr>
            </w:pPr>
            <w:r>
              <w:rPr>
                <w:u w:val="single"/>
              </w:rPr>
              <w:t>1,849</w:t>
            </w:r>
          </w:p>
        </w:tc>
      </w:tr>
      <w:tr w:rsidR="00B63CF2" w14:paraId="5359551B" w14:textId="77777777" w:rsidTr="00703978">
        <w:trPr>
          <w:cnfStyle w:val="000000010000" w:firstRow="0" w:lastRow="0" w:firstColumn="0" w:lastColumn="0" w:oddVBand="0" w:evenVBand="0" w:oddHBand="0" w:evenHBand="1" w:firstRowFirstColumn="0" w:firstRowLastColumn="0" w:lastRowFirstColumn="0" w:lastRowLastColumn="0"/>
          <w:trHeight w:val="60"/>
        </w:trPr>
        <w:tc>
          <w:tcPr>
            <w:tcW w:w="610" w:type="pct"/>
            <w:tcBorders>
              <w:top w:val="single" w:sz="4" w:space="0" w:color="FFFFFF" w:themeColor="background1"/>
            </w:tcBorders>
          </w:tcPr>
          <w:p w14:paraId="15ABB46C" w14:textId="77777777" w:rsidR="00B63CF2" w:rsidRPr="00A4209E" w:rsidRDefault="00B63CF2" w:rsidP="00506E02">
            <w:pPr>
              <w:pStyle w:val="Tablebodytextnospaceafter"/>
              <w:jc w:val="right"/>
            </w:pPr>
          </w:p>
        </w:tc>
        <w:tc>
          <w:tcPr>
            <w:tcW w:w="1213" w:type="pct"/>
            <w:tcBorders>
              <w:top w:val="single" w:sz="4" w:space="0" w:color="FFFFFF" w:themeColor="background1"/>
            </w:tcBorders>
            <w:hideMark/>
          </w:tcPr>
          <w:p w14:paraId="2325ECBD" w14:textId="77777777" w:rsidR="00B63CF2" w:rsidRPr="00E00207" w:rsidRDefault="00B63CF2" w:rsidP="00506E02">
            <w:pPr>
              <w:pStyle w:val="Tablebodytextnospaceafter"/>
            </w:pPr>
            <w:r w:rsidRPr="00621B12">
              <w:rPr>
                <w:i/>
              </w:rPr>
              <w:t>Non-current liabilities</w:t>
            </w:r>
          </w:p>
        </w:tc>
        <w:tc>
          <w:tcPr>
            <w:tcW w:w="465" w:type="pct"/>
            <w:tcBorders>
              <w:top w:val="single" w:sz="4" w:space="0" w:color="FFFFFF" w:themeColor="background1"/>
            </w:tcBorders>
          </w:tcPr>
          <w:p w14:paraId="00F7DBB1" w14:textId="77777777" w:rsidR="00B63CF2" w:rsidRPr="00E00207" w:rsidRDefault="00B63CF2" w:rsidP="00506E02">
            <w:pPr>
              <w:pStyle w:val="Tablebodytextnospaceafter"/>
            </w:pPr>
          </w:p>
        </w:tc>
        <w:tc>
          <w:tcPr>
            <w:tcW w:w="749" w:type="pct"/>
            <w:tcBorders>
              <w:top w:val="single" w:sz="4" w:space="0" w:color="FFFFFF" w:themeColor="background1"/>
            </w:tcBorders>
          </w:tcPr>
          <w:p w14:paraId="3FB3BE49" w14:textId="77777777" w:rsidR="00B63CF2" w:rsidRPr="00E00207" w:rsidRDefault="00B63CF2" w:rsidP="00506E02">
            <w:pPr>
              <w:pStyle w:val="Tablebodytextnospaceafter"/>
            </w:pPr>
          </w:p>
        </w:tc>
        <w:tc>
          <w:tcPr>
            <w:tcW w:w="628" w:type="pct"/>
            <w:tcBorders>
              <w:top w:val="single" w:sz="4" w:space="0" w:color="FFFFFF" w:themeColor="background1"/>
            </w:tcBorders>
          </w:tcPr>
          <w:p w14:paraId="6D97DE12" w14:textId="77777777" w:rsidR="00B63CF2" w:rsidRPr="00E00207" w:rsidRDefault="00B63CF2" w:rsidP="00506E02">
            <w:pPr>
              <w:pStyle w:val="Tablebodytextnospaceafter"/>
            </w:pPr>
          </w:p>
        </w:tc>
        <w:tc>
          <w:tcPr>
            <w:tcW w:w="660" w:type="pct"/>
            <w:tcBorders>
              <w:top w:val="single" w:sz="4" w:space="0" w:color="FFFFFF" w:themeColor="background1"/>
            </w:tcBorders>
          </w:tcPr>
          <w:p w14:paraId="762F3EE3" w14:textId="77777777" w:rsidR="00B63CF2" w:rsidRPr="00E00207" w:rsidRDefault="00B63CF2" w:rsidP="00506E02">
            <w:pPr>
              <w:pStyle w:val="Tablebodytextnospaceafter"/>
            </w:pPr>
          </w:p>
        </w:tc>
        <w:tc>
          <w:tcPr>
            <w:tcW w:w="675" w:type="pct"/>
            <w:tcBorders>
              <w:top w:val="single" w:sz="4" w:space="0" w:color="FFFFFF" w:themeColor="background1"/>
            </w:tcBorders>
          </w:tcPr>
          <w:p w14:paraId="7735505F" w14:textId="0F4D4A3E" w:rsidR="00B63CF2" w:rsidRPr="00E00207" w:rsidRDefault="00B63CF2" w:rsidP="00506E02">
            <w:pPr>
              <w:pStyle w:val="Tablebodytextnospaceafter"/>
            </w:pPr>
          </w:p>
        </w:tc>
      </w:tr>
      <w:tr w:rsidR="00797C71" w:rsidRPr="00797C71" w14:paraId="7A41A1CA" w14:textId="77777777" w:rsidTr="00703978">
        <w:trPr>
          <w:cnfStyle w:val="000000100000" w:firstRow="0" w:lastRow="0" w:firstColumn="0" w:lastColumn="0" w:oddVBand="0" w:evenVBand="0" w:oddHBand="1" w:evenHBand="0" w:firstRowFirstColumn="0" w:firstRowLastColumn="0" w:lastRowFirstColumn="0" w:lastRowLastColumn="0"/>
          <w:trHeight w:val="60"/>
        </w:trPr>
        <w:tc>
          <w:tcPr>
            <w:tcW w:w="610" w:type="pct"/>
          </w:tcPr>
          <w:p w14:paraId="2522CBBF" w14:textId="77777777" w:rsidR="00797C71" w:rsidRPr="00797C71" w:rsidRDefault="00797C71" w:rsidP="00797C71">
            <w:pPr>
              <w:pStyle w:val="Tablebodytextnospaceafter"/>
              <w:jc w:val="right"/>
            </w:pPr>
            <w:r w:rsidRPr="00797C71">
              <w:t>19</w:t>
            </w:r>
          </w:p>
        </w:tc>
        <w:tc>
          <w:tcPr>
            <w:tcW w:w="1213" w:type="pct"/>
            <w:hideMark/>
          </w:tcPr>
          <w:p w14:paraId="42EF172F" w14:textId="77777777" w:rsidR="00797C71" w:rsidRPr="00797C71" w:rsidRDefault="00797C71" w:rsidP="00797C71">
            <w:pPr>
              <w:pStyle w:val="Tablebodytextnospaceafter"/>
            </w:pPr>
            <w:r w:rsidRPr="00797C71">
              <w:t>Employee entitlements</w:t>
            </w:r>
          </w:p>
        </w:tc>
        <w:tc>
          <w:tcPr>
            <w:tcW w:w="465" w:type="pct"/>
            <w:hideMark/>
          </w:tcPr>
          <w:p w14:paraId="695933C6" w14:textId="77777777" w:rsidR="00797C71" w:rsidRPr="00797C71" w:rsidRDefault="009F2096" w:rsidP="00797C71">
            <w:pPr>
              <w:pStyle w:val="Tablebodytextnospaceafter"/>
              <w:jc w:val="right"/>
            </w:pPr>
            <w:r>
              <w:t>12</w:t>
            </w:r>
          </w:p>
        </w:tc>
        <w:tc>
          <w:tcPr>
            <w:tcW w:w="749" w:type="pct"/>
          </w:tcPr>
          <w:p w14:paraId="1E241AA2" w14:textId="77777777" w:rsidR="00797C71" w:rsidRPr="006E23DE" w:rsidRDefault="006E23DE" w:rsidP="00797C71">
            <w:pPr>
              <w:pStyle w:val="Tablebodytextnospaceafter"/>
              <w:jc w:val="right"/>
              <w:rPr>
                <w:b/>
              </w:rPr>
            </w:pPr>
            <w:r>
              <w:rPr>
                <w:b/>
              </w:rPr>
              <w:t>19</w:t>
            </w:r>
          </w:p>
        </w:tc>
        <w:tc>
          <w:tcPr>
            <w:tcW w:w="628" w:type="pct"/>
          </w:tcPr>
          <w:p w14:paraId="6A1E7B50" w14:textId="77777777" w:rsidR="00797C71" w:rsidRPr="006E23DE" w:rsidRDefault="006E23DE" w:rsidP="00797C71">
            <w:pPr>
              <w:pStyle w:val="Tablebodytextnospaceafter"/>
              <w:jc w:val="right"/>
            </w:pPr>
            <w:r>
              <w:t>18</w:t>
            </w:r>
          </w:p>
        </w:tc>
        <w:tc>
          <w:tcPr>
            <w:tcW w:w="660" w:type="pct"/>
          </w:tcPr>
          <w:p w14:paraId="2E6D8A53" w14:textId="77777777" w:rsidR="00797C71" w:rsidRPr="00797C71" w:rsidRDefault="006E23DE" w:rsidP="00797C71">
            <w:pPr>
              <w:pStyle w:val="Tablebodytextnospaceafter"/>
              <w:jc w:val="right"/>
              <w:rPr>
                <w:highlight w:val="yellow"/>
              </w:rPr>
            </w:pPr>
            <w:r w:rsidRPr="006E23DE">
              <w:t>18</w:t>
            </w:r>
          </w:p>
        </w:tc>
        <w:tc>
          <w:tcPr>
            <w:tcW w:w="675" w:type="pct"/>
          </w:tcPr>
          <w:p w14:paraId="3B6058F6" w14:textId="77777777" w:rsidR="00797C71" w:rsidRPr="00797C71" w:rsidRDefault="006E23DE" w:rsidP="00797C71">
            <w:pPr>
              <w:pStyle w:val="Tablebodytextnospaceafter"/>
              <w:jc w:val="right"/>
            </w:pPr>
            <w:r>
              <w:t>19</w:t>
            </w:r>
          </w:p>
        </w:tc>
      </w:tr>
      <w:tr w:rsidR="00797C71" w14:paraId="10FD6DD7" w14:textId="77777777" w:rsidTr="00703978">
        <w:trPr>
          <w:cnfStyle w:val="000000010000" w:firstRow="0" w:lastRow="0" w:firstColumn="0" w:lastColumn="0" w:oddVBand="0" w:evenVBand="0" w:oddHBand="0" w:evenHBand="1" w:firstRowFirstColumn="0" w:firstRowLastColumn="0" w:lastRowFirstColumn="0" w:lastRowLastColumn="0"/>
          <w:trHeight w:val="60"/>
        </w:trPr>
        <w:tc>
          <w:tcPr>
            <w:tcW w:w="610" w:type="pct"/>
            <w:tcBorders>
              <w:bottom w:val="single" w:sz="4" w:space="0" w:color="FFFFFF" w:themeColor="background1"/>
            </w:tcBorders>
          </w:tcPr>
          <w:p w14:paraId="42E8CD13" w14:textId="77777777" w:rsidR="00797C71" w:rsidRPr="00797C71" w:rsidRDefault="00797C71" w:rsidP="00797C71">
            <w:pPr>
              <w:pStyle w:val="Tablebodytextnospaceafter"/>
              <w:jc w:val="right"/>
            </w:pPr>
            <w:r w:rsidRPr="00797C71">
              <w:t>619</w:t>
            </w:r>
          </w:p>
        </w:tc>
        <w:tc>
          <w:tcPr>
            <w:tcW w:w="1213" w:type="pct"/>
            <w:hideMark/>
          </w:tcPr>
          <w:p w14:paraId="78103421" w14:textId="77777777" w:rsidR="00797C71" w:rsidRPr="00A4209E" w:rsidRDefault="00797C71" w:rsidP="00797C71">
            <w:pPr>
              <w:pStyle w:val="Tablebodytextnospaceafter"/>
            </w:pPr>
            <w:r w:rsidRPr="00A4209E">
              <w:t>Leasehold Incentives</w:t>
            </w:r>
          </w:p>
        </w:tc>
        <w:tc>
          <w:tcPr>
            <w:tcW w:w="465" w:type="pct"/>
            <w:hideMark/>
          </w:tcPr>
          <w:p w14:paraId="20ACDB37" w14:textId="77777777" w:rsidR="00797C71" w:rsidRPr="00A4209E" w:rsidRDefault="00797C71" w:rsidP="00797C71">
            <w:pPr>
              <w:pStyle w:val="Tablebodytextnospaceafter"/>
              <w:jc w:val="right"/>
            </w:pPr>
          </w:p>
        </w:tc>
        <w:tc>
          <w:tcPr>
            <w:tcW w:w="749" w:type="pct"/>
            <w:tcBorders>
              <w:bottom w:val="single" w:sz="4" w:space="0" w:color="FFFFFF" w:themeColor="background1"/>
            </w:tcBorders>
          </w:tcPr>
          <w:p w14:paraId="22627EF6" w14:textId="77777777" w:rsidR="00797C71" w:rsidRPr="003727C7" w:rsidRDefault="00DD7B50" w:rsidP="00797C71">
            <w:pPr>
              <w:pStyle w:val="Tablebodytextnospaceafter"/>
              <w:jc w:val="right"/>
              <w:rPr>
                <w:rStyle w:val="Emphasis"/>
              </w:rPr>
            </w:pPr>
            <w:r>
              <w:rPr>
                <w:rStyle w:val="Emphasis"/>
              </w:rPr>
              <w:t>521</w:t>
            </w:r>
          </w:p>
        </w:tc>
        <w:tc>
          <w:tcPr>
            <w:tcW w:w="628" w:type="pct"/>
            <w:tcBorders>
              <w:bottom w:val="single" w:sz="4" w:space="0" w:color="FFFFFF" w:themeColor="background1"/>
            </w:tcBorders>
          </w:tcPr>
          <w:p w14:paraId="37AD5CC3" w14:textId="77777777" w:rsidR="00797C71" w:rsidRPr="00E00207" w:rsidRDefault="006E23DE" w:rsidP="00797C71">
            <w:pPr>
              <w:pStyle w:val="Tablebodytextnospaceafter"/>
              <w:jc w:val="right"/>
            </w:pPr>
            <w:r>
              <w:t>620</w:t>
            </w:r>
          </w:p>
        </w:tc>
        <w:tc>
          <w:tcPr>
            <w:tcW w:w="660" w:type="pct"/>
            <w:tcBorders>
              <w:bottom w:val="single" w:sz="4" w:space="0" w:color="FFFFFF" w:themeColor="background1"/>
            </w:tcBorders>
          </w:tcPr>
          <w:p w14:paraId="10CC83ED" w14:textId="77777777" w:rsidR="00797C71" w:rsidRPr="00016409" w:rsidRDefault="006E23DE" w:rsidP="00797C71">
            <w:pPr>
              <w:pStyle w:val="Tablebodytextnospaceafter"/>
              <w:jc w:val="right"/>
              <w:rPr>
                <w:highlight w:val="yellow"/>
              </w:rPr>
            </w:pPr>
            <w:r w:rsidRPr="006E23DE">
              <w:t>620</w:t>
            </w:r>
          </w:p>
        </w:tc>
        <w:tc>
          <w:tcPr>
            <w:tcW w:w="675" w:type="pct"/>
            <w:tcBorders>
              <w:bottom w:val="single" w:sz="4" w:space="0" w:color="FFFFFF" w:themeColor="background1"/>
            </w:tcBorders>
          </w:tcPr>
          <w:p w14:paraId="10EDE1D5" w14:textId="77777777" w:rsidR="00797C71" w:rsidRPr="00E00207" w:rsidRDefault="006E23DE" w:rsidP="00797C71">
            <w:pPr>
              <w:pStyle w:val="Tablebodytextnospaceafter"/>
              <w:jc w:val="right"/>
            </w:pPr>
            <w:r>
              <w:t>522</w:t>
            </w:r>
          </w:p>
        </w:tc>
      </w:tr>
      <w:tr w:rsidR="00797C71" w14:paraId="2E1CC0A3" w14:textId="77777777" w:rsidTr="00703978">
        <w:trPr>
          <w:cnfStyle w:val="000000100000" w:firstRow="0" w:lastRow="0" w:firstColumn="0" w:lastColumn="0" w:oddVBand="0" w:evenVBand="0" w:oddHBand="1" w:evenHBand="0" w:firstRowFirstColumn="0" w:firstRowLastColumn="0" w:lastRowFirstColumn="0" w:lastRowLastColumn="0"/>
          <w:trHeight w:val="60"/>
        </w:trPr>
        <w:tc>
          <w:tcPr>
            <w:tcW w:w="610" w:type="pct"/>
            <w:tcBorders>
              <w:top w:val="single" w:sz="4" w:space="0" w:color="FFFFFF" w:themeColor="background1"/>
              <w:bottom w:val="single" w:sz="4" w:space="0" w:color="FFFFFF" w:themeColor="background1"/>
            </w:tcBorders>
          </w:tcPr>
          <w:p w14:paraId="656B9331" w14:textId="77777777" w:rsidR="00797C71" w:rsidRPr="00797C71" w:rsidRDefault="00797C71" w:rsidP="00797C71">
            <w:pPr>
              <w:pStyle w:val="Tablebodytextnospaceafter"/>
              <w:jc w:val="right"/>
              <w:rPr>
                <w:u w:val="single"/>
              </w:rPr>
            </w:pPr>
            <w:r w:rsidRPr="00797C71">
              <w:rPr>
                <w:u w:val="single"/>
              </w:rPr>
              <w:t>638</w:t>
            </w:r>
          </w:p>
        </w:tc>
        <w:tc>
          <w:tcPr>
            <w:tcW w:w="1213" w:type="pct"/>
            <w:tcBorders>
              <w:bottom w:val="single" w:sz="2" w:space="0" w:color="FFFFFF" w:themeColor="background1"/>
            </w:tcBorders>
            <w:hideMark/>
          </w:tcPr>
          <w:p w14:paraId="6AFAA094" w14:textId="77777777" w:rsidR="00797C71" w:rsidRPr="00A4209E" w:rsidRDefault="00797C71" w:rsidP="00797C71">
            <w:pPr>
              <w:pStyle w:val="Tablebodytextnospaceafter"/>
              <w:rPr>
                <w:i/>
              </w:rPr>
            </w:pPr>
            <w:r w:rsidRPr="00A4209E">
              <w:rPr>
                <w:i/>
              </w:rPr>
              <w:t>Total non-current liabilities</w:t>
            </w:r>
          </w:p>
        </w:tc>
        <w:tc>
          <w:tcPr>
            <w:tcW w:w="465" w:type="pct"/>
            <w:tcBorders>
              <w:bottom w:val="single" w:sz="2" w:space="0" w:color="FFFFFF" w:themeColor="background1"/>
            </w:tcBorders>
            <w:hideMark/>
          </w:tcPr>
          <w:p w14:paraId="2BEF4F8B" w14:textId="77777777" w:rsidR="00797C71" w:rsidRPr="00A4209E" w:rsidRDefault="00797C71" w:rsidP="00797C71">
            <w:pPr>
              <w:pStyle w:val="Tablebodytextnospaceafter"/>
              <w:jc w:val="right"/>
            </w:pPr>
          </w:p>
        </w:tc>
        <w:tc>
          <w:tcPr>
            <w:tcW w:w="749" w:type="pct"/>
            <w:tcBorders>
              <w:top w:val="single" w:sz="4" w:space="0" w:color="FFFFFF" w:themeColor="background1"/>
              <w:bottom w:val="single" w:sz="4" w:space="0" w:color="FFFFFF" w:themeColor="background1"/>
            </w:tcBorders>
          </w:tcPr>
          <w:p w14:paraId="16CB520D" w14:textId="77777777" w:rsidR="00797C71" w:rsidRPr="003727C7" w:rsidRDefault="00DD7B50" w:rsidP="00797C71">
            <w:pPr>
              <w:pStyle w:val="Tablebodytextnospaceafter"/>
              <w:jc w:val="right"/>
              <w:rPr>
                <w:rStyle w:val="Emphasis"/>
                <w:u w:val="single"/>
              </w:rPr>
            </w:pPr>
            <w:r>
              <w:rPr>
                <w:rStyle w:val="Emphasis"/>
                <w:u w:val="single"/>
              </w:rPr>
              <w:t>540</w:t>
            </w:r>
          </w:p>
        </w:tc>
        <w:tc>
          <w:tcPr>
            <w:tcW w:w="628" w:type="pct"/>
            <w:tcBorders>
              <w:top w:val="single" w:sz="4" w:space="0" w:color="FFFFFF" w:themeColor="background1"/>
              <w:bottom w:val="single" w:sz="4" w:space="0" w:color="FFFFFF" w:themeColor="background1"/>
            </w:tcBorders>
          </w:tcPr>
          <w:p w14:paraId="11178C4D" w14:textId="77777777" w:rsidR="00797C71" w:rsidRPr="00E00207" w:rsidRDefault="006E23DE" w:rsidP="00797C71">
            <w:pPr>
              <w:pStyle w:val="Tablebodytextnospaceafter"/>
              <w:jc w:val="right"/>
              <w:rPr>
                <w:u w:val="single"/>
              </w:rPr>
            </w:pPr>
            <w:r>
              <w:rPr>
                <w:u w:val="single"/>
              </w:rPr>
              <w:t>638</w:t>
            </w:r>
          </w:p>
        </w:tc>
        <w:tc>
          <w:tcPr>
            <w:tcW w:w="660" w:type="pct"/>
            <w:tcBorders>
              <w:top w:val="single" w:sz="4" w:space="0" w:color="FFFFFF" w:themeColor="background1"/>
              <w:bottom w:val="single" w:sz="4" w:space="0" w:color="FFFFFF" w:themeColor="background1"/>
            </w:tcBorders>
          </w:tcPr>
          <w:p w14:paraId="4F6E15B4" w14:textId="77777777" w:rsidR="00797C71" w:rsidRPr="00016409" w:rsidRDefault="006E23DE" w:rsidP="00797C71">
            <w:pPr>
              <w:pStyle w:val="Tablebodytextnospaceafter"/>
              <w:jc w:val="right"/>
              <w:rPr>
                <w:highlight w:val="yellow"/>
                <w:u w:val="single"/>
              </w:rPr>
            </w:pPr>
            <w:r w:rsidRPr="006E23DE">
              <w:rPr>
                <w:u w:val="single"/>
              </w:rPr>
              <w:t>638</w:t>
            </w:r>
          </w:p>
        </w:tc>
        <w:tc>
          <w:tcPr>
            <w:tcW w:w="675" w:type="pct"/>
            <w:tcBorders>
              <w:top w:val="single" w:sz="4" w:space="0" w:color="FFFFFF" w:themeColor="background1"/>
              <w:bottom w:val="single" w:sz="4" w:space="0" w:color="FFFFFF" w:themeColor="background1"/>
            </w:tcBorders>
          </w:tcPr>
          <w:p w14:paraId="4D4368EA" w14:textId="77777777" w:rsidR="00797C71" w:rsidRPr="00E00207" w:rsidRDefault="006E23DE" w:rsidP="00797C71">
            <w:pPr>
              <w:pStyle w:val="Tablebodytextnospaceafter"/>
              <w:jc w:val="right"/>
              <w:rPr>
                <w:u w:val="single"/>
              </w:rPr>
            </w:pPr>
            <w:r>
              <w:rPr>
                <w:u w:val="single"/>
              </w:rPr>
              <w:t>541</w:t>
            </w:r>
          </w:p>
        </w:tc>
      </w:tr>
      <w:tr w:rsidR="00797C71" w14:paraId="1C3481B3" w14:textId="77777777" w:rsidTr="00703978">
        <w:trPr>
          <w:cnfStyle w:val="000000010000" w:firstRow="0" w:lastRow="0" w:firstColumn="0" w:lastColumn="0" w:oddVBand="0" w:evenVBand="0" w:oddHBand="0" w:evenHBand="1" w:firstRowFirstColumn="0" w:firstRowLastColumn="0" w:lastRowFirstColumn="0" w:lastRowLastColumn="0"/>
          <w:trHeight w:val="60"/>
        </w:trPr>
        <w:tc>
          <w:tcPr>
            <w:tcW w:w="610" w:type="pct"/>
            <w:tcBorders>
              <w:top w:val="single" w:sz="4" w:space="0" w:color="FFFFFF" w:themeColor="background1"/>
              <w:bottom w:val="single" w:sz="4" w:space="0" w:color="FFFFFF" w:themeColor="background1"/>
            </w:tcBorders>
            <w:shd w:val="clear" w:color="auto" w:fill="BFBFBF"/>
          </w:tcPr>
          <w:p w14:paraId="2016E8B6" w14:textId="77777777" w:rsidR="00797C71" w:rsidRPr="00A4209E" w:rsidRDefault="00797C71" w:rsidP="00797C71">
            <w:pPr>
              <w:pStyle w:val="Tablebodytextnospaceafter"/>
              <w:jc w:val="right"/>
              <w:rPr>
                <w:u w:val="single"/>
              </w:rPr>
            </w:pPr>
            <w:r w:rsidRPr="0068675D">
              <w:rPr>
                <w:rStyle w:val="Emphasis"/>
                <w:u w:val="single"/>
              </w:rPr>
              <w:t>3,792</w:t>
            </w:r>
          </w:p>
        </w:tc>
        <w:tc>
          <w:tcPr>
            <w:tcW w:w="1213" w:type="pct"/>
            <w:shd w:val="clear" w:color="auto" w:fill="BFBFBF"/>
            <w:hideMark/>
          </w:tcPr>
          <w:p w14:paraId="29EA4A23" w14:textId="77777777" w:rsidR="00797C71" w:rsidRPr="00717943" w:rsidRDefault="00797C71" w:rsidP="00797C71">
            <w:pPr>
              <w:pStyle w:val="Tablebodytextnospaceafter"/>
              <w:rPr>
                <w:rStyle w:val="Emphasis"/>
              </w:rPr>
            </w:pPr>
            <w:r w:rsidRPr="00717943">
              <w:rPr>
                <w:rStyle w:val="Emphasis"/>
              </w:rPr>
              <w:t>Total liabilities</w:t>
            </w:r>
          </w:p>
        </w:tc>
        <w:tc>
          <w:tcPr>
            <w:tcW w:w="465" w:type="pct"/>
            <w:shd w:val="clear" w:color="auto" w:fill="BFBFBF"/>
          </w:tcPr>
          <w:p w14:paraId="1C2AE726" w14:textId="77777777" w:rsidR="00797C71" w:rsidRPr="00A4209E" w:rsidRDefault="00797C71" w:rsidP="00797C71">
            <w:pPr>
              <w:pStyle w:val="Tablebodytextnospaceafter"/>
              <w:jc w:val="right"/>
            </w:pPr>
          </w:p>
        </w:tc>
        <w:tc>
          <w:tcPr>
            <w:tcW w:w="749" w:type="pct"/>
            <w:tcBorders>
              <w:top w:val="single" w:sz="4" w:space="0" w:color="FFFFFF" w:themeColor="background1"/>
              <w:bottom w:val="single" w:sz="4" w:space="0" w:color="FFFFFF" w:themeColor="background1"/>
            </w:tcBorders>
            <w:shd w:val="clear" w:color="auto" w:fill="BFBFBF"/>
          </w:tcPr>
          <w:p w14:paraId="34F26CC1" w14:textId="77777777" w:rsidR="00797C71" w:rsidRPr="0068675D" w:rsidRDefault="006E23DE" w:rsidP="00797C71">
            <w:pPr>
              <w:pStyle w:val="Tablebodytextnospaceafter"/>
              <w:jc w:val="right"/>
              <w:rPr>
                <w:rStyle w:val="Emphasis"/>
                <w:u w:val="single"/>
              </w:rPr>
            </w:pPr>
            <w:r>
              <w:rPr>
                <w:rStyle w:val="Emphasis"/>
                <w:u w:val="single"/>
              </w:rPr>
              <w:t>4,</w:t>
            </w:r>
            <w:r w:rsidR="00DD7B50">
              <w:rPr>
                <w:rStyle w:val="Emphasis"/>
                <w:u w:val="single"/>
              </w:rPr>
              <w:t>338</w:t>
            </w:r>
          </w:p>
        </w:tc>
        <w:tc>
          <w:tcPr>
            <w:tcW w:w="628" w:type="pct"/>
            <w:tcBorders>
              <w:top w:val="single" w:sz="4" w:space="0" w:color="FFFFFF" w:themeColor="background1"/>
              <w:bottom w:val="single" w:sz="4" w:space="0" w:color="FFFFFF" w:themeColor="background1"/>
            </w:tcBorders>
            <w:shd w:val="clear" w:color="auto" w:fill="BFBFBF"/>
          </w:tcPr>
          <w:p w14:paraId="5342FAAF" w14:textId="77777777" w:rsidR="00797C71" w:rsidRPr="00E00207" w:rsidRDefault="006E23DE" w:rsidP="00797C71">
            <w:pPr>
              <w:pStyle w:val="Tablebodytextnospaceafter"/>
              <w:jc w:val="right"/>
              <w:rPr>
                <w:u w:val="single"/>
              </w:rPr>
            </w:pPr>
            <w:r>
              <w:rPr>
                <w:u w:val="single"/>
              </w:rPr>
              <w:t>1,479</w:t>
            </w:r>
          </w:p>
        </w:tc>
        <w:tc>
          <w:tcPr>
            <w:tcW w:w="660" w:type="pct"/>
            <w:tcBorders>
              <w:top w:val="single" w:sz="4" w:space="0" w:color="FFFFFF" w:themeColor="background1"/>
              <w:bottom w:val="single" w:sz="4" w:space="0" w:color="FFFFFF" w:themeColor="background1"/>
            </w:tcBorders>
            <w:shd w:val="clear" w:color="auto" w:fill="BFBFBF"/>
          </w:tcPr>
          <w:p w14:paraId="4B97EBDB" w14:textId="77777777" w:rsidR="00797C71" w:rsidRPr="00016409" w:rsidRDefault="00122FB2" w:rsidP="00797C71">
            <w:pPr>
              <w:pStyle w:val="Tablebodytextnospaceafter"/>
              <w:jc w:val="right"/>
              <w:rPr>
                <w:highlight w:val="yellow"/>
                <w:u w:val="single"/>
              </w:rPr>
            </w:pPr>
            <w:r w:rsidRPr="00122FB2">
              <w:rPr>
                <w:u w:val="single"/>
              </w:rPr>
              <w:t>1,479</w:t>
            </w:r>
          </w:p>
        </w:tc>
        <w:tc>
          <w:tcPr>
            <w:tcW w:w="675" w:type="pct"/>
            <w:tcBorders>
              <w:top w:val="single" w:sz="4" w:space="0" w:color="FFFFFF" w:themeColor="background1"/>
              <w:bottom w:val="single" w:sz="4" w:space="0" w:color="FFFFFF" w:themeColor="background1"/>
            </w:tcBorders>
            <w:shd w:val="clear" w:color="auto" w:fill="BFBFBF"/>
          </w:tcPr>
          <w:p w14:paraId="1E401A0F" w14:textId="77777777" w:rsidR="00797C71" w:rsidRPr="00E00207" w:rsidRDefault="006E23DE" w:rsidP="00797C71">
            <w:pPr>
              <w:pStyle w:val="Tablebodytextnospaceafter"/>
              <w:jc w:val="right"/>
              <w:rPr>
                <w:u w:val="single"/>
              </w:rPr>
            </w:pPr>
            <w:r>
              <w:rPr>
                <w:u w:val="single"/>
              </w:rPr>
              <w:t>2,390</w:t>
            </w:r>
          </w:p>
        </w:tc>
      </w:tr>
      <w:tr w:rsidR="00797C71" w14:paraId="264933EA" w14:textId="77777777" w:rsidTr="00703978">
        <w:trPr>
          <w:cnfStyle w:val="000000100000" w:firstRow="0" w:lastRow="0" w:firstColumn="0" w:lastColumn="0" w:oddVBand="0" w:evenVBand="0" w:oddHBand="1" w:evenHBand="0" w:firstRowFirstColumn="0" w:firstRowLastColumn="0" w:lastRowFirstColumn="0" w:lastRowLastColumn="0"/>
          <w:trHeight w:val="60"/>
        </w:trPr>
        <w:tc>
          <w:tcPr>
            <w:tcW w:w="610" w:type="pct"/>
            <w:tcBorders>
              <w:top w:val="single" w:sz="4" w:space="0" w:color="FFFFFF" w:themeColor="background1"/>
              <w:bottom w:val="single" w:sz="4" w:space="0" w:color="FFFFFF" w:themeColor="background1"/>
            </w:tcBorders>
            <w:shd w:val="clear" w:color="auto" w:fill="BFBFBF"/>
          </w:tcPr>
          <w:p w14:paraId="2560781C" w14:textId="77777777" w:rsidR="00DF1795" w:rsidRPr="00307F0C" w:rsidRDefault="00797C71" w:rsidP="00506E02">
            <w:pPr>
              <w:pStyle w:val="Tablebodytextnospaceafter"/>
              <w:jc w:val="right"/>
              <w:rPr>
                <w:u w:val="single"/>
              </w:rPr>
            </w:pPr>
            <w:r w:rsidRPr="0068675D">
              <w:rPr>
                <w:rStyle w:val="Emphasis"/>
                <w:u w:val="single"/>
              </w:rPr>
              <w:t>6,763</w:t>
            </w:r>
          </w:p>
        </w:tc>
        <w:tc>
          <w:tcPr>
            <w:tcW w:w="1213" w:type="pct"/>
            <w:tcBorders>
              <w:bottom w:val="single" w:sz="4" w:space="0" w:color="FFFFFF" w:themeColor="background1"/>
            </w:tcBorders>
            <w:shd w:val="clear" w:color="auto" w:fill="BFBFBF"/>
            <w:hideMark/>
          </w:tcPr>
          <w:p w14:paraId="00EC99FA" w14:textId="77777777" w:rsidR="00DF1795" w:rsidRPr="00717943" w:rsidRDefault="00DF1795" w:rsidP="00506E02">
            <w:pPr>
              <w:pStyle w:val="Tablebodytextnospaceafter"/>
              <w:rPr>
                <w:rStyle w:val="Emphasis"/>
              </w:rPr>
            </w:pPr>
            <w:r w:rsidRPr="00717943">
              <w:rPr>
                <w:rStyle w:val="Emphasis"/>
              </w:rPr>
              <w:t>Net assets</w:t>
            </w:r>
          </w:p>
        </w:tc>
        <w:tc>
          <w:tcPr>
            <w:tcW w:w="465" w:type="pct"/>
            <w:tcBorders>
              <w:bottom w:val="single" w:sz="4" w:space="0" w:color="FFFFFF" w:themeColor="background1"/>
            </w:tcBorders>
            <w:shd w:val="clear" w:color="auto" w:fill="BFBFBF"/>
          </w:tcPr>
          <w:p w14:paraId="0FDBAA18" w14:textId="77777777" w:rsidR="00DF1795" w:rsidRPr="00A4209E" w:rsidRDefault="00DF1795" w:rsidP="00506E02">
            <w:pPr>
              <w:pStyle w:val="Tablebodytextnospaceafter"/>
              <w:jc w:val="right"/>
            </w:pPr>
          </w:p>
        </w:tc>
        <w:tc>
          <w:tcPr>
            <w:tcW w:w="749" w:type="pct"/>
            <w:tcBorders>
              <w:top w:val="single" w:sz="4" w:space="0" w:color="FFFFFF" w:themeColor="background1"/>
              <w:bottom w:val="single" w:sz="4" w:space="0" w:color="FFFFFF" w:themeColor="background1"/>
            </w:tcBorders>
            <w:shd w:val="clear" w:color="auto" w:fill="BFBFBF"/>
            <w:hideMark/>
          </w:tcPr>
          <w:p w14:paraId="79191CE1" w14:textId="77777777" w:rsidR="00DF1795" w:rsidRPr="0068675D" w:rsidRDefault="00122FB2" w:rsidP="00506E02">
            <w:pPr>
              <w:pStyle w:val="Tablebodytextnospaceafter"/>
              <w:jc w:val="right"/>
              <w:rPr>
                <w:rStyle w:val="Emphasis"/>
                <w:u w:val="single"/>
              </w:rPr>
            </w:pPr>
            <w:r>
              <w:rPr>
                <w:rStyle w:val="Emphasis"/>
                <w:u w:val="single"/>
              </w:rPr>
              <w:t>8,645</w:t>
            </w:r>
          </w:p>
        </w:tc>
        <w:tc>
          <w:tcPr>
            <w:tcW w:w="628" w:type="pct"/>
            <w:tcBorders>
              <w:top w:val="single" w:sz="4" w:space="0" w:color="FFFFFF" w:themeColor="background1"/>
              <w:bottom w:val="single" w:sz="4" w:space="0" w:color="FFFFFF" w:themeColor="background1"/>
            </w:tcBorders>
            <w:shd w:val="clear" w:color="auto" w:fill="BFBFBF"/>
          </w:tcPr>
          <w:p w14:paraId="5375D7FD" w14:textId="77777777" w:rsidR="00DF1795" w:rsidRPr="00E00207" w:rsidRDefault="00122FB2" w:rsidP="00506E02">
            <w:pPr>
              <w:pStyle w:val="Tablebodytextnospaceafter"/>
              <w:jc w:val="right"/>
              <w:rPr>
                <w:u w:val="single"/>
              </w:rPr>
            </w:pPr>
            <w:r>
              <w:rPr>
                <w:u w:val="single"/>
              </w:rPr>
              <w:t>8,645</w:t>
            </w:r>
          </w:p>
        </w:tc>
        <w:tc>
          <w:tcPr>
            <w:tcW w:w="660" w:type="pct"/>
            <w:tcBorders>
              <w:top w:val="single" w:sz="4" w:space="0" w:color="FFFFFF" w:themeColor="background1"/>
              <w:bottom w:val="single" w:sz="4" w:space="0" w:color="FFFFFF" w:themeColor="background1"/>
            </w:tcBorders>
            <w:shd w:val="clear" w:color="auto" w:fill="BFBFBF"/>
          </w:tcPr>
          <w:p w14:paraId="6AEBEAE3" w14:textId="77777777" w:rsidR="00DF1795" w:rsidRPr="00016409" w:rsidRDefault="00122FB2" w:rsidP="00506E02">
            <w:pPr>
              <w:pStyle w:val="Tablebodytextnospaceafter"/>
              <w:jc w:val="right"/>
              <w:rPr>
                <w:highlight w:val="yellow"/>
                <w:u w:val="single"/>
              </w:rPr>
            </w:pPr>
            <w:r w:rsidRPr="00122FB2">
              <w:rPr>
                <w:u w:val="single"/>
              </w:rPr>
              <w:t>8,645</w:t>
            </w:r>
          </w:p>
        </w:tc>
        <w:tc>
          <w:tcPr>
            <w:tcW w:w="675" w:type="pct"/>
            <w:tcBorders>
              <w:top w:val="single" w:sz="4" w:space="0" w:color="FFFFFF" w:themeColor="background1"/>
              <w:bottom w:val="single" w:sz="4" w:space="0" w:color="FFFFFF" w:themeColor="background1"/>
            </w:tcBorders>
            <w:shd w:val="clear" w:color="auto" w:fill="BFBFBF"/>
          </w:tcPr>
          <w:p w14:paraId="779EE878" w14:textId="77777777" w:rsidR="00DF1795" w:rsidRPr="00E00207" w:rsidRDefault="00122FB2" w:rsidP="00506E02">
            <w:pPr>
              <w:pStyle w:val="Tablebodytextnospaceafter"/>
              <w:jc w:val="right"/>
              <w:rPr>
                <w:u w:val="single"/>
              </w:rPr>
            </w:pPr>
            <w:r>
              <w:rPr>
                <w:u w:val="single"/>
              </w:rPr>
              <w:t>9,901</w:t>
            </w:r>
          </w:p>
        </w:tc>
      </w:tr>
      <w:tr w:rsidR="00703978" w14:paraId="76CAED7C"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tcW w:w="610" w:type="pct"/>
            <w:tcBorders>
              <w:top w:val="single" w:sz="4" w:space="0" w:color="FFFFFF" w:themeColor="background1"/>
            </w:tcBorders>
          </w:tcPr>
          <w:p w14:paraId="61595646" w14:textId="77777777" w:rsidR="00703978" w:rsidRPr="00A4209E" w:rsidRDefault="00703978" w:rsidP="00506E02">
            <w:pPr>
              <w:pStyle w:val="Tablebodytextnospaceafter"/>
              <w:jc w:val="right"/>
            </w:pPr>
          </w:p>
        </w:tc>
        <w:tc>
          <w:tcPr>
            <w:tcW w:w="1213" w:type="pct"/>
            <w:tcBorders>
              <w:top w:val="single" w:sz="4" w:space="0" w:color="FFFFFF" w:themeColor="background1"/>
            </w:tcBorders>
            <w:hideMark/>
          </w:tcPr>
          <w:p w14:paraId="10B8CA37" w14:textId="77777777" w:rsidR="00703978" w:rsidRPr="00A4209E" w:rsidRDefault="00703978" w:rsidP="00506E02">
            <w:pPr>
              <w:pStyle w:val="Tablebodytextnospaceafter"/>
            </w:pPr>
            <w:r w:rsidRPr="00717943">
              <w:rPr>
                <w:rStyle w:val="Emphasis"/>
              </w:rPr>
              <w:t xml:space="preserve">Equity </w:t>
            </w:r>
            <w:r>
              <w:rPr>
                <w:rStyle w:val="Emphasis"/>
              </w:rPr>
              <w:t xml:space="preserve"> </w:t>
            </w:r>
          </w:p>
        </w:tc>
        <w:tc>
          <w:tcPr>
            <w:tcW w:w="465" w:type="pct"/>
            <w:tcBorders>
              <w:top w:val="single" w:sz="4" w:space="0" w:color="FFFFFF" w:themeColor="background1"/>
            </w:tcBorders>
          </w:tcPr>
          <w:p w14:paraId="1C326B10" w14:textId="77777777" w:rsidR="00703978" w:rsidRPr="00A4209E" w:rsidRDefault="00703978" w:rsidP="00506E02">
            <w:pPr>
              <w:pStyle w:val="Tablebodytextnospaceafter"/>
            </w:pPr>
          </w:p>
        </w:tc>
        <w:tc>
          <w:tcPr>
            <w:tcW w:w="749" w:type="pct"/>
            <w:tcBorders>
              <w:top w:val="single" w:sz="4" w:space="0" w:color="FFFFFF" w:themeColor="background1"/>
            </w:tcBorders>
          </w:tcPr>
          <w:p w14:paraId="5541F870" w14:textId="77777777" w:rsidR="00703978" w:rsidRPr="00A4209E" w:rsidRDefault="00703978" w:rsidP="00506E02">
            <w:pPr>
              <w:pStyle w:val="Tablebodytextnospaceafter"/>
            </w:pPr>
          </w:p>
        </w:tc>
        <w:tc>
          <w:tcPr>
            <w:tcW w:w="628" w:type="pct"/>
            <w:tcBorders>
              <w:top w:val="single" w:sz="4" w:space="0" w:color="FFFFFF" w:themeColor="background1"/>
            </w:tcBorders>
          </w:tcPr>
          <w:p w14:paraId="5EE4C04B" w14:textId="77777777" w:rsidR="00703978" w:rsidRPr="00A4209E" w:rsidRDefault="00703978" w:rsidP="00506E02">
            <w:pPr>
              <w:pStyle w:val="Tablebodytextnospaceafter"/>
            </w:pPr>
          </w:p>
        </w:tc>
        <w:tc>
          <w:tcPr>
            <w:tcW w:w="660" w:type="pct"/>
            <w:tcBorders>
              <w:top w:val="single" w:sz="4" w:space="0" w:color="FFFFFF" w:themeColor="background1"/>
            </w:tcBorders>
          </w:tcPr>
          <w:p w14:paraId="08B1F4C3" w14:textId="77777777" w:rsidR="00703978" w:rsidRPr="00A4209E" w:rsidRDefault="00703978" w:rsidP="00506E02">
            <w:pPr>
              <w:pStyle w:val="Tablebodytextnospaceafter"/>
            </w:pPr>
          </w:p>
        </w:tc>
        <w:tc>
          <w:tcPr>
            <w:tcW w:w="675" w:type="pct"/>
            <w:tcBorders>
              <w:top w:val="single" w:sz="4" w:space="0" w:color="FFFFFF" w:themeColor="background1"/>
            </w:tcBorders>
          </w:tcPr>
          <w:p w14:paraId="3B4F9319" w14:textId="5A0519BA" w:rsidR="00703978" w:rsidRPr="00A4209E" w:rsidRDefault="00703978" w:rsidP="00506E02">
            <w:pPr>
              <w:pStyle w:val="Tablebodytextnospaceafter"/>
            </w:pPr>
          </w:p>
        </w:tc>
      </w:tr>
      <w:tr w:rsidR="00797C71" w14:paraId="0F6C05BC" w14:textId="77777777" w:rsidTr="00703978">
        <w:trPr>
          <w:cnfStyle w:val="000000100000" w:firstRow="0" w:lastRow="0" w:firstColumn="0" w:lastColumn="0" w:oddVBand="0" w:evenVBand="0" w:oddHBand="1" w:evenHBand="0" w:firstRowFirstColumn="0" w:firstRowLastColumn="0" w:lastRowFirstColumn="0" w:lastRowLastColumn="0"/>
          <w:trHeight w:val="295"/>
        </w:trPr>
        <w:tc>
          <w:tcPr>
            <w:tcW w:w="610" w:type="pct"/>
            <w:tcBorders>
              <w:bottom w:val="single" w:sz="4" w:space="0" w:color="FFFFFF" w:themeColor="background1"/>
              <w:right w:val="single" w:sz="4" w:space="0" w:color="FFFFFF" w:themeColor="background1"/>
            </w:tcBorders>
          </w:tcPr>
          <w:p w14:paraId="6205B238" w14:textId="77777777" w:rsidR="00797C71" w:rsidRPr="00797C71" w:rsidRDefault="00797C71" w:rsidP="00797C71">
            <w:pPr>
              <w:pStyle w:val="Tablebodytextnospaceafter"/>
              <w:jc w:val="right"/>
              <w:rPr>
                <w:u w:val="single"/>
              </w:rPr>
            </w:pPr>
            <w:r w:rsidRPr="00797C71">
              <w:rPr>
                <w:u w:val="single"/>
              </w:rPr>
              <w:t>6,763</w:t>
            </w:r>
          </w:p>
        </w:tc>
        <w:tc>
          <w:tcPr>
            <w:tcW w:w="12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F92F812" w14:textId="77777777" w:rsidR="00797C71" w:rsidRPr="00A4209E" w:rsidRDefault="00797C71" w:rsidP="00797C71">
            <w:pPr>
              <w:pStyle w:val="Tablebodytextnospaceafter"/>
            </w:pPr>
            <w:r w:rsidRPr="00A4209E">
              <w:t>General funds</w:t>
            </w:r>
          </w:p>
        </w:tc>
        <w:tc>
          <w:tcPr>
            <w:tcW w:w="4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4438955" w14:textId="77777777" w:rsidR="00797C71" w:rsidRPr="00A4209E" w:rsidRDefault="009F2096" w:rsidP="00797C71">
            <w:pPr>
              <w:pStyle w:val="Tablebodytextnospaceafter"/>
              <w:jc w:val="right"/>
            </w:pPr>
            <w:r>
              <w:t>13</w:t>
            </w:r>
          </w:p>
        </w:tc>
        <w:tc>
          <w:tcPr>
            <w:tcW w:w="749" w:type="pct"/>
            <w:tcBorders>
              <w:top w:val="single" w:sz="4" w:space="0" w:color="FFFFFF" w:themeColor="background1"/>
              <w:left w:val="single" w:sz="4" w:space="0" w:color="FFFFFF" w:themeColor="background1"/>
              <w:bottom w:val="single" w:sz="4" w:space="0" w:color="FFFFFF" w:themeColor="background1"/>
            </w:tcBorders>
          </w:tcPr>
          <w:p w14:paraId="7DF83D98" w14:textId="77777777" w:rsidR="00797C71" w:rsidRPr="00A01F01" w:rsidRDefault="00122FB2" w:rsidP="00797C71">
            <w:pPr>
              <w:pStyle w:val="Tablebodytextnospaceafter"/>
              <w:jc w:val="right"/>
              <w:rPr>
                <w:rStyle w:val="Emphasis"/>
                <w:u w:val="single"/>
              </w:rPr>
            </w:pPr>
            <w:r>
              <w:rPr>
                <w:rStyle w:val="Emphasis"/>
                <w:u w:val="single"/>
              </w:rPr>
              <w:t>8,645</w:t>
            </w:r>
          </w:p>
        </w:tc>
        <w:tc>
          <w:tcPr>
            <w:tcW w:w="628" w:type="pct"/>
            <w:tcBorders>
              <w:left w:val="nil"/>
              <w:bottom w:val="single" w:sz="4" w:space="0" w:color="FFFFFF" w:themeColor="background1"/>
            </w:tcBorders>
          </w:tcPr>
          <w:p w14:paraId="375FE781" w14:textId="77777777" w:rsidR="00797C71" w:rsidRPr="00E00207" w:rsidRDefault="00122FB2" w:rsidP="00797C71">
            <w:pPr>
              <w:pStyle w:val="Tablebodytextnospaceafter"/>
              <w:jc w:val="right"/>
            </w:pPr>
            <w:r>
              <w:t>8,645</w:t>
            </w:r>
          </w:p>
        </w:tc>
        <w:tc>
          <w:tcPr>
            <w:tcW w:w="660" w:type="pct"/>
            <w:tcBorders>
              <w:bottom w:val="single" w:sz="4" w:space="0" w:color="FFFFFF" w:themeColor="background1"/>
            </w:tcBorders>
          </w:tcPr>
          <w:p w14:paraId="7541204B" w14:textId="77777777" w:rsidR="00797C71" w:rsidRPr="00621B12" w:rsidRDefault="00122FB2" w:rsidP="00797C71">
            <w:pPr>
              <w:pStyle w:val="Tablebodytextnospaceafter"/>
              <w:jc w:val="right"/>
            </w:pPr>
            <w:r>
              <w:t>8,645</w:t>
            </w:r>
          </w:p>
        </w:tc>
        <w:tc>
          <w:tcPr>
            <w:tcW w:w="675" w:type="pct"/>
            <w:tcBorders>
              <w:bottom w:val="single" w:sz="4" w:space="0" w:color="FFFFFF" w:themeColor="background1"/>
            </w:tcBorders>
          </w:tcPr>
          <w:p w14:paraId="5E80D4AE" w14:textId="77777777" w:rsidR="00797C71" w:rsidRPr="00E00207" w:rsidRDefault="00122FB2" w:rsidP="00797C71">
            <w:pPr>
              <w:pStyle w:val="Tablebodytextnospaceafter"/>
              <w:jc w:val="right"/>
            </w:pPr>
            <w:r>
              <w:t>9,901</w:t>
            </w:r>
          </w:p>
        </w:tc>
      </w:tr>
      <w:tr w:rsidR="00797C71" w14:paraId="58FD15CD" w14:textId="77777777" w:rsidTr="00703978">
        <w:trPr>
          <w:cnfStyle w:val="000000010000" w:firstRow="0" w:lastRow="0" w:firstColumn="0" w:lastColumn="0" w:oddVBand="0" w:evenVBand="0" w:oddHBand="0" w:evenHBand="1" w:firstRowFirstColumn="0" w:firstRowLastColumn="0" w:lastRowFirstColumn="0" w:lastRowLastColumn="0"/>
          <w:trHeight w:val="295"/>
        </w:trPr>
        <w:tc>
          <w:tcPr>
            <w:tcW w:w="610" w:type="pct"/>
            <w:tcBorders>
              <w:top w:val="single" w:sz="4" w:space="0" w:color="FFFFFF" w:themeColor="background1"/>
              <w:bottom w:val="single" w:sz="4" w:space="0" w:color="FFFFFF" w:themeColor="background1"/>
              <w:right w:val="single" w:sz="4" w:space="0" w:color="FFFFFF" w:themeColor="background1"/>
            </w:tcBorders>
            <w:shd w:val="clear" w:color="auto" w:fill="BFBFBF"/>
          </w:tcPr>
          <w:p w14:paraId="3E24ADB3" w14:textId="77777777" w:rsidR="00797C71" w:rsidRPr="00A4209E" w:rsidRDefault="00797C71" w:rsidP="00797C71">
            <w:pPr>
              <w:pStyle w:val="Tablebodytextnospaceafter"/>
              <w:jc w:val="right"/>
              <w:rPr>
                <w:u w:val="single"/>
              </w:rPr>
            </w:pPr>
            <w:r>
              <w:rPr>
                <w:rStyle w:val="Emphasis"/>
                <w:u w:val="single"/>
              </w:rPr>
              <w:t>6,763</w:t>
            </w:r>
          </w:p>
        </w:tc>
        <w:tc>
          <w:tcPr>
            <w:tcW w:w="1213" w:type="pct"/>
            <w:tcBorders>
              <w:top w:val="single" w:sz="4" w:space="0" w:color="FFFFFF" w:themeColor="background1"/>
              <w:left w:val="single" w:sz="4" w:space="0" w:color="FFFFFF" w:themeColor="background1"/>
              <w:right w:val="single" w:sz="4" w:space="0" w:color="FFFFFF" w:themeColor="background1"/>
            </w:tcBorders>
            <w:shd w:val="clear" w:color="auto" w:fill="BFBFBF"/>
            <w:hideMark/>
          </w:tcPr>
          <w:p w14:paraId="202892E8" w14:textId="77777777" w:rsidR="00797C71" w:rsidRPr="00A4209E" w:rsidRDefault="00797C71" w:rsidP="00797C71">
            <w:pPr>
              <w:pStyle w:val="Tablebodytextnospaceafter"/>
              <w:rPr>
                <w:i/>
              </w:rPr>
            </w:pPr>
            <w:r w:rsidRPr="00A4209E">
              <w:rPr>
                <w:i/>
              </w:rPr>
              <w:t>Total Equity</w:t>
            </w:r>
          </w:p>
        </w:tc>
        <w:tc>
          <w:tcPr>
            <w:tcW w:w="4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cPr>
          <w:p w14:paraId="4F9890D1" w14:textId="77777777" w:rsidR="00797C71" w:rsidRPr="00A4209E" w:rsidRDefault="00797C71" w:rsidP="00797C71">
            <w:pPr>
              <w:pStyle w:val="Tablebodytextnospaceafter"/>
              <w:jc w:val="right"/>
            </w:pPr>
          </w:p>
        </w:tc>
        <w:tc>
          <w:tcPr>
            <w:tcW w:w="749" w:type="pct"/>
            <w:tcBorders>
              <w:top w:val="single" w:sz="4" w:space="0" w:color="FFFFFF" w:themeColor="background1"/>
              <w:left w:val="single" w:sz="4" w:space="0" w:color="FFFFFF" w:themeColor="background1"/>
              <w:bottom w:val="single" w:sz="4" w:space="0" w:color="FFFFFF" w:themeColor="background1"/>
            </w:tcBorders>
            <w:shd w:val="clear" w:color="auto" w:fill="BFBFBF"/>
          </w:tcPr>
          <w:p w14:paraId="2AF88728" w14:textId="77777777" w:rsidR="00797C71" w:rsidRPr="00A01F01" w:rsidRDefault="00122FB2" w:rsidP="00797C71">
            <w:pPr>
              <w:pStyle w:val="Tablebodytextnospaceafter"/>
              <w:jc w:val="right"/>
              <w:rPr>
                <w:rStyle w:val="Emphasis"/>
                <w:u w:val="single"/>
              </w:rPr>
            </w:pPr>
            <w:r>
              <w:rPr>
                <w:rStyle w:val="Emphasis"/>
                <w:u w:val="single"/>
              </w:rPr>
              <w:t>8,645</w:t>
            </w:r>
          </w:p>
        </w:tc>
        <w:tc>
          <w:tcPr>
            <w:tcW w:w="628" w:type="pct"/>
            <w:tcBorders>
              <w:top w:val="single" w:sz="4" w:space="0" w:color="FFFFFF" w:themeColor="background1"/>
              <w:bottom w:val="single" w:sz="4" w:space="0" w:color="FFFFFF" w:themeColor="background1"/>
            </w:tcBorders>
            <w:shd w:val="clear" w:color="auto" w:fill="BFBFBF"/>
          </w:tcPr>
          <w:p w14:paraId="1B65CC38" w14:textId="77777777" w:rsidR="00797C71" w:rsidRPr="00E00207" w:rsidRDefault="00122FB2" w:rsidP="00797C71">
            <w:pPr>
              <w:pStyle w:val="Tablebodytextnospaceafter"/>
              <w:jc w:val="right"/>
              <w:rPr>
                <w:u w:val="single"/>
              </w:rPr>
            </w:pPr>
            <w:r>
              <w:rPr>
                <w:u w:val="single"/>
              </w:rPr>
              <w:t>8,645</w:t>
            </w:r>
          </w:p>
        </w:tc>
        <w:tc>
          <w:tcPr>
            <w:tcW w:w="660" w:type="pct"/>
            <w:tcBorders>
              <w:top w:val="single" w:sz="4" w:space="0" w:color="FFFFFF" w:themeColor="background1"/>
              <w:bottom w:val="single" w:sz="4" w:space="0" w:color="FFFFFF" w:themeColor="background1"/>
            </w:tcBorders>
            <w:shd w:val="clear" w:color="auto" w:fill="BFBFBF"/>
          </w:tcPr>
          <w:p w14:paraId="2B584D26" w14:textId="77777777" w:rsidR="00797C71" w:rsidRPr="00621B12" w:rsidRDefault="00122FB2" w:rsidP="00797C71">
            <w:pPr>
              <w:pStyle w:val="Tablebodytextnospaceafter"/>
              <w:jc w:val="right"/>
              <w:rPr>
                <w:u w:val="single"/>
              </w:rPr>
            </w:pPr>
            <w:r>
              <w:rPr>
                <w:u w:val="single"/>
              </w:rPr>
              <w:t>8,645</w:t>
            </w:r>
          </w:p>
        </w:tc>
        <w:tc>
          <w:tcPr>
            <w:tcW w:w="675" w:type="pct"/>
            <w:tcBorders>
              <w:top w:val="single" w:sz="4" w:space="0" w:color="FFFFFF" w:themeColor="background1"/>
              <w:bottom w:val="single" w:sz="4" w:space="0" w:color="FFFFFF" w:themeColor="background1"/>
            </w:tcBorders>
            <w:shd w:val="clear" w:color="auto" w:fill="BFBFBF"/>
          </w:tcPr>
          <w:p w14:paraId="7594653F" w14:textId="77777777" w:rsidR="00797C71" w:rsidRPr="00E00207" w:rsidRDefault="00122FB2" w:rsidP="00797C71">
            <w:pPr>
              <w:pStyle w:val="Tablebodytextnospaceafter"/>
              <w:jc w:val="right"/>
              <w:rPr>
                <w:u w:val="single"/>
              </w:rPr>
            </w:pPr>
            <w:r>
              <w:rPr>
                <w:u w:val="single"/>
              </w:rPr>
              <w:t>9,901</w:t>
            </w:r>
          </w:p>
        </w:tc>
      </w:tr>
    </w:tbl>
    <w:p w14:paraId="003A3351" w14:textId="77777777" w:rsidR="00DF1795" w:rsidRPr="00315E21" w:rsidRDefault="00DF1795" w:rsidP="00DF1795">
      <w:pPr>
        <w:pStyle w:val="BodyText"/>
        <w:rPr>
          <w:rStyle w:val="Italics"/>
          <w:i w:val="0"/>
          <w:sz w:val="20"/>
          <w:szCs w:val="20"/>
        </w:rPr>
      </w:pPr>
      <w:r w:rsidRPr="00315E21">
        <w:rPr>
          <w:rStyle w:val="Italics"/>
          <w:i w:val="0"/>
          <w:sz w:val="20"/>
          <w:szCs w:val="20"/>
        </w:rPr>
        <w:t>^ This current liability has no liquidity impact.</w:t>
      </w:r>
    </w:p>
    <w:p w14:paraId="53CF55BC" w14:textId="78944DC1" w:rsidR="00DF1795" w:rsidRDefault="00DF1795" w:rsidP="00DF1795">
      <w:pPr>
        <w:pStyle w:val="BodyText"/>
      </w:pPr>
      <w:r w:rsidRPr="007533AA">
        <w:t>Explanations of major variances against the original 201</w:t>
      </w:r>
      <w:r w:rsidR="00797C71">
        <w:t>9</w:t>
      </w:r>
      <w:r w:rsidRPr="007533AA">
        <w:t>/</w:t>
      </w:r>
      <w:r w:rsidR="00797C71">
        <w:t>20</w:t>
      </w:r>
      <w:r w:rsidRPr="007533AA">
        <w:t xml:space="preserve"> budget are provided in </w:t>
      </w:r>
      <w:r w:rsidRPr="00980B5F">
        <w:t xml:space="preserve">Note </w:t>
      </w:r>
      <w:r w:rsidR="00BE5A31" w:rsidRPr="00980B5F">
        <w:t>1</w:t>
      </w:r>
      <w:r w:rsidR="00BE5A31">
        <w:t>7</w:t>
      </w:r>
      <w:r w:rsidRPr="00980B5F">
        <w:t>.</w:t>
      </w:r>
      <w:r w:rsidRPr="007533AA">
        <w:t xml:space="preserve"> </w:t>
      </w:r>
    </w:p>
    <w:p w14:paraId="5418E6B0" w14:textId="77777777" w:rsidR="00DF1795" w:rsidRPr="00BE4BB3" w:rsidRDefault="00DF1795" w:rsidP="00DF1795">
      <w:pPr>
        <w:pStyle w:val="Heading2"/>
      </w:pPr>
      <w:bookmarkStart w:id="131" w:name="_Statement_of_changes_1"/>
      <w:bookmarkStart w:id="132" w:name="_Ref54687263"/>
      <w:bookmarkEnd w:id="131"/>
      <w:r w:rsidRPr="00BE4BB3">
        <w:t>Statement of changes in</w:t>
      </w:r>
      <w:r>
        <w:t xml:space="preserve"> equity </w:t>
      </w:r>
      <w:r w:rsidRPr="00BE4BB3">
        <w:t>for the year ended 30</w:t>
      </w:r>
      <w:r>
        <w:t xml:space="preserve"> </w:t>
      </w:r>
      <w:r w:rsidRPr="00BE4BB3">
        <w:t>June 20</w:t>
      </w:r>
      <w:r w:rsidR="006A03F3">
        <w:t>20</w:t>
      </w:r>
      <w:bookmarkEnd w:id="132"/>
    </w:p>
    <w:tbl>
      <w:tblPr>
        <w:tblStyle w:val="TableGridAnnualReport3"/>
        <w:tblW w:w="9299" w:type="dxa"/>
        <w:jc w:val="center"/>
        <w:tblInd w:w="0" w:type="dxa"/>
        <w:tblLook w:val="04A0" w:firstRow="1" w:lastRow="0" w:firstColumn="1" w:lastColumn="0" w:noHBand="0" w:noVBand="1"/>
        <w:tblCaption w:val="Statement of changes in equity for the year ended 30 June 2017"/>
      </w:tblPr>
      <w:tblGrid>
        <w:gridCol w:w="1132"/>
        <w:gridCol w:w="2381"/>
        <w:gridCol w:w="792"/>
        <w:gridCol w:w="1133"/>
        <w:gridCol w:w="1166"/>
        <w:gridCol w:w="1166"/>
        <w:gridCol w:w="1529"/>
      </w:tblGrid>
      <w:tr w:rsidR="00DF1795" w14:paraId="30A19138" w14:textId="77777777" w:rsidTr="006A03F3">
        <w:trPr>
          <w:cnfStyle w:val="100000000000" w:firstRow="1" w:lastRow="0" w:firstColumn="0" w:lastColumn="0" w:oddVBand="0" w:evenVBand="0" w:oddHBand="0" w:evenHBand="0" w:firstRowFirstColumn="0" w:firstRowLastColumn="0" w:lastRowFirstColumn="0" w:lastRowLastColumn="0"/>
          <w:cantSplit/>
          <w:trHeight w:val="60"/>
          <w:jc w:val="center"/>
        </w:trPr>
        <w:tc>
          <w:tcPr>
            <w:cnfStyle w:val="001000000000" w:firstRow="0" w:lastRow="0" w:firstColumn="1" w:lastColumn="0" w:oddVBand="0" w:evenVBand="0" w:oddHBand="0" w:evenHBand="0" w:firstRowFirstColumn="0" w:firstRowLastColumn="0" w:lastRowFirstColumn="0" w:lastRowLastColumn="0"/>
            <w:tcW w:w="609" w:type="pct"/>
            <w:hideMark/>
          </w:tcPr>
          <w:p w14:paraId="5A56CA8C" w14:textId="77777777" w:rsidR="00DF1795" w:rsidRDefault="00DF1795" w:rsidP="00506E02">
            <w:pPr>
              <w:pStyle w:val="Tableheadingrow1"/>
              <w:jc w:val="right"/>
            </w:pPr>
            <w:r w:rsidRPr="007533AA">
              <w:t>30/06/1</w:t>
            </w:r>
            <w:r w:rsidR="006A03F3">
              <w:t>9</w:t>
            </w:r>
            <w:r w:rsidRPr="007533AA">
              <w:br/>
              <w:t>Actual</w:t>
            </w:r>
            <w:r w:rsidRPr="007533AA">
              <w:br/>
            </w:r>
            <w:r w:rsidRPr="007533AA">
              <w:br/>
            </w:r>
          </w:p>
          <w:p w14:paraId="4EA54A2E" w14:textId="77777777" w:rsidR="00DF1795" w:rsidRPr="007533AA" w:rsidRDefault="00DF1795" w:rsidP="00506E02">
            <w:pPr>
              <w:pStyle w:val="Tableheadingrow1"/>
              <w:jc w:val="right"/>
            </w:pPr>
            <w:r w:rsidRPr="007533AA">
              <w:t>$(000)</w:t>
            </w:r>
          </w:p>
        </w:tc>
        <w:tc>
          <w:tcPr>
            <w:tcW w:w="1280" w:type="pct"/>
          </w:tcPr>
          <w:p w14:paraId="361BA113" w14:textId="77777777" w:rsidR="00DF1795" w:rsidRPr="007533AA"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426" w:type="pct"/>
            <w:hideMark/>
          </w:tcPr>
          <w:p w14:paraId="5CFF31FD" w14:textId="77777777" w:rsidR="00DF1795" w:rsidRPr="007533AA"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533AA">
              <w:t>Notes</w:t>
            </w:r>
          </w:p>
        </w:tc>
        <w:tc>
          <w:tcPr>
            <w:tcW w:w="609" w:type="pct"/>
            <w:hideMark/>
          </w:tcPr>
          <w:p w14:paraId="452D99D1" w14:textId="77777777"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533AA">
              <w:t>30/06/</w:t>
            </w:r>
            <w:r w:rsidR="006A03F3">
              <w:t>20</w:t>
            </w:r>
            <w:r w:rsidRPr="007533AA">
              <w:br/>
              <w:t>Actual</w:t>
            </w:r>
            <w:r w:rsidRPr="007533AA">
              <w:br/>
            </w:r>
            <w:r w:rsidRPr="007533AA">
              <w:br/>
            </w:r>
          </w:p>
          <w:p w14:paraId="0172B7C7" w14:textId="77777777" w:rsidR="00DF1795" w:rsidRPr="007533AA"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533AA">
              <w:t>$(000)</w:t>
            </w:r>
          </w:p>
        </w:tc>
        <w:tc>
          <w:tcPr>
            <w:tcW w:w="627" w:type="pct"/>
            <w:hideMark/>
          </w:tcPr>
          <w:p w14:paraId="29010065" w14:textId="77777777"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533AA">
              <w:t>30/06/</w:t>
            </w:r>
            <w:r w:rsidR="006A03F3">
              <w:t>20</w:t>
            </w:r>
            <w:r w:rsidRPr="007533AA">
              <w:br/>
              <w:t>Main</w:t>
            </w:r>
            <w:r w:rsidRPr="007533AA">
              <w:br/>
            </w:r>
            <w:r>
              <w:t>e</w:t>
            </w:r>
            <w:r w:rsidRPr="007533AA">
              <w:t>stimates</w:t>
            </w:r>
            <w:r w:rsidRPr="007533AA">
              <w:br/>
            </w:r>
          </w:p>
          <w:p w14:paraId="2678F7E3" w14:textId="77777777" w:rsidR="00DF1795" w:rsidRPr="007533AA"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533AA">
              <w:t>$(000)</w:t>
            </w:r>
          </w:p>
        </w:tc>
        <w:tc>
          <w:tcPr>
            <w:tcW w:w="627" w:type="pct"/>
            <w:tcBorders>
              <w:bottom w:val="single" w:sz="4" w:space="0" w:color="FFFFFF" w:themeColor="background1"/>
            </w:tcBorders>
            <w:hideMark/>
          </w:tcPr>
          <w:p w14:paraId="09CA929A" w14:textId="77777777"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533AA">
              <w:t>30/06/</w:t>
            </w:r>
            <w:r w:rsidR="006A03F3">
              <w:t>20</w:t>
            </w:r>
            <w:r w:rsidRPr="007533AA">
              <w:br/>
              <w:t xml:space="preserve">Supp. </w:t>
            </w:r>
            <w:r>
              <w:t>e</w:t>
            </w:r>
            <w:r w:rsidRPr="007533AA">
              <w:t>stimates</w:t>
            </w:r>
            <w:r w:rsidRPr="007533AA">
              <w:br/>
            </w:r>
          </w:p>
          <w:p w14:paraId="3B66D295" w14:textId="77777777" w:rsidR="00DF1795" w:rsidRPr="007533AA"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533AA">
              <w:t>$(000)</w:t>
            </w:r>
          </w:p>
        </w:tc>
        <w:tc>
          <w:tcPr>
            <w:tcW w:w="822" w:type="pct"/>
            <w:tcBorders>
              <w:bottom w:val="single" w:sz="4" w:space="0" w:color="FFFFFF" w:themeColor="background1"/>
            </w:tcBorders>
          </w:tcPr>
          <w:p w14:paraId="72A97BE6" w14:textId="77777777" w:rsidR="00DF1795" w:rsidRPr="007533AA"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30/06/2</w:t>
            </w:r>
            <w:r w:rsidR="006A03F3">
              <w:t>1</w:t>
            </w:r>
          </w:p>
          <w:p w14:paraId="6B031FF0" w14:textId="77777777" w:rsidR="00DF1795" w:rsidRPr="007533AA"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533AA">
              <w:t xml:space="preserve">Unaudited </w:t>
            </w:r>
            <w:r>
              <w:t>f</w:t>
            </w:r>
            <w:r w:rsidRPr="007533AA">
              <w:t>orecast</w:t>
            </w:r>
            <w:r>
              <w:t xml:space="preserve"> </w:t>
            </w:r>
            <w:r w:rsidRPr="007533AA">
              <w:t xml:space="preserve">  IPSAS</w:t>
            </w:r>
            <w:r>
              <w:t>*</w:t>
            </w:r>
          </w:p>
          <w:p w14:paraId="71ED1DEA" w14:textId="77777777" w:rsidR="00DF1795" w:rsidRPr="007533AA"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533AA">
              <w:t>$(000)</w:t>
            </w:r>
          </w:p>
        </w:tc>
      </w:tr>
      <w:tr w:rsidR="006A03F3" w:rsidRPr="00797C71" w14:paraId="641445A4" w14:textId="77777777" w:rsidTr="006A03F3">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609" w:type="pct"/>
            <w:tcBorders>
              <w:top w:val="single" w:sz="8" w:space="0" w:color="FFFFFF" w:themeColor="background1"/>
              <w:bottom w:val="single" w:sz="4" w:space="0" w:color="FFFFFF" w:themeColor="background1"/>
            </w:tcBorders>
            <w:shd w:val="clear" w:color="auto" w:fill="E9E9E9"/>
          </w:tcPr>
          <w:p w14:paraId="414CEAE2" w14:textId="77777777" w:rsidR="006A03F3" w:rsidRPr="00797C71" w:rsidRDefault="006A03F3" w:rsidP="006A03F3">
            <w:pPr>
              <w:pStyle w:val="Tablebodytextnospaceafter"/>
              <w:jc w:val="right"/>
            </w:pPr>
            <w:r w:rsidRPr="00797C71">
              <w:t>4,442</w:t>
            </w:r>
          </w:p>
        </w:tc>
        <w:tc>
          <w:tcPr>
            <w:tcW w:w="1280" w:type="pct"/>
            <w:tcBorders>
              <w:bottom w:val="single" w:sz="4" w:space="0" w:color="FFFFFF" w:themeColor="background1"/>
            </w:tcBorders>
            <w:hideMark/>
          </w:tcPr>
          <w:p w14:paraId="3EDBBC44" w14:textId="77777777" w:rsidR="006A03F3" w:rsidRPr="00797C71" w:rsidRDefault="006A03F3" w:rsidP="006A03F3">
            <w:pPr>
              <w:pStyle w:val="Tablebodytextnospaceafter"/>
              <w:cnfStyle w:val="000000100000" w:firstRow="0" w:lastRow="0" w:firstColumn="0" w:lastColumn="0" w:oddVBand="0" w:evenVBand="0" w:oddHBand="1" w:evenHBand="0" w:firstRowFirstColumn="0" w:firstRowLastColumn="0" w:lastRowFirstColumn="0" w:lastRowLastColumn="0"/>
            </w:pPr>
            <w:r w:rsidRPr="00797C71">
              <w:t>Balance at 1 July</w:t>
            </w:r>
          </w:p>
        </w:tc>
        <w:tc>
          <w:tcPr>
            <w:tcW w:w="426" w:type="pct"/>
            <w:tcBorders>
              <w:bottom w:val="single" w:sz="4" w:space="0" w:color="FFFFFF" w:themeColor="background1"/>
            </w:tcBorders>
          </w:tcPr>
          <w:p w14:paraId="0ED24038" w14:textId="77777777" w:rsidR="006A03F3" w:rsidRPr="00797C71" w:rsidRDefault="006A03F3" w:rsidP="006A03F3">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609" w:type="pct"/>
            <w:tcBorders>
              <w:bottom w:val="single" w:sz="4" w:space="0" w:color="FFFFFF" w:themeColor="background1"/>
            </w:tcBorders>
          </w:tcPr>
          <w:p w14:paraId="32F64AB5" w14:textId="77777777" w:rsidR="006A03F3" w:rsidRPr="00722578" w:rsidRDefault="00722578" w:rsidP="006A03F3">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Pr>
                <w:b/>
              </w:rPr>
              <w:t>6,763</w:t>
            </w:r>
          </w:p>
        </w:tc>
        <w:tc>
          <w:tcPr>
            <w:tcW w:w="627" w:type="pct"/>
            <w:tcBorders>
              <w:bottom w:val="single" w:sz="4" w:space="0" w:color="FFFFFF" w:themeColor="background1"/>
            </w:tcBorders>
          </w:tcPr>
          <w:p w14:paraId="2D9CDB98" w14:textId="77777777" w:rsidR="006A03F3" w:rsidRPr="00797C71" w:rsidRDefault="00722578" w:rsidP="006A03F3">
            <w:pPr>
              <w:pStyle w:val="Tablebodytextnospaceafter"/>
              <w:jc w:val="right"/>
              <w:cnfStyle w:val="000000100000" w:firstRow="0" w:lastRow="0" w:firstColumn="0" w:lastColumn="0" w:oddVBand="0" w:evenVBand="0" w:oddHBand="1" w:evenHBand="0" w:firstRowFirstColumn="0" w:firstRowLastColumn="0" w:lastRowFirstColumn="0" w:lastRowLastColumn="0"/>
            </w:pPr>
            <w:r>
              <w:t>6,766</w:t>
            </w:r>
          </w:p>
        </w:tc>
        <w:tc>
          <w:tcPr>
            <w:tcW w:w="627" w:type="pct"/>
            <w:tcBorders>
              <w:top w:val="single" w:sz="4" w:space="0" w:color="FFFFFF" w:themeColor="background1"/>
              <w:bottom w:val="single" w:sz="4" w:space="0" w:color="FFFFFF" w:themeColor="background1"/>
            </w:tcBorders>
          </w:tcPr>
          <w:p w14:paraId="75A127E3" w14:textId="77777777" w:rsidR="006A03F3" w:rsidRPr="00797C71" w:rsidRDefault="00722578" w:rsidP="006A03F3">
            <w:pPr>
              <w:pStyle w:val="Tablebodytextnospaceafter"/>
              <w:jc w:val="right"/>
              <w:cnfStyle w:val="000000100000" w:firstRow="0" w:lastRow="0" w:firstColumn="0" w:lastColumn="0" w:oddVBand="0" w:evenVBand="0" w:oddHBand="1" w:evenHBand="0" w:firstRowFirstColumn="0" w:firstRowLastColumn="0" w:lastRowFirstColumn="0" w:lastRowLastColumn="0"/>
            </w:pPr>
            <w:r>
              <w:t>6,766</w:t>
            </w:r>
          </w:p>
        </w:tc>
        <w:tc>
          <w:tcPr>
            <w:tcW w:w="822" w:type="pct"/>
            <w:tcBorders>
              <w:top w:val="single" w:sz="4" w:space="0" w:color="FFFFFF" w:themeColor="background1"/>
              <w:bottom w:val="single" w:sz="4" w:space="0" w:color="FFFFFF" w:themeColor="background1"/>
            </w:tcBorders>
          </w:tcPr>
          <w:p w14:paraId="42842F38" w14:textId="77777777" w:rsidR="006A03F3" w:rsidRPr="00797C71" w:rsidRDefault="00722578" w:rsidP="006A03F3">
            <w:pPr>
              <w:pStyle w:val="Tablebodytextnospaceafter"/>
              <w:jc w:val="right"/>
              <w:cnfStyle w:val="000000100000" w:firstRow="0" w:lastRow="0" w:firstColumn="0" w:lastColumn="0" w:oddVBand="0" w:evenVBand="0" w:oddHBand="1" w:evenHBand="0" w:firstRowFirstColumn="0" w:firstRowLastColumn="0" w:lastRowFirstColumn="0" w:lastRowLastColumn="0"/>
            </w:pPr>
            <w:r>
              <w:t>8,645</w:t>
            </w:r>
          </w:p>
        </w:tc>
      </w:tr>
      <w:tr w:rsidR="006A03F3" w:rsidRPr="00797C71" w14:paraId="0E2C8107" w14:textId="77777777" w:rsidTr="006A03F3">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8" w:space="0" w:color="FFFFFF" w:themeColor="background1"/>
            </w:tcBorders>
            <w:shd w:val="clear" w:color="auto" w:fill="E9E9E9"/>
          </w:tcPr>
          <w:p w14:paraId="78C09DA9" w14:textId="77777777" w:rsidR="006A03F3" w:rsidRPr="00797C71" w:rsidRDefault="006A03F3" w:rsidP="006A03F3">
            <w:pPr>
              <w:pStyle w:val="Tablebodytextnospaceafter"/>
              <w:jc w:val="right"/>
            </w:pPr>
            <w:r w:rsidRPr="00797C71">
              <w:t>923</w:t>
            </w:r>
          </w:p>
        </w:tc>
        <w:tc>
          <w:tcPr>
            <w:tcW w:w="1280" w:type="pct"/>
            <w:tcBorders>
              <w:top w:val="single" w:sz="4" w:space="0" w:color="FFFFFF" w:themeColor="background1"/>
            </w:tcBorders>
            <w:hideMark/>
          </w:tcPr>
          <w:p w14:paraId="106D4A9E" w14:textId="77777777" w:rsidR="006A03F3" w:rsidRPr="00797C71" w:rsidRDefault="006A03F3" w:rsidP="006A03F3">
            <w:pPr>
              <w:pStyle w:val="Tablebodytextnospaceafter"/>
              <w:cnfStyle w:val="000000010000" w:firstRow="0" w:lastRow="0" w:firstColumn="0" w:lastColumn="0" w:oddVBand="0" w:evenVBand="0" w:oddHBand="0" w:evenHBand="1" w:firstRowFirstColumn="0" w:firstRowLastColumn="0" w:lastRowFirstColumn="0" w:lastRowLastColumn="0"/>
            </w:pPr>
            <w:r w:rsidRPr="00797C71">
              <w:t>Total comprehensive revenue and expense for the year</w:t>
            </w:r>
          </w:p>
        </w:tc>
        <w:tc>
          <w:tcPr>
            <w:tcW w:w="426" w:type="pct"/>
            <w:tcBorders>
              <w:top w:val="single" w:sz="4" w:space="0" w:color="FFFFFF" w:themeColor="background1"/>
            </w:tcBorders>
          </w:tcPr>
          <w:p w14:paraId="4BD44A5E" w14:textId="77777777" w:rsidR="006A03F3" w:rsidRPr="00797C71" w:rsidRDefault="006A03F3" w:rsidP="006A03F3">
            <w:pPr>
              <w:pStyle w:val="Tablebodytextnospaceafter"/>
              <w:jc w:val="right"/>
              <w:cnfStyle w:val="000000010000" w:firstRow="0" w:lastRow="0" w:firstColumn="0" w:lastColumn="0" w:oddVBand="0" w:evenVBand="0" w:oddHBand="0" w:evenHBand="1" w:firstRowFirstColumn="0" w:firstRowLastColumn="0" w:lastRowFirstColumn="0" w:lastRowLastColumn="0"/>
            </w:pPr>
          </w:p>
        </w:tc>
        <w:tc>
          <w:tcPr>
            <w:tcW w:w="609" w:type="pct"/>
            <w:tcBorders>
              <w:top w:val="single" w:sz="4" w:space="0" w:color="FFFFFF" w:themeColor="background1"/>
            </w:tcBorders>
          </w:tcPr>
          <w:p w14:paraId="2A35D01E" w14:textId="77777777" w:rsidR="006A03F3" w:rsidRPr="00722578" w:rsidRDefault="00722578" w:rsidP="006A03F3">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Pr>
                <w:b/>
              </w:rPr>
              <w:t>1,446</w:t>
            </w:r>
          </w:p>
        </w:tc>
        <w:tc>
          <w:tcPr>
            <w:tcW w:w="627" w:type="pct"/>
            <w:tcBorders>
              <w:top w:val="single" w:sz="4" w:space="0" w:color="FFFFFF" w:themeColor="background1"/>
            </w:tcBorders>
          </w:tcPr>
          <w:p w14:paraId="6D7DCBD0" w14:textId="77777777" w:rsidR="006A03F3" w:rsidRPr="00797C71" w:rsidRDefault="00722578" w:rsidP="006A03F3">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627" w:type="pct"/>
            <w:tcBorders>
              <w:top w:val="single" w:sz="4" w:space="0" w:color="FFFFFF" w:themeColor="background1"/>
            </w:tcBorders>
          </w:tcPr>
          <w:p w14:paraId="0E00DE41" w14:textId="77777777" w:rsidR="006A03F3" w:rsidRPr="00797C71" w:rsidRDefault="00722578" w:rsidP="006A03F3">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822" w:type="pct"/>
            <w:tcBorders>
              <w:top w:val="single" w:sz="4" w:space="0" w:color="FFFFFF" w:themeColor="background1"/>
            </w:tcBorders>
          </w:tcPr>
          <w:p w14:paraId="525B2879" w14:textId="77777777" w:rsidR="006A03F3" w:rsidRPr="00797C71" w:rsidRDefault="00722578" w:rsidP="006A03F3">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r>
      <w:tr w:rsidR="006A03F3" w:rsidRPr="00797C71" w14:paraId="67BC9146" w14:textId="77777777" w:rsidTr="006A03F3">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shd w:val="clear" w:color="auto" w:fill="E9E9E9"/>
          </w:tcPr>
          <w:p w14:paraId="5C5E9F91" w14:textId="77777777" w:rsidR="006A03F3" w:rsidRPr="00797C71" w:rsidRDefault="006A03F3" w:rsidP="006A03F3">
            <w:pPr>
              <w:pStyle w:val="Tablebodytextnospaceafter"/>
              <w:jc w:val="right"/>
            </w:pPr>
          </w:p>
        </w:tc>
        <w:tc>
          <w:tcPr>
            <w:tcW w:w="1280" w:type="pct"/>
            <w:hideMark/>
          </w:tcPr>
          <w:p w14:paraId="351C5618" w14:textId="77777777" w:rsidR="006A03F3" w:rsidRPr="00797C71" w:rsidRDefault="006A03F3" w:rsidP="006A03F3">
            <w:pPr>
              <w:pStyle w:val="Tablebodytextnospaceafter"/>
              <w:cnfStyle w:val="000000100000" w:firstRow="0" w:lastRow="0" w:firstColumn="0" w:lastColumn="0" w:oddVBand="0" w:evenVBand="0" w:oddHBand="1" w:evenHBand="0" w:firstRowFirstColumn="0" w:firstRowLastColumn="0" w:lastRowFirstColumn="0" w:lastRowLastColumn="0"/>
            </w:pPr>
            <w:r w:rsidRPr="00797C71">
              <w:t xml:space="preserve">Owner transactions </w:t>
            </w:r>
          </w:p>
        </w:tc>
        <w:tc>
          <w:tcPr>
            <w:tcW w:w="426" w:type="pct"/>
          </w:tcPr>
          <w:p w14:paraId="1B1F9716" w14:textId="77777777" w:rsidR="006A03F3" w:rsidRPr="00797C71" w:rsidRDefault="006A03F3" w:rsidP="006A03F3">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609" w:type="pct"/>
          </w:tcPr>
          <w:p w14:paraId="25F3DB98" w14:textId="77777777" w:rsidR="006A03F3" w:rsidRPr="00722578" w:rsidRDefault="00722578" w:rsidP="006A03F3">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sidRPr="00722578">
              <w:rPr>
                <w:b/>
              </w:rPr>
              <w:t>-</w:t>
            </w:r>
          </w:p>
        </w:tc>
        <w:tc>
          <w:tcPr>
            <w:tcW w:w="627" w:type="pct"/>
          </w:tcPr>
          <w:p w14:paraId="173C1D54" w14:textId="77777777" w:rsidR="006A03F3" w:rsidRPr="00797C71" w:rsidRDefault="00722578" w:rsidP="006A03F3">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627" w:type="pct"/>
          </w:tcPr>
          <w:p w14:paraId="783DE173" w14:textId="77777777" w:rsidR="006A03F3" w:rsidRPr="00797C71" w:rsidRDefault="00722578" w:rsidP="006A03F3">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822" w:type="pct"/>
          </w:tcPr>
          <w:p w14:paraId="78FEF2FB" w14:textId="77777777" w:rsidR="006A03F3" w:rsidRPr="00797C71" w:rsidRDefault="00722578" w:rsidP="006A03F3">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r>
      <w:tr w:rsidR="006A03F3" w:rsidRPr="00797C71" w14:paraId="65A9985B" w14:textId="77777777" w:rsidTr="006A03F3">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609" w:type="pct"/>
            <w:tcBorders>
              <w:top w:val="single" w:sz="8" w:space="0" w:color="FFFFFF" w:themeColor="background1"/>
              <w:bottom w:val="single" w:sz="4" w:space="0" w:color="FFFFFF" w:themeColor="background1"/>
            </w:tcBorders>
            <w:shd w:val="clear" w:color="auto" w:fill="E9E9E9"/>
          </w:tcPr>
          <w:p w14:paraId="481E21A4" w14:textId="77777777" w:rsidR="006A03F3" w:rsidRPr="00797C71" w:rsidRDefault="006A03F3" w:rsidP="006A03F3">
            <w:pPr>
              <w:pStyle w:val="Tablebodytextnospaceafter"/>
              <w:jc w:val="right"/>
            </w:pPr>
            <w:r w:rsidRPr="00797C71">
              <w:t>2,321</w:t>
            </w:r>
          </w:p>
        </w:tc>
        <w:tc>
          <w:tcPr>
            <w:tcW w:w="1280" w:type="pct"/>
            <w:tcBorders>
              <w:bottom w:val="single" w:sz="4" w:space="0" w:color="FFFFFF" w:themeColor="background1"/>
            </w:tcBorders>
            <w:hideMark/>
          </w:tcPr>
          <w:p w14:paraId="46FD6A0B" w14:textId="77777777" w:rsidR="006A03F3" w:rsidRPr="00797C71" w:rsidRDefault="006A03F3" w:rsidP="006A03F3">
            <w:pPr>
              <w:pStyle w:val="Tablebodytextnospaceafter"/>
              <w:cnfStyle w:val="000000010000" w:firstRow="0" w:lastRow="0" w:firstColumn="0" w:lastColumn="0" w:oddVBand="0" w:evenVBand="0" w:oddHBand="0" w:evenHBand="1" w:firstRowFirstColumn="0" w:firstRowLastColumn="0" w:lastRowFirstColumn="0" w:lastRowLastColumn="0"/>
            </w:pPr>
            <w:r w:rsidRPr="00797C71">
              <w:t>Capital injections</w:t>
            </w:r>
          </w:p>
        </w:tc>
        <w:tc>
          <w:tcPr>
            <w:tcW w:w="426" w:type="pct"/>
            <w:tcBorders>
              <w:bottom w:val="single" w:sz="4" w:space="0" w:color="FFFFFF" w:themeColor="background1"/>
            </w:tcBorders>
          </w:tcPr>
          <w:p w14:paraId="02D9FD32" w14:textId="77777777" w:rsidR="006A03F3" w:rsidRPr="00722578" w:rsidRDefault="006A03F3" w:rsidP="006A03F3">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p>
        </w:tc>
        <w:tc>
          <w:tcPr>
            <w:tcW w:w="609" w:type="pct"/>
            <w:tcBorders>
              <w:bottom w:val="single" w:sz="4" w:space="0" w:color="FFFFFF" w:themeColor="background1"/>
            </w:tcBorders>
          </w:tcPr>
          <w:p w14:paraId="7FD3086E" w14:textId="77777777" w:rsidR="006A03F3" w:rsidRPr="00722578" w:rsidRDefault="00722578" w:rsidP="006A03F3">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sidRPr="00722578">
              <w:rPr>
                <w:b/>
              </w:rPr>
              <w:t>1,882</w:t>
            </w:r>
          </w:p>
        </w:tc>
        <w:tc>
          <w:tcPr>
            <w:tcW w:w="627" w:type="pct"/>
            <w:tcBorders>
              <w:bottom w:val="single" w:sz="4" w:space="0" w:color="FFFFFF" w:themeColor="background1"/>
            </w:tcBorders>
          </w:tcPr>
          <w:p w14:paraId="5DF756AD" w14:textId="77777777" w:rsidR="006A03F3" w:rsidRPr="00797C71" w:rsidRDefault="00722578" w:rsidP="006A03F3">
            <w:pPr>
              <w:pStyle w:val="Tablebodytextnospaceafter"/>
              <w:jc w:val="right"/>
              <w:cnfStyle w:val="000000010000" w:firstRow="0" w:lastRow="0" w:firstColumn="0" w:lastColumn="0" w:oddVBand="0" w:evenVBand="0" w:oddHBand="0" w:evenHBand="1" w:firstRowFirstColumn="0" w:firstRowLastColumn="0" w:lastRowFirstColumn="0" w:lastRowLastColumn="0"/>
            </w:pPr>
            <w:r>
              <w:t>1,879</w:t>
            </w:r>
          </w:p>
        </w:tc>
        <w:tc>
          <w:tcPr>
            <w:tcW w:w="627" w:type="pct"/>
            <w:tcBorders>
              <w:bottom w:val="single" w:sz="4" w:space="0" w:color="FFFFFF" w:themeColor="background1"/>
            </w:tcBorders>
          </w:tcPr>
          <w:p w14:paraId="74C51F35" w14:textId="77777777" w:rsidR="006A03F3" w:rsidRPr="00797C71" w:rsidRDefault="00722578" w:rsidP="006A03F3">
            <w:pPr>
              <w:pStyle w:val="Tablebodytextnospaceafter"/>
              <w:jc w:val="right"/>
              <w:cnfStyle w:val="000000010000" w:firstRow="0" w:lastRow="0" w:firstColumn="0" w:lastColumn="0" w:oddVBand="0" w:evenVBand="0" w:oddHBand="0" w:evenHBand="1" w:firstRowFirstColumn="0" w:firstRowLastColumn="0" w:lastRowFirstColumn="0" w:lastRowLastColumn="0"/>
            </w:pPr>
            <w:r>
              <w:t>1,879</w:t>
            </w:r>
          </w:p>
        </w:tc>
        <w:tc>
          <w:tcPr>
            <w:tcW w:w="822" w:type="pct"/>
            <w:tcBorders>
              <w:bottom w:val="single" w:sz="4" w:space="0" w:color="FFFFFF" w:themeColor="background1"/>
            </w:tcBorders>
          </w:tcPr>
          <w:p w14:paraId="494B37D4" w14:textId="77777777" w:rsidR="006A03F3" w:rsidRPr="00797C71" w:rsidRDefault="00722578" w:rsidP="006A03F3">
            <w:pPr>
              <w:pStyle w:val="Tablebodytextnospaceafter"/>
              <w:jc w:val="right"/>
              <w:cnfStyle w:val="000000010000" w:firstRow="0" w:lastRow="0" w:firstColumn="0" w:lastColumn="0" w:oddVBand="0" w:evenVBand="0" w:oddHBand="0" w:evenHBand="1" w:firstRowFirstColumn="0" w:firstRowLastColumn="0" w:lastRowFirstColumn="0" w:lastRowLastColumn="0"/>
            </w:pPr>
            <w:r>
              <w:t>1,256</w:t>
            </w:r>
          </w:p>
        </w:tc>
      </w:tr>
      <w:tr w:rsidR="006A03F3" w14:paraId="12665B34" w14:textId="77777777" w:rsidTr="006A03F3">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8" w:space="0" w:color="FFFFFF" w:themeColor="background1"/>
            </w:tcBorders>
            <w:shd w:val="clear" w:color="auto" w:fill="E9E9E9"/>
          </w:tcPr>
          <w:p w14:paraId="3646BAD1" w14:textId="77777777" w:rsidR="006A03F3" w:rsidRPr="00797C71" w:rsidRDefault="006A03F3" w:rsidP="006A03F3">
            <w:pPr>
              <w:pStyle w:val="Tablebodytextnospaceafter"/>
              <w:jc w:val="right"/>
            </w:pPr>
            <w:r w:rsidRPr="00797C71">
              <w:t>(923)</w:t>
            </w:r>
          </w:p>
        </w:tc>
        <w:tc>
          <w:tcPr>
            <w:tcW w:w="1280" w:type="pct"/>
            <w:tcBorders>
              <w:top w:val="single" w:sz="4" w:space="0" w:color="FFFFFF" w:themeColor="background1"/>
            </w:tcBorders>
            <w:hideMark/>
          </w:tcPr>
          <w:p w14:paraId="5279C302" w14:textId="77777777" w:rsidR="006A03F3" w:rsidRPr="007533AA" w:rsidRDefault="006A03F3" w:rsidP="006A03F3">
            <w:pPr>
              <w:pStyle w:val="Tablebodytextnospaceafter"/>
              <w:cnfStyle w:val="000000100000" w:firstRow="0" w:lastRow="0" w:firstColumn="0" w:lastColumn="0" w:oddVBand="0" w:evenVBand="0" w:oddHBand="1" w:evenHBand="0" w:firstRowFirstColumn="0" w:firstRowLastColumn="0" w:lastRowFirstColumn="0" w:lastRowLastColumn="0"/>
            </w:pPr>
            <w:r w:rsidRPr="007533AA">
              <w:t>Return of operating surplus to the Crown</w:t>
            </w:r>
          </w:p>
        </w:tc>
        <w:tc>
          <w:tcPr>
            <w:tcW w:w="426" w:type="pct"/>
            <w:tcBorders>
              <w:top w:val="single" w:sz="4" w:space="0" w:color="FFFFFF" w:themeColor="background1"/>
            </w:tcBorders>
          </w:tcPr>
          <w:p w14:paraId="243B10D3" w14:textId="77777777" w:rsidR="006A03F3" w:rsidRPr="007533AA" w:rsidRDefault="006A03F3" w:rsidP="006A03F3">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609" w:type="pct"/>
            <w:tcBorders>
              <w:top w:val="single" w:sz="4" w:space="0" w:color="FFFFFF" w:themeColor="background1"/>
            </w:tcBorders>
          </w:tcPr>
          <w:p w14:paraId="0901341D" w14:textId="77777777" w:rsidR="006A03F3" w:rsidRPr="00722578" w:rsidRDefault="00722578" w:rsidP="006A03F3">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722578">
              <w:rPr>
                <w:rStyle w:val="Emphasis"/>
              </w:rPr>
              <w:t>(1,446)</w:t>
            </w:r>
          </w:p>
        </w:tc>
        <w:tc>
          <w:tcPr>
            <w:tcW w:w="627" w:type="pct"/>
            <w:tcBorders>
              <w:top w:val="single" w:sz="4" w:space="0" w:color="FFFFFF" w:themeColor="background1"/>
            </w:tcBorders>
          </w:tcPr>
          <w:p w14:paraId="0E38FEA0" w14:textId="77777777" w:rsidR="006A03F3" w:rsidRPr="00D7082E" w:rsidRDefault="006A03F3" w:rsidP="006A03F3">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627" w:type="pct"/>
            <w:tcBorders>
              <w:top w:val="single" w:sz="4" w:space="0" w:color="FFFFFF" w:themeColor="background1"/>
            </w:tcBorders>
          </w:tcPr>
          <w:p w14:paraId="3B8CFB8B" w14:textId="77777777" w:rsidR="006A03F3" w:rsidRPr="00D7082E" w:rsidRDefault="006A03F3" w:rsidP="006A03F3">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822" w:type="pct"/>
            <w:tcBorders>
              <w:top w:val="single" w:sz="4" w:space="0" w:color="FFFFFF" w:themeColor="background1"/>
            </w:tcBorders>
          </w:tcPr>
          <w:p w14:paraId="2A9ADEE9" w14:textId="77777777" w:rsidR="006A03F3" w:rsidRPr="00D7082E" w:rsidRDefault="006A03F3" w:rsidP="006A03F3">
            <w:pPr>
              <w:pStyle w:val="Tablebodytextnospaceafter"/>
              <w:jc w:val="right"/>
              <w:cnfStyle w:val="000000100000" w:firstRow="0" w:lastRow="0" w:firstColumn="0" w:lastColumn="0" w:oddVBand="0" w:evenVBand="0" w:oddHBand="1" w:evenHBand="0" w:firstRowFirstColumn="0" w:firstRowLastColumn="0" w:lastRowFirstColumn="0" w:lastRowLastColumn="0"/>
            </w:pPr>
          </w:p>
        </w:tc>
      </w:tr>
      <w:tr w:rsidR="006A03F3" w:rsidRPr="00980B5F" w14:paraId="51C7808F" w14:textId="77777777" w:rsidTr="006A03F3">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609" w:type="pct"/>
            <w:tcBorders>
              <w:top w:val="single" w:sz="8" w:space="0" w:color="FFFFFF" w:themeColor="background1"/>
              <w:bottom w:val="single" w:sz="4" w:space="0" w:color="FFFFFF" w:themeColor="background1"/>
            </w:tcBorders>
          </w:tcPr>
          <w:p w14:paraId="7BC58319" w14:textId="77777777" w:rsidR="006A03F3" w:rsidRPr="00980B5F" w:rsidRDefault="006A03F3" w:rsidP="006A03F3">
            <w:pPr>
              <w:pStyle w:val="Tablebodytextnospaceafter"/>
              <w:jc w:val="right"/>
            </w:pPr>
            <w:r w:rsidRPr="00980B5F">
              <w:rPr>
                <w:rStyle w:val="Emphasis"/>
                <w:u w:val="single"/>
              </w:rPr>
              <w:t>6,763</w:t>
            </w:r>
          </w:p>
        </w:tc>
        <w:tc>
          <w:tcPr>
            <w:tcW w:w="1280" w:type="pct"/>
            <w:tcBorders>
              <w:bottom w:val="single" w:sz="4" w:space="0" w:color="FFFFFF" w:themeColor="background1"/>
            </w:tcBorders>
            <w:shd w:val="clear" w:color="auto" w:fill="BFBFBF"/>
            <w:hideMark/>
          </w:tcPr>
          <w:p w14:paraId="63435289" w14:textId="77777777" w:rsidR="006A03F3" w:rsidRPr="00980B5F" w:rsidRDefault="006A03F3" w:rsidP="006A03F3">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r w:rsidRPr="00980B5F">
              <w:rPr>
                <w:rStyle w:val="Emphasis"/>
              </w:rPr>
              <w:t>Balance at 30 June</w:t>
            </w:r>
          </w:p>
        </w:tc>
        <w:tc>
          <w:tcPr>
            <w:tcW w:w="426" w:type="pct"/>
            <w:tcBorders>
              <w:bottom w:val="single" w:sz="4" w:space="0" w:color="FFFFFF" w:themeColor="background1"/>
            </w:tcBorders>
            <w:shd w:val="clear" w:color="auto" w:fill="BFBFBF"/>
          </w:tcPr>
          <w:p w14:paraId="28C246BC" w14:textId="77777777" w:rsidR="006A03F3" w:rsidRPr="00980B5F" w:rsidRDefault="009F2096" w:rsidP="006A03F3">
            <w:pPr>
              <w:pStyle w:val="Tablebodytextnospaceafter"/>
              <w:jc w:val="right"/>
              <w:cnfStyle w:val="000000010000" w:firstRow="0" w:lastRow="0" w:firstColumn="0" w:lastColumn="0" w:oddVBand="0" w:evenVBand="0" w:oddHBand="0" w:evenHBand="1" w:firstRowFirstColumn="0" w:firstRowLastColumn="0" w:lastRowFirstColumn="0" w:lastRowLastColumn="0"/>
            </w:pPr>
            <w:r>
              <w:t>13</w:t>
            </w:r>
          </w:p>
        </w:tc>
        <w:tc>
          <w:tcPr>
            <w:tcW w:w="609" w:type="pct"/>
            <w:tcBorders>
              <w:bottom w:val="single" w:sz="4" w:space="0" w:color="FFFFFF" w:themeColor="background1"/>
            </w:tcBorders>
            <w:shd w:val="clear" w:color="auto" w:fill="BFBFBF"/>
          </w:tcPr>
          <w:p w14:paraId="40206287" w14:textId="77777777" w:rsidR="006A03F3" w:rsidRPr="00722578" w:rsidRDefault="00722578" w:rsidP="006A03F3">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u w:val="single"/>
              </w:rPr>
            </w:pPr>
            <w:r w:rsidRPr="00722578">
              <w:rPr>
                <w:rStyle w:val="Emphasis"/>
                <w:u w:val="single"/>
              </w:rPr>
              <w:t>8,645</w:t>
            </w:r>
          </w:p>
        </w:tc>
        <w:tc>
          <w:tcPr>
            <w:tcW w:w="627" w:type="pct"/>
            <w:tcBorders>
              <w:bottom w:val="single" w:sz="4" w:space="0" w:color="FFFFFF" w:themeColor="background1"/>
            </w:tcBorders>
            <w:shd w:val="clear" w:color="auto" w:fill="BFBFBF"/>
          </w:tcPr>
          <w:p w14:paraId="3570B2C7" w14:textId="77777777" w:rsidR="006A03F3" w:rsidRPr="00980B5F" w:rsidRDefault="00722578" w:rsidP="006A03F3">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8,645</w:t>
            </w:r>
          </w:p>
        </w:tc>
        <w:tc>
          <w:tcPr>
            <w:tcW w:w="627" w:type="pct"/>
            <w:tcBorders>
              <w:bottom w:val="single" w:sz="4" w:space="0" w:color="FFFFFF" w:themeColor="background1"/>
            </w:tcBorders>
            <w:shd w:val="clear" w:color="auto" w:fill="BFBFBF"/>
          </w:tcPr>
          <w:p w14:paraId="3F875F0C" w14:textId="77777777" w:rsidR="006A03F3" w:rsidRPr="00980B5F" w:rsidRDefault="00722578" w:rsidP="006A03F3">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8,645</w:t>
            </w:r>
          </w:p>
        </w:tc>
        <w:tc>
          <w:tcPr>
            <w:tcW w:w="822" w:type="pct"/>
            <w:tcBorders>
              <w:bottom w:val="single" w:sz="4" w:space="0" w:color="FFFFFF" w:themeColor="background1"/>
            </w:tcBorders>
            <w:shd w:val="clear" w:color="auto" w:fill="BFBFBF"/>
          </w:tcPr>
          <w:p w14:paraId="475638A2" w14:textId="77777777" w:rsidR="006A03F3" w:rsidRPr="00980B5F" w:rsidRDefault="00722578" w:rsidP="006A03F3">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9,901</w:t>
            </w:r>
          </w:p>
        </w:tc>
      </w:tr>
    </w:tbl>
    <w:p w14:paraId="6D9BC264" w14:textId="77777777" w:rsidR="00DF1795" w:rsidRPr="00980B5F" w:rsidRDefault="00DF1795" w:rsidP="00DF1795">
      <w:pPr>
        <w:pStyle w:val="Whitespace"/>
      </w:pPr>
    </w:p>
    <w:p w14:paraId="0B7D6B5F" w14:textId="6C77CFA9" w:rsidR="00DF1795" w:rsidRPr="00CA3642" w:rsidRDefault="00DF1795" w:rsidP="00DF1795">
      <w:pPr>
        <w:pStyle w:val="BodyText"/>
      </w:pPr>
      <w:r w:rsidRPr="00980B5F">
        <w:t>Explanations of major variances against the original 201</w:t>
      </w:r>
      <w:r w:rsidR="006A03F3" w:rsidRPr="00980B5F">
        <w:t>9</w:t>
      </w:r>
      <w:r w:rsidRPr="00980B5F">
        <w:t>/</w:t>
      </w:r>
      <w:r w:rsidR="006A03F3" w:rsidRPr="00980B5F">
        <w:t>20</w:t>
      </w:r>
      <w:r w:rsidRPr="00980B5F">
        <w:t xml:space="preserve"> budget are provided in Note </w:t>
      </w:r>
      <w:r w:rsidR="00BE5A31" w:rsidRPr="00980B5F">
        <w:t>1</w:t>
      </w:r>
      <w:r w:rsidR="00BE5A31">
        <w:t>7</w:t>
      </w:r>
      <w:r w:rsidRPr="00E92E0C">
        <w:t>.</w:t>
      </w:r>
    </w:p>
    <w:p w14:paraId="658CC47F" w14:textId="77777777" w:rsidR="00DF1795" w:rsidRPr="00BE4BB3" w:rsidRDefault="00DF1795" w:rsidP="00DF1795">
      <w:pPr>
        <w:pStyle w:val="Heading2"/>
      </w:pPr>
      <w:bookmarkStart w:id="133" w:name="_Statement_of_cash_1"/>
      <w:bookmarkEnd w:id="133"/>
      <w:r>
        <w:br w:type="column"/>
      </w:r>
      <w:bookmarkStart w:id="134" w:name="cashflows"/>
      <w:bookmarkStart w:id="135" w:name="_Ref54687267"/>
      <w:bookmarkEnd w:id="134"/>
      <w:r w:rsidRPr="00BE4BB3">
        <w:t>Statement of cash flows for the year ended 30 June 20</w:t>
      </w:r>
      <w:r w:rsidR="006A03F3">
        <w:t>20</w:t>
      </w:r>
      <w:bookmarkEnd w:id="135"/>
    </w:p>
    <w:tbl>
      <w:tblPr>
        <w:tblStyle w:val="TableGridAnnualReport4"/>
        <w:tblW w:w="9299" w:type="dxa"/>
        <w:tblInd w:w="-20" w:type="dxa"/>
        <w:tblLayout w:type="fixed"/>
        <w:tblLook w:val="04A0" w:firstRow="1" w:lastRow="0" w:firstColumn="1" w:lastColumn="0" w:noHBand="0" w:noVBand="1"/>
        <w:tblCaption w:val="Statement of cash flows for the year ended 30 June 2017"/>
      </w:tblPr>
      <w:tblGrid>
        <w:gridCol w:w="1143"/>
        <w:gridCol w:w="2554"/>
        <w:gridCol w:w="991"/>
        <w:gridCol w:w="1133"/>
        <w:gridCol w:w="1142"/>
        <w:gridCol w:w="1099"/>
        <w:gridCol w:w="1237"/>
      </w:tblGrid>
      <w:tr w:rsidR="00A20273" w14:paraId="3D2ED3A8" w14:textId="77777777" w:rsidTr="00222C7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615" w:type="pct"/>
            <w:hideMark/>
          </w:tcPr>
          <w:p w14:paraId="645B23B0" w14:textId="77777777" w:rsidR="00DF1795" w:rsidRDefault="00DF1795" w:rsidP="00506E02">
            <w:pPr>
              <w:pStyle w:val="Tableheadingrow1"/>
              <w:jc w:val="right"/>
            </w:pPr>
            <w:r w:rsidRPr="00CA3642">
              <w:t>30/06/1</w:t>
            </w:r>
            <w:r w:rsidR="006A03F3">
              <w:t>9</w:t>
            </w:r>
            <w:r w:rsidRPr="00CA3642">
              <w:br/>
              <w:t>Actual</w:t>
            </w:r>
            <w:r w:rsidRPr="00CA3642">
              <w:br/>
            </w:r>
            <w:r w:rsidRPr="00CA3642">
              <w:br/>
            </w:r>
          </w:p>
          <w:p w14:paraId="1774F1D4" w14:textId="77777777" w:rsidR="00DF1795" w:rsidRPr="00CA3642" w:rsidRDefault="00DF1795" w:rsidP="00506E02">
            <w:pPr>
              <w:pStyle w:val="Tableheadingrow1"/>
              <w:jc w:val="right"/>
            </w:pPr>
            <w:r w:rsidRPr="00CA3642">
              <w:t>$(000)</w:t>
            </w:r>
          </w:p>
        </w:tc>
        <w:tc>
          <w:tcPr>
            <w:tcW w:w="1373" w:type="pct"/>
          </w:tcPr>
          <w:p w14:paraId="7C6E1227" w14:textId="77777777" w:rsidR="00DF1795" w:rsidRPr="00CA3642"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533" w:type="pct"/>
            <w:hideMark/>
          </w:tcPr>
          <w:p w14:paraId="25BB4E97" w14:textId="77777777" w:rsidR="00DF1795" w:rsidRPr="00CA3642"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CA3642">
              <w:t>Notes</w:t>
            </w:r>
          </w:p>
        </w:tc>
        <w:tc>
          <w:tcPr>
            <w:tcW w:w="609" w:type="pct"/>
            <w:hideMark/>
          </w:tcPr>
          <w:p w14:paraId="1DC2CA67" w14:textId="77777777"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CA3642">
              <w:t>30/06/</w:t>
            </w:r>
            <w:r w:rsidR="006A03F3">
              <w:t>20</w:t>
            </w:r>
            <w:r w:rsidRPr="00CA3642">
              <w:br/>
              <w:t>Actual</w:t>
            </w:r>
            <w:r w:rsidRPr="00CA3642">
              <w:br/>
            </w:r>
            <w:r w:rsidRPr="00CA3642">
              <w:br/>
            </w:r>
          </w:p>
          <w:p w14:paraId="54DB9933" w14:textId="77777777" w:rsidR="00DF1795" w:rsidRPr="00CA3642"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CA3642">
              <w:t>$(000)</w:t>
            </w:r>
          </w:p>
        </w:tc>
        <w:tc>
          <w:tcPr>
            <w:tcW w:w="614" w:type="pct"/>
            <w:hideMark/>
          </w:tcPr>
          <w:p w14:paraId="079113D2" w14:textId="77777777"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CA3642">
              <w:t>30/06/</w:t>
            </w:r>
            <w:r w:rsidR="006A03F3">
              <w:t>20</w:t>
            </w:r>
            <w:r w:rsidRPr="00CA3642">
              <w:br/>
              <w:t>Main</w:t>
            </w:r>
            <w:r w:rsidRPr="00CA3642">
              <w:br/>
            </w:r>
            <w:r>
              <w:t>e</w:t>
            </w:r>
            <w:r w:rsidRPr="00CA3642">
              <w:t>stimates</w:t>
            </w:r>
            <w:r w:rsidRPr="00CA3642">
              <w:br/>
            </w:r>
          </w:p>
          <w:p w14:paraId="63B20E0B" w14:textId="77777777" w:rsidR="00DF1795" w:rsidRPr="00CA3642"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CA3642">
              <w:t>$(000)</w:t>
            </w:r>
          </w:p>
        </w:tc>
        <w:tc>
          <w:tcPr>
            <w:tcW w:w="591" w:type="pct"/>
            <w:hideMark/>
          </w:tcPr>
          <w:p w14:paraId="40D1A306" w14:textId="77777777"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CA3642">
              <w:t>30/06/</w:t>
            </w:r>
            <w:r w:rsidR="006A03F3">
              <w:t>20</w:t>
            </w:r>
            <w:r w:rsidRPr="00CA3642">
              <w:br/>
              <w:t>Supp.</w:t>
            </w:r>
            <w:r w:rsidRPr="00CA3642">
              <w:br/>
            </w:r>
            <w:r>
              <w:t>e</w:t>
            </w:r>
            <w:r w:rsidRPr="00CA3642">
              <w:t>stimates</w:t>
            </w:r>
            <w:r w:rsidRPr="00CA3642">
              <w:br/>
            </w:r>
          </w:p>
          <w:p w14:paraId="4567EDA7" w14:textId="77777777" w:rsidR="00DF1795" w:rsidRPr="00CA3642"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CA3642">
              <w:t>$(000)</w:t>
            </w:r>
          </w:p>
        </w:tc>
        <w:tc>
          <w:tcPr>
            <w:tcW w:w="665" w:type="pct"/>
          </w:tcPr>
          <w:p w14:paraId="3F14FCA8" w14:textId="77777777" w:rsidR="00DF1795" w:rsidRPr="00CA3642"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w:t>
            </w:r>
            <w:r w:rsidR="006A03F3">
              <w:t>21</w:t>
            </w:r>
          </w:p>
          <w:p w14:paraId="232D7C78" w14:textId="77777777" w:rsidR="00DF1795" w:rsidRPr="00CA3642"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CA3642">
              <w:t xml:space="preserve">Unaudited </w:t>
            </w:r>
            <w:r>
              <w:t>f</w:t>
            </w:r>
            <w:r w:rsidRPr="00CA3642">
              <w:t>orecast</w:t>
            </w:r>
            <w:r>
              <w:t xml:space="preserve"> </w:t>
            </w:r>
            <w:r w:rsidRPr="00CA3642">
              <w:t xml:space="preserve">  IPSAS</w:t>
            </w:r>
            <w:r>
              <w:t>*</w:t>
            </w:r>
          </w:p>
          <w:p w14:paraId="230CCD5B" w14:textId="77777777" w:rsidR="00DF1795" w:rsidRPr="00CA3642"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CA3642">
              <w:t>$(000)</w:t>
            </w:r>
          </w:p>
        </w:tc>
      </w:tr>
      <w:tr w:rsidR="00222C74" w14:paraId="633A21D7" w14:textId="77777777" w:rsidTr="00222C74">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15" w:type="pct"/>
            <w:tcBorders>
              <w:bottom w:val="single" w:sz="8" w:space="0" w:color="FFFFFF" w:themeColor="background1"/>
            </w:tcBorders>
          </w:tcPr>
          <w:p w14:paraId="487AA554" w14:textId="77777777" w:rsidR="006C6056" w:rsidRPr="00CA3642" w:rsidRDefault="006C6056" w:rsidP="00506E02">
            <w:pPr>
              <w:pStyle w:val="Tablebodytextnospaceafter"/>
            </w:pPr>
          </w:p>
        </w:tc>
        <w:tc>
          <w:tcPr>
            <w:tcW w:w="1373" w:type="pct"/>
            <w:shd w:val="clear" w:color="auto" w:fill="BFBFBF"/>
            <w:hideMark/>
          </w:tcPr>
          <w:p w14:paraId="7CF963D4" w14:textId="2FD2CCC7" w:rsidR="006C6056" w:rsidRPr="00B96662" w:rsidRDefault="006C6056"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r w:rsidRPr="00B96662">
              <w:rPr>
                <w:rStyle w:val="Emphasis"/>
              </w:rPr>
              <w:t>Cash flows from operating activities</w:t>
            </w:r>
          </w:p>
        </w:tc>
        <w:tc>
          <w:tcPr>
            <w:tcW w:w="533" w:type="pct"/>
            <w:shd w:val="clear" w:color="auto" w:fill="BFBFBF"/>
          </w:tcPr>
          <w:p w14:paraId="0677B46E" w14:textId="77777777" w:rsidR="006C6056" w:rsidRPr="00B96662" w:rsidRDefault="006C6056"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609" w:type="pct"/>
            <w:shd w:val="clear" w:color="auto" w:fill="BFBFBF"/>
          </w:tcPr>
          <w:p w14:paraId="39518F8B" w14:textId="77777777" w:rsidR="006C6056" w:rsidRPr="00B96662" w:rsidRDefault="006C6056"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614" w:type="pct"/>
            <w:shd w:val="clear" w:color="auto" w:fill="BFBFBF"/>
          </w:tcPr>
          <w:p w14:paraId="08FC8817" w14:textId="77777777" w:rsidR="006C6056" w:rsidRPr="00B96662" w:rsidRDefault="006C6056"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591" w:type="pct"/>
            <w:shd w:val="clear" w:color="auto" w:fill="BFBFBF"/>
          </w:tcPr>
          <w:p w14:paraId="2425646E" w14:textId="1A4AA45C" w:rsidR="006C6056" w:rsidRPr="00B96662" w:rsidRDefault="006C6056"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665" w:type="pct"/>
            <w:shd w:val="clear" w:color="auto" w:fill="BFBFBF"/>
          </w:tcPr>
          <w:p w14:paraId="498A8C6E" w14:textId="77777777" w:rsidR="006C6056" w:rsidRPr="00CA3642" w:rsidRDefault="006C6056" w:rsidP="00506E02">
            <w:pPr>
              <w:pStyle w:val="Tablebodytextnospaceafter"/>
              <w:cnfStyle w:val="000000100000" w:firstRow="0" w:lastRow="0" w:firstColumn="0" w:lastColumn="0" w:oddVBand="0" w:evenVBand="0" w:oddHBand="1" w:evenHBand="0" w:firstRowFirstColumn="0" w:firstRowLastColumn="0" w:lastRowFirstColumn="0" w:lastRowLastColumn="0"/>
            </w:pPr>
          </w:p>
        </w:tc>
      </w:tr>
      <w:tr w:rsidR="00A20273" w:rsidRPr="00797C71" w14:paraId="4DA2DB7D" w14:textId="77777777" w:rsidTr="00222C74">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15" w:type="pct"/>
            <w:tcBorders>
              <w:bottom w:val="single" w:sz="8" w:space="0" w:color="FFFFFF" w:themeColor="background1"/>
            </w:tcBorders>
            <w:shd w:val="clear" w:color="auto" w:fill="E9E9E9"/>
          </w:tcPr>
          <w:p w14:paraId="483112B1" w14:textId="77777777" w:rsidR="006A03F3" w:rsidRPr="00797C71" w:rsidRDefault="006A03F3" w:rsidP="006A03F3">
            <w:pPr>
              <w:pStyle w:val="Tablebodytextnospaceafter"/>
              <w:jc w:val="right"/>
            </w:pPr>
            <w:r w:rsidRPr="00797C71">
              <w:t>18,624</w:t>
            </w:r>
          </w:p>
        </w:tc>
        <w:tc>
          <w:tcPr>
            <w:tcW w:w="1373" w:type="pct"/>
            <w:hideMark/>
          </w:tcPr>
          <w:p w14:paraId="1DA6E51F" w14:textId="77777777" w:rsidR="006A03F3" w:rsidRPr="00797C71" w:rsidRDefault="006A03F3" w:rsidP="006A03F3">
            <w:pPr>
              <w:pStyle w:val="Tablebodytextnospaceafter"/>
              <w:cnfStyle w:val="000000010000" w:firstRow="0" w:lastRow="0" w:firstColumn="0" w:lastColumn="0" w:oddVBand="0" w:evenVBand="0" w:oddHBand="0" w:evenHBand="1" w:firstRowFirstColumn="0" w:firstRowLastColumn="0" w:lastRowFirstColumn="0" w:lastRowLastColumn="0"/>
            </w:pPr>
            <w:r w:rsidRPr="00797C71">
              <w:t>Receipts from Crown</w:t>
            </w:r>
          </w:p>
        </w:tc>
        <w:tc>
          <w:tcPr>
            <w:tcW w:w="533" w:type="pct"/>
          </w:tcPr>
          <w:p w14:paraId="26B0A16B" w14:textId="77777777" w:rsidR="006A03F3" w:rsidRPr="00797C71" w:rsidRDefault="006A03F3" w:rsidP="006A03F3">
            <w:pPr>
              <w:pStyle w:val="Tablebodytextnospaceafter"/>
              <w:cnfStyle w:val="000000010000" w:firstRow="0" w:lastRow="0" w:firstColumn="0" w:lastColumn="0" w:oddVBand="0" w:evenVBand="0" w:oddHBand="0" w:evenHBand="1" w:firstRowFirstColumn="0" w:firstRowLastColumn="0" w:lastRowFirstColumn="0" w:lastRowLastColumn="0"/>
            </w:pPr>
          </w:p>
        </w:tc>
        <w:tc>
          <w:tcPr>
            <w:tcW w:w="609" w:type="pct"/>
          </w:tcPr>
          <w:p w14:paraId="612D4077" w14:textId="77777777" w:rsidR="006A03F3" w:rsidRPr="00CC019F" w:rsidRDefault="00CC019F" w:rsidP="006A03F3">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sidRPr="00CC019F">
              <w:rPr>
                <w:b/>
              </w:rPr>
              <w:t>23,945</w:t>
            </w:r>
          </w:p>
        </w:tc>
        <w:tc>
          <w:tcPr>
            <w:tcW w:w="614" w:type="pct"/>
          </w:tcPr>
          <w:p w14:paraId="200EF0B8" w14:textId="77777777" w:rsidR="006A03F3" w:rsidRPr="00797C71" w:rsidRDefault="00CC019F" w:rsidP="006A03F3">
            <w:pPr>
              <w:pStyle w:val="Tablebodytextnospaceafter"/>
              <w:jc w:val="right"/>
              <w:cnfStyle w:val="000000010000" w:firstRow="0" w:lastRow="0" w:firstColumn="0" w:lastColumn="0" w:oddVBand="0" w:evenVBand="0" w:oddHBand="0" w:evenHBand="1" w:firstRowFirstColumn="0" w:firstRowLastColumn="0" w:lastRowFirstColumn="0" w:lastRowLastColumn="0"/>
            </w:pPr>
            <w:r>
              <w:t>23,880</w:t>
            </w:r>
          </w:p>
        </w:tc>
        <w:tc>
          <w:tcPr>
            <w:tcW w:w="591" w:type="pct"/>
          </w:tcPr>
          <w:p w14:paraId="7835945D" w14:textId="77777777" w:rsidR="006A03F3" w:rsidRPr="00797C71" w:rsidRDefault="00CC019F" w:rsidP="006A03F3">
            <w:pPr>
              <w:pStyle w:val="Tablebodytextnospaceafter"/>
              <w:jc w:val="right"/>
              <w:cnfStyle w:val="000000010000" w:firstRow="0" w:lastRow="0" w:firstColumn="0" w:lastColumn="0" w:oddVBand="0" w:evenVBand="0" w:oddHBand="0" w:evenHBand="1" w:firstRowFirstColumn="0" w:firstRowLastColumn="0" w:lastRowFirstColumn="0" w:lastRowLastColumn="0"/>
            </w:pPr>
            <w:r>
              <w:t>23,945</w:t>
            </w:r>
          </w:p>
        </w:tc>
        <w:tc>
          <w:tcPr>
            <w:tcW w:w="665" w:type="pct"/>
          </w:tcPr>
          <w:p w14:paraId="3A89A59A" w14:textId="77777777" w:rsidR="006A03F3" w:rsidRPr="00797C71" w:rsidRDefault="00CC019F" w:rsidP="006A03F3">
            <w:pPr>
              <w:pStyle w:val="Tablebodytextnospaceafter"/>
              <w:jc w:val="right"/>
              <w:cnfStyle w:val="000000010000" w:firstRow="0" w:lastRow="0" w:firstColumn="0" w:lastColumn="0" w:oddVBand="0" w:evenVBand="0" w:oddHBand="0" w:evenHBand="1" w:firstRowFirstColumn="0" w:firstRowLastColumn="0" w:lastRowFirstColumn="0" w:lastRowLastColumn="0"/>
            </w:pPr>
            <w:r>
              <w:t>33,265</w:t>
            </w:r>
          </w:p>
        </w:tc>
      </w:tr>
      <w:tr w:rsidR="00A20273" w:rsidRPr="00797C71" w14:paraId="7F08A686" w14:textId="77777777" w:rsidTr="00222C74">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15" w:type="pct"/>
            <w:tcBorders>
              <w:bottom w:val="single" w:sz="8" w:space="0" w:color="FFFFFF" w:themeColor="background1"/>
            </w:tcBorders>
            <w:shd w:val="clear" w:color="auto" w:fill="E9E9E9"/>
          </w:tcPr>
          <w:p w14:paraId="7BCB1C61" w14:textId="77777777" w:rsidR="00CC019F" w:rsidRPr="00797C71" w:rsidRDefault="00CC019F" w:rsidP="00CC019F">
            <w:pPr>
              <w:pStyle w:val="Tablebodytextnospaceafter"/>
              <w:jc w:val="right"/>
            </w:pPr>
            <w:r w:rsidRPr="00797C71">
              <w:t>(10,837)</w:t>
            </w:r>
          </w:p>
        </w:tc>
        <w:tc>
          <w:tcPr>
            <w:tcW w:w="1373" w:type="pct"/>
            <w:hideMark/>
          </w:tcPr>
          <w:p w14:paraId="3A0CAA80" w14:textId="77777777" w:rsidR="00CC019F" w:rsidRPr="00797C71" w:rsidRDefault="00CC019F" w:rsidP="00CC019F">
            <w:pPr>
              <w:pStyle w:val="Tablebodytextnospaceafter"/>
              <w:cnfStyle w:val="000000100000" w:firstRow="0" w:lastRow="0" w:firstColumn="0" w:lastColumn="0" w:oddVBand="0" w:evenVBand="0" w:oddHBand="1" w:evenHBand="0" w:firstRowFirstColumn="0" w:firstRowLastColumn="0" w:lastRowFirstColumn="0" w:lastRowLastColumn="0"/>
            </w:pPr>
            <w:r w:rsidRPr="00797C71">
              <w:t>Payments to employees</w:t>
            </w:r>
          </w:p>
        </w:tc>
        <w:tc>
          <w:tcPr>
            <w:tcW w:w="533" w:type="pct"/>
          </w:tcPr>
          <w:p w14:paraId="12F5D4AF" w14:textId="77777777" w:rsidR="00CC019F" w:rsidRPr="00797C71" w:rsidRDefault="00CC019F" w:rsidP="00CC019F">
            <w:pPr>
              <w:pStyle w:val="Tablebodytextnospaceafter"/>
              <w:cnfStyle w:val="000000100000" w:firstRow="0" w:lastRow="0" w:firstColumn="0" w:lastColumn="0" w:oddVBand="0" w:evenVBand="0" w:oddHBand="1" w:evenHBand="0" w:firstRowFirstColumn="0" w:firstRowLastColumn="0" w:lastRowFirstColumn="0" w:lastRowLastColumn="0"/>
            </w:pPr>
          </w:p>
        </w:tc>
        <w:tc>
          <w:tcPr>
            <w:tcW w:w="609" w:type="pct"/>
          </w:tcPr>
          <w:p w14:paraId="7BECEB6D" w14:textId="77777777" w:rsidR="00CC019F" w:rsidRPr="00CC019F"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sidRPr="00CC019F">
              <w:rPr>
                <w:b/>
              </w:rPr>
              <w:t>(14,047)</w:t>
            </w:r>
          </w:p>
        </w:tc>
        <w:tc>
          <w:tcPr>
            <w:tcW w:w="614" w:type="pct"/>
          </w:tcPr>
          <w:p w14:paraId="4B10BB18" w14:textId="77777777" w:rsidR="00CC019F" w:rsidRPr="00797C71"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pPr>
            <w:r>
              <w:t>(13,857)</w:t>
            </w:r>
          </w:p>
        </w:tc>
        <w:tc>
          <w:tcPr>
            <w:tcW w:w="591" w:type="pct"/>
          </w:tcPr>
          <w:p w14:paraId="5BE6635B" w14:textId="77777777" w:rsidR="00CC019F" w:rsidRPr="00797C71"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pPr>
            <w:r>
              <w:t>(14,282)</w:t>
            </w:r>
          </w:p>
        </w:tc>
        <w:tc>
          <w:tcPr>
            <w:tcW w:w="665" w:type="pct"/>
          </w:tcPr>
          <w:p w14:paraId="307E7985" w14:textId="77777777" w:rsidR="00CC019F" w:rsidRPr="00797C71"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pPr>
            <w:r>
              <w:t>(18,351)</w:t>
            </w:r>
          </w:p>
        </w:tc>
      </w:tr>
      <w:tr w:rsidR="00A20273" w:rsidRPr="00797C71" w14:paraId="12E6DBF0" w14:textId="77777777" w:rsidTr="00222C74">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15" w:type="pct"/>
            <w:tcBorders>
              <w:bottom w:val="single" w:sz="8" w:space="0" w:color="FFFFFF" w:themeColor="background1"/>
            </w:tcBorders>
            <w:shd w:val="clear" w:color="auto" w:fill="E9E9E9"/>
          </w:tcPr>
          <w:p w14:paraId="09E96043" w14:textId="77777777" w:rsidR="00CC019F" w:rsidRPr="00797C71" w:rsidRDefault="00CC019F" w:rsidP="00CC019F">
            <w:pPr>
              <w:pStyle w:val="Tablebodytextnospaceafter"/>
              <w:jc w:val="right"/>
            </w:pPr>
            <w:r w:rsidRPr="00797C71">
              <w:t>(5,503)</w:t>
            </w:r>
          </w:p>
        </w:tc>
        <w:tc>
          <w:tcPr>
            <w:tcW w:w="1373" w:type="pct"/>
            <w:hideMark/>
          </w:tcPr>
          <w:p w14:paraId="591EAE4C" w14:textId="77777777" w:rsidR="00CC019F" w:rsidRPr="00797C71" w:rsidRDefault="00CC019F" w:rsidP="00CC019F">
            <w:pPr>
              <w:pStyle w:val="Tablebodytextnospaceafter"/>
              <w:cnfStyle w:val="000000010000" w:firstRow="0" w:lastRow="0" w:firstColumn="0" w:lastColumn="0" w:oddVBand="0" w:evenVBand="0" w:oddHBand="0" w:evenHBand="1" w:firstRowFirstColumn="0" w:firstRowLastColumn="0" w:lastRowFirstColumn="0" w:lastRowLastColumn="0"/>
            </w:pPr>
            <w:r w:rsidRPr="00797C71">
              <w:t>Payments to suppliers</w:t>
            </w:r>
          </w:p>
        </w:tc>
        <w:tc>
          <w:tcPr>
            <w:tcW w:w="533" w:type="pct"/>
          </w:tcPr>
          <w:p w14:paraId="09119026" w14:textId="77777777" w:rsidR="00CC019F" w:rsidRPr="00797C71" w:rsidRDefault="00CC019F" w:rsidP="00CC019F">
            <w:pPr>
              <w:pStyle w:val="Tablebodytextnospaceafter"/>
              <w:cnfStyle w:val="000000010000" w:firstRow="0" w:lastRow="0" w:firstColumn="0" w:lastColumn="0" w:oddVBand="0" w:evenVBand="0" w:oddHBand="0" w:evenHBand="1" w:firstRowFirstColumn="0" w:firstRowLastColumn="0" w:lastRowFirstColumn="0" w:lastRowLastColumn="0"/>
            </w:pPr>
          </w:p>
        </w:tc>
        <w:tc>
          <w:tcPr>
            <w:tcW w:w="609" w:type="pct"/>
          </w:tcPr>
          <w:p w14:paraId="01D3C2EC" w14:textId="77777777" w:rsidR="00CC019F" w:rsidRPr="00CC019F" w:rsidRDefault="00CC019F" w:rsidP="00CC019F">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sidRPr="00CC019F">
              <w:rPr>
                <w:b/>
              </w:rPr>
              <w:t>(7,136)</w:t>
            </w:r>
          </w:p>
        </w:tc>
        <w:tc>
          <w:tcPr>
            <w:tcW w:w="614" w:type="pct"/>
          </w:tcPr>
          <w:p w14:paraId="33E9854B" w14:textId="77777777" w:rsidR="00CC019F" w:rsidRPr="00797C71" w:rsidRDefault="00CC019F" w:rsidP="00CC019F">
            <w:pPr>
              <w:pStyle w:val="Tablebodytextnospaceafter"/>
              <w:jc w:val="right"/>
              <w:cnfStyle w:val="000000010000" w:firstRow="0" w:lastRow="0" w:firstColumn="0" w:lastColumn="0" w:oddVBand="0" w:evenVBand="0" w:oddHBand="0" w:evenHBand="1" w:firstRowFirstColumn="0" w:firstRowLastColumn="0" w:lastRowFirstColumn="0" w:lastRowLastColumn="0"/>
            </w:pPr>
            <w:r>
              <w:t>(8,933)</w:t>
            </w:r>
          </w:p>
        </w:tc>
        <w:tc>
          <w:tcPr>
            <w:tcW w:w="591" w:type="pct"/>
          </w:tcPr>
          <w:p w14:paraId="20AB5283" w14:textId="77777777" w:rsidR="00CC019F" w:rsidRPr="00797C71" w:rsidRDefault="00CC019F" w:rsidP="00CC019F">
            <w:pPr>
              <w:pStyle w:val="Tablebodytextnospaceafter"/>
              <w:jc w:val="right"/>
              <w:cnfStyle w:val="000000010000" w:firstRow="0" w:lastRow="0" w:firstColumn="0" w:lastColumn="0" w:oddVBand="0" w:evenVBand="0" w:oddHBand="0" w:evenHBand="1" w:firstRowFirstColumn="0" w:firstRowLastColumn="0" w:lastRowFirstColumn="0" w:lastRowLastColumn="0"/>
            </w:pPr>
            <w:r>
              <w:t>(9,570)</w:t>
            </w:r>
          </w:p>
        </w:tc>
        <w:tc>
          <w:tcPr>
            <w:tcW w:w="665" w:type="pct"/>
          </w:tcPr>
          <w:p w14:paraId="678921E9" w14:textId="77777777" w:rsidR="00CC019F" w:rsidRPr="00797C71" w:rsidRDefault="00CC019F" w:rsidP="00CC019F">
            <w:pPr>
              <w:pStyle w:val="Tablebodytextnospaceafter"/>
              <w:jc w:val="right"/>
              <w:cnfStyle w:val="000000010000" w:firstRow="0" w:lastRow="0" w:firstColumn="0" w:lastColumn="0" w:oddVBand="0" w:evenVBand="0" w:oddHBand="0" w:evenHBand="1" w:firstRowFirstColumn="0" w:firstRowLastColumn="0" w:lastRowFirstColumn="0" w:lastRowLastColumn="0"/>
            </w:pPr>
            <w:r>
              <w:t>(12,437)</w:t>
            </w:r>
          </w:p>
        </w:tc>
      </w:tr>
      <w:tr w:rsidR="00A20273" w:rsidRPr="00797C71" w14:paraId="649FF20A" w14:textId="77777777" w:rsidTr="00222C74">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15" w:type="pct"/>
            <w:tcBorders>
              <w:bottom w:val="single" w:sz="8" w:space="0" w:color="FFFFFF" w:themeColor="background1"/>
            </w:tcBorders>
            <w:shd w:val="clear" w:color="auto" w:fill="E9E9E9"/>
          </w:tcPr>
          <w:p w14:paraId="3D903611" w14:textId="77777777" w:rsidR="00CC019F" w:rsidRPr="00797C71" w:rsidRDefault="00CC019F" w:rsidP="00CC019F">
            <w:pPr>
              <w:pStyle w:val="Tablebodytextnospaceafter"/>
              <w:jc w:val="right"/>
            </w:pPr>
            <w:r w:rsidRPr="00797C71">
              <w:t>(267)</w:t>
            </w:r>
          </w:p>
        </w:tc>
        <w:tc>
          <w:tcPr>
            <w:tcW w:w="1373" w:type="pct"/>
            <w:hideMark/>
          </w:tcPr>
          <w:p w14:paraId="607706A3" w14:textId="77777777" w:rsidR="00CC019F" w:rsidRPr="00797C71" w:rsidRDefault="00CC019F" w:rsidP="00CC019F">
            <w:pPr>
              <w:pStyle w:val="Tablebodytextnospaceafter"/>
              <w:cnfStyle w:val="000000100000" w:firstRow="0" w:lastRow="0" w:firstColumn="0" w:lastColumn="0" w:oddVBand="0" w:evenVBand="0" w:oddHBand="1" w:evenHBand="0" w:firstRowFirstColumn="0" w:firstRowLastColumn="0" w:lastRowFirstColumn="0" w:lastRowLastColumn="0"/>
            </w:pPr>
            <w:r w:rsidRPr="00797C71">
              <w:t>Payment for capital charge</w:t>
            </w:r>
          </w:p>
        </w:tc>
        <w:tc>
          <w:tcPr>
            <w:tcW w:w="533" w:type="pct"/>
          </w:tcPr>
          <w:p w14:paraId="51467A99" w14:textId="77777777" w:rsidR="00CC019F" w:rsidRPr="00797C71" w:rsidRDefault="00CC019F" w:rsidP="00CC019F">
            <w:pPr>
              <w:pStyle w:val="Tablebodytextnospaceafter"/>
              <w:cnfStyle w:val="000000100000" w:firstRow="0" w:lastRow="0" w:firstColumn="0" w:lastColumn="0" w:oddVBand="0" w:evenVBand="0" w:oddHBand="1" w:evenHBand="0" w:firstRowFirstColumn="0" w:firstRowLastColumn="0" w:lastRowFirstColumn="0" w:lastRowLastColumn="0"/>
            </w:pPr>
          </w:p>
        </w:tc>
        <w:tc>
          <w:tcPr>
            <w:tcW w:w="609" w:type="pct"/>
            <w:tcBorders>
              <w:bottom w:val="single" w:sz="4" w:space="0" w:color="FFFFFF" w:themeColor="background1"/>
            </w:tcBorders>
          </w:tcPr>
          <w:p w14:paraId="17DA2231" w14:textId="77777777" w:rsidR="00CC019F" w:rsidRPr="00797C71"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CC019F">
              <w:rPr>
                <w:b/>
              </w:rPr>
              <w:t>(406)</w:t>
            </w:r>
          </w:p>
        </w:tc>
        <w:tc>
          <w:tcPr>
            <w:tcW w:w="614" w:type="pct"/>
            <w:tcBorders>
              <w:bottom w:val="single" w:sz="4" w:space="0" w:color="FFFFFF" w:themeColor="background1"/>
            </w:tcBorders>
          </w:tcPr>
          <w:p w14:paraId="265E66C7" w14:textId="77777777" w:rsidR="00CC019F" w:rsidRPr="00797C71"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pPr>
            <w:r>
              <w:t>(323)</w:t>
            </w:r>
          </w:p>
        </w:tc>
        <w:tc>
          <w:tcPr>
            <w:tcW w:w="591" w:type="pct"/>
            <w:tcBorders>
              <w:bottom w:val="single" w:sz="4" w:space="0" w:color="FFFFFF" w:themeColor="background1"/>
            </w:tcBorders>
          </w:tcPr>
          <w:p w14:paraId="0E99A3E2" w14:textId="77777777" w:rsidR="00CC019F" w:rsidRPr="00797C71"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pPr>
            <w:r>
              <w:t>(323)</w:t>
            </w:r>
          </w:p>
        </w:tc>
        <w:tc>
          <w:tcPr>
            <w:tcW w:w="665" w:type="pct"/>
            <w:tcBorders>
              <w:bottom w:val="single" w:sz="4" w:space="0" w:color="FFFFFF" w:themeColor="background1"/>
            </w:tcBorders>
          </w:tcPr>
          <w:p w14:paraId="3730C26F" w14:textId="77777777" w:rsidR="00CC019F" w:rsidRPr="00797C71"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pPr>
            <w:r>
              <w:t>(594)</w:t>
            </w:r>
          </w:p>
        </w:tc>
      </w:tr>
      <w:tr w:rsidR="00222C74" w14:paraId="1EB7520B" w14:textId="77777777" w:rsidTr="00222C74">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15" w:type="pct"/>
            <w:tcBorders>
              <w:top w:val="single" w:sz="8" w:space="0" w:color="FFFFFF" w:themeColor="background1"/>
              <w:bottom w:val="single" w:sz="4" w:space="0" w:color="FFFFFF" w:themeColor="background1"/>
            </w:tcBorders>
            <w:shd w:val="clear" w:color="auto" w:fill="E9E9E9"/>
          </w:tcPr>
          <w:p w14:paraId="6715620A" w14:textId="77777777" w:rsidR="00CC019F" w:rsidRPr="00797C71" w:rsidRDefault="00CC019F" w:rsidP="00CC019F">
            <w:pPr>
              <w:pStyle w:val="Tablebodytextnospaceafter"/>
              <w:jc w:val="right"/>
            </w:pPr>
            <w:r w:rsidRPr="00797C71">
              <w:t>(292)</w:t>
            </w:r>
          </w:p>
        </w:tc>
        <w:tc>
          <w:tcPr>
            <w:tcW w:w="1373" w:type="pct"/>
            <w:tcBorders>
              <w:bottom w:val="single" w:sz="4" w:space="0" w:color="FFFFFF" w:themeColor="background1"/>
            </w:tcBorders>
            <w:hideMark/>
          </w:tcPr>
          <w:p w14:paraId="3A5F15DD" w14:textId="77777777" w:rsidR="00CC019F" w:rsidRPr="00CA3642" w:rsidRDefault="00CC019F" w:rsidP="00CC019F">
            <w:pPr>
              <w:pStyle w:val="Tablebodytextnospaceafter"/>
              <w:cnfStyle w:val="000000010000" w:firstRow="0" w:lastRow="0" w:firstColumn="0" w:lastColumn="0" w:oddVBand="0" w:evenVBand="0" w:oddHBand="0" w:evenHBand="1" w:firstRowFirstColumn="0" w:firstRowLastColumn="0" w:lastRowFirstColumn="0" w:lastRowLastColumn="0"/>
            </w:pPr>
            <w:r w:rsidRPr="00CA3642">
              <w:t>Goods and services tax (net)</w:t>
            </w:r>
          </w:p>
        </w:tc>
        <w:tc>
          <w:tcPr>
            <w:tcW w:w="533" w:type="pct"/>
            <w:tcBorders>
              <w:bottom w:val="single" w:sz="4" w:space="0" w:color="FFFFFF" w:themeColor="background1"/>
              <w:right w:val="single" w:sz="4" w:space="0" w:color="FFFFFF" w:themeColor="background1"/>
            </w:tcBorders>
          </w:tcPr>
          <w:p w14:paraId="6CD69F44" w14:textId="77777777" w:rsidR="00CC019F" w:rsidRPr="00CA3642" w:rsidRDefault="00CC019F" w:rsidP="00CC019F">
            <w:pPr>
              <w:pStyle w:val="Tablebodytextnospaceafter"/>
              <w:cnfStyle w:val="000000010000" w:firstRow="0" w:lastRow="0" w:firstColumn="0" w:lastColumn="0" w:oddVBand="0" w:evenVBand="0" w:oddHBand="0" w:evenHBand="1" w:firstRowFirstColumn="0" w:firstRowLastColumn="0" w:lastRowFirstColumn="0" w:lastRowLastColumn="0"/>
            </w:pPr>
          </w:p>
        </w:tc>
        <w:tc>
          <w:tcPr>
            <w:tcW w:w="6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A8E7B2" w14:textId="77777777" w:rsidR="00CC019F" w:rsidRPr="00CA3642" w:rsidRDefault="006337D2" w:rsidP="00CC019F">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(403)</w:t>
            </w:r>
          </w:p>
        </w:tc>
        <w:tc>
          <w:tcPr>
            <w:tcW w:w="6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CD5208" w14:textId="77777777" w:rsidR="00CC019F" w:rsidRPr="005C7BFB" w:rsidRDefault="00CC019F" w:rsidP="00CC019F">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5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D0E9DA" w14:textId="77777777" w:rsidR="00CC019F" w:rsidRPr="00FB5ED7" w:rsidRDefault="00CC019F" w:rsidP="00CC019F">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6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A8399F" w14:textId="77777777" w:rsidR="00CC019F" w:rsidRPr="005C7BFB" w:rsidRDefault="00CC019F" w:rsidP="00CC019F">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r>
      <w:tr w:rsidR="007C5A85" w14:paraId="5FE955F4" w14:textId="77777777" w:rsidTr="00703978">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15" w:type="pct"/>
            <w:tcBorders>
              <w:top w:val="single" w:sz="4" w:space="0" w:color="FFFFFF" w:themeColor="background1"/>
              <w:bottom w:val="single" w:sz="4" w:space="0" w:color="FFFFFF" w:themeColor="background1"/>
              <w:right w:val="single" w:sz="4" w:space="0" w:color="FFFFFF" w:themeColor="background1"/>
            </w:tcBorders>
          </w:tcPr>
          <w:p w14:paraId="79D33C32" w14:textId="77777777" w:rsidR="00CC019F" w:rsidRPr="0040641E" w:rsidRDefault="00CC019F" w:rsidP="00CC019F">
            <w:pPr>
              <w:pStyle w:val="Tablebodytextnospaceafter"/>
              <w:jc w:val="right"/>
              <w:rPr>
                <w:u w:val="single"/>
              </w:rPr>
            </w:pPr>
            <w:r>
              <w:rPr>
                <w:rStyle w:val="Emphasis"/>
                <w:u w:val="single"/>
              </w:rPr>
              <w:t>1,725</w:t>
            </w:r>
          </w:p>
        </w:tc>
        <w:tc>
          <w:tcPr>
            <w:tcW w:w="13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hideMark/>
          </w:tcPr>
          <w:p w14:paraId="37B93FF4" w14:textId="77777777" w:rsidR="00CC019F" w:rsidRPr="00B96662" w:rsidRDefault="00CC019F" w:rsidP="00CC019F">
            <w:pPr>
              <w:pStyle w:val="Tablebodytextnospaceafter"/>
              <w:cnfStyle w:val="000000100000" w:firstRow="0" w:lastRow="0" w:firstColumn="0" w:lastColumn="0" w:oddVBand="0" w:evenVBand="0" w:oddHBand="1" w:evenHBand="0" w:firstRowFirstColumn="0" w:firstRowLastColumn="0" w:lastRowFirstColumn="0" w:lastRowLastColumn="0"/>
              <w:rPr>
                <w:rStyle w:val="Italics"/>
              </w:rPr>
            </w:pPr>
            <w:r w:rsidRPr="00B96662">
              <w:rPr>
                <w:rStyle w:val="Italics"/>
              </w:rPr>
              <w:t xml:space="preserve">Net cash from operating activities </w:t>
            </w:r>
          </w:p>
        </w:tc>
        <w:tc>
          <w:tcPr>
            <w:tcW w:w="5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hideMark/>
          </w:tcPr>
          <w:p w14:paraId="58D73BCC" w14:textId="77777777" w:rsidR="00CC019F" w:rsidRPr="00CA3642" w:rsidRDefault="00CC019F" w:rsidP="00CC019F">
            <w:pPr>
              <w:pStyle w:val="Tablebodytextnospaceafter"/>
              <w:cnfStyle w:val="000000100000" w:firstRow="0" w:lastRow="0" w:firstColumn="0" w:lastColumn="0" w:oddVBand="0" w:evenVBand="0" w:oddHBand="1" w:evenHBand="0" w:firstRowFirstColumn="0" w:firstRowLastColumn="0" w:lastRowFirstColumn="0" w:lastRowLastColumn="0"/>
            </w:pPr>
          </w:p>
        </w:tc>
        <w:tc>
          <w:tcPr>
            <w:tcW w:w="609" w:type="pct"/>
            <w:tcBorders>
              <w:top w:val="single" w:sz="4" w:space="0" w:color="FFFFFF" w:themeColor="background1"/>
              <w:left w:val="single" w:sz="4" w:space="0" w:color="FFFFFF" w:themeColor="background1"/>
              <w:bottom w:val="single" w:sz="4" w:space="0" w:color="FFFFFF" w:themeColor="background1"/>
            </w:tcBorders>
            <w:shd w:val="clear" w:color="auto" w:fill="BFBFBF"/>
          </w:tcPr>
          <w:p w14:paraId="541DD7E0" w14:textId="77777777" w:rsidR="00CC019F" w:rsidRPr="0040641E" w:rsidRDefault="00EE08ED" w:rsidP="00CC019F">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u w:val="single"/>
              </w:rPr>
            </w:pPr>
            <w:r>
              <w:rPr>
                <w:rStyle w:val="Emphasis"/>
                <w:u w:val="single"/>
              </w:rPr>
              <w:t>2,356</w:t>
            </w:r>
          </w:p>
        </w:tc>
        <w:tc>
          <w:tcPr>
            <w:tcW w:w="614" w:type="pct"/>
            <w:tcBorders>
              <w:top w:val="single" w:sz="4" w:space="0" w:color="FFFFFF" w:themeColor="background1"/>
              <w:bottom w:val="single" w:sz="4" w:space="0" w:color="FFFFFF" w:themeColor="background1"/>
            </w:tcBorders>
            <w:shd w:val="clear" w:color="auto" w:fill="BFBFBF"/>
          </w:tcPr>
          <w:p w14:paraId="17EF9341" w14:textId="77777777" w:rsidR="00CC019F" w:rsidRPr="005C7BFB"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Pr>
                <w:u w:val="single"/>
              </w:rPr>
              <w:t>767</w:t>
            </w:r>
          </w:p>
        </w:tc>
        <w:tc>
          <w:tcPr>
            <w:tcW w:w="591" w:type="pct"/>
            <w:tcBorders>
              <w:top w:val="single" w:sz="4" w:space="0" w:color="FFFFFF" w:themeColor="background1"/>
              <w:bottom w:val="single" w:sz="4" w:space="0" w:color="FFFFFF" w:themeColor="background1"/>
            </w:tcBorders>
            <w:shd w:val="clear" w:color="auto" w:fill="BFBFBF"/>
          </w:tcPr>
          <w:p w14:paraId="5CF0E726" w14:textId="77777777" w:rsidR="00CC019F" w:rsidRPr="00FB5ED7"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Pr>
                <w:u w:val="single"/>
              </w:rPr>
              <w:t>(230)</w:t>
            </w:r>
          </w:p>
        </w:tc>
        <w:tc>
          <w:tcPr>
            <w:tcW w:w="665" w:type="pct"/>
            <w:tcBorders>
              <w:top w:val="single" w:sz="4" w:space="0" w:color="FFFFFF" w:themeColor="background1"/>
              <w:bottom w:val="single" w:sz="4" w:space="0" w:color="FFFFFF" w:themeColor="background1"/>
            </w:tcBorders>
            <w:shd w:val="clear" w:color="auto" w:fill="BFBFBF"/>
          </w:tcPr>
          <w:p w14:paraId="20E08209" w14:textId="77777777" w:rsidR="00CC019F" w:rsidRPr="005C7BFB"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Pr>
                <w:u w:val="single"/>
              </w:rPr>
              <w:t>1,883</w:t>
            </w:r>
          </w:p>
        </w:tc>
      </w:tr>
      <w:tr w:rsidR="00222C74" w14:paraId="2A28B18A" w14:textId="77777777" w:rsidTr="00222C74">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15" w:type="pct"/>
            <w:tcBorders>
              <w:top w:val="single" w:sz="4" w:space="0" w:color="FFFFFF" w:themeColor="background1"/>
            </w:tcBorders>
          </w:tcPr>
          <w:p w14:paraId="159364CF" w14:textId="77777777" w:rsidR="006C6056" w:rsidRPr="00CA3642" w:rsidRDefault="006C6056" w:rsidP="00CC019F">
            <w:pPr>
              <w:pStyle w:val="Tablebodytextnospaceafter"/>
              <w:jc w:val="right"/>
            </w:pPr>
          </w:p>
        </w:tc>
        <w:tc>
          <w:tcPr>
            <w:tcW w:w="1373" w:type="pct"/>
            <w:tcBorders>
              <w:top w:val="single" w:sz="4" w:space="0" w:color="FFFFFF" w:themeColor="background1"/>
            </w:tcBorders>
            <w:shd w:val="clear" w:color="auto" w:fill="BFBFBF"/>
            <w:hideMark/>
          </w:tcPr>
          <w:p w14:paraId="766532CA" w14:textId="77777777" w:rsidR="006C6056" w:rsidRPr="005C7BFB" w:rsidRDefault="006C6056" w:rsidP="00CC019F">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r w:rsidRPr="005C7BFB">
              <w:rPr>
                <w:rStyle w:val="Emphasis"/>
              </w:rPr>
              <w:t>Cash flows from investing activities</w:t>
            </w:r>
          </w:p>
        </w:tc>
        <w:tc>
          <w:tcPr>
            <w:tcW w:w="533" w:type="pct"/>
            <w:tcBorders>
              <w:top w:val="single" w:sz="4" w:space="0" w:color="FFFFFF" w:themeColor="background1"/>
            </w:tcBorders>
            <w:shd w:val="clear" w:color="auto" w:fill="BFBFBF"/>
          </w:tcPr>
          <w:p w14:paraId="235A574F" w14:textId="77777777" w:rsidR="006C6056" w:rsidRPr="005C7BFB" w:rsidRDefault="006C6056" w:rsidP="00CC019F">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609" w:type="pct"/>
            <w:tcBorders>
              <w:top w:val="single" w:sz="4" w:space="0" w:color="FFFFFF" w:themeColor="background1"/>
            </w:tcBorders>
            <w:shd w:val="clear" w:color="auto" w:fill="BFBFBF"/>
          </w:tcPr>
          <w:p w14:paraId="5BD44924" w14:textId="77777777" w:rsidR="006C6056" w:rsidRPr="005C7BFB" w:rsidRDefault="006C6056" w:rsidP="00CC019F">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614" w:type="pct"/>
            <w:tcBorders>
              <w:top w:val="single" w:sz="4" w:space="0" w:color="FFFFFF" w:themeColor="background1"/>
            </w:tcBorders>
            <w:shd w:val="clear" w:color="auto" w:fill="BFBFBF"/>
          </w:tcPr>
          <w:p w14:paraId="7A06C2F1" w14:textId="77777777" w:rsidR="006C6056" w:rsidRPr="005C7BFB" w:rsidRDefault="006C6056" w:rsidP="00CC019F">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591" w:type="pct"/>
            <w:tcBorders>
              <w:top w:val="single" w:sz="4" w:space="0" w:color="FFFFFF" w:themeColor="background1"/>
            </w:tcBorders>
            <w:shd w:val="clear" w:color="auto" w:fill="BFBFBF"/>
          </w:tcPr>
          <w:p w14:paraId="528F13A4" w14:textId="72926CCF" w:rsidR="006C6056" w:rsidRPr="005C7BFB" w:rsidRDefault="006C6056" w:rsidP="00CC019F">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665" w:type="pct"/>
            <w:tcBorders>
              <w:top w:val="single" w:sz="4" w:space="0" w:color="FFFFFF" w:themeColor="background1"/>
            </w:tcBorders>
            <w:shd w:val="clear" w:color="auto" w:fill="BFBFBF"/>
          </w:tcPr>
          <w:p w14:paraId="55F16E7E" w14:textId="77777777" w:rsidR="006C6056" w:rsidRPr="005C7BFB" w:rsidRDefault="006C6056" w:rsidP="00CC019F">
            <w:pPr>
              <w:pStyle w:val="Tablebodytextnospaceafter"/>
              <w:cnfStyle w:val="000000010000" w:firstRow="0" w:lastRow="0" w:firstColumn="0" w:lastColumn="0" w:oddVBand="0" w:evenVBand="0" w:oddHBand="0" w:evenHBand="1" w:firstRowFirstColumn="0" w:firstRowLastColumn="0" w:lastRowFirstColumn="0" w:lastRowLastColumn="0"/>
            </w:pPr>
          </w:p>
        </w:tc>
      </w:tr>
      <w:tr w:rsidR="00A20273" w:rsidRPr="00797C71" w14:paraId="71B70A5D" w14:textId="77777777" w:rsidTr="00222C74">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15" w:type="pct"/>
            <w:tcBorders>
              <w:bottom w:val="single" w:sz="4" w:space="0" w:color="FFFFFF" w:themeColor="background1"/>
            </w:tcBorders>
            <w:shd w:val="clear" w:color="000000" w:fill="E9E9E9"/>
          </w:tcPr>
          <w:p w14:paraId="762FC5D5" w14:textId="77777777" w:rsidR="00CC019F" w:rsidRPr="00797C71" w:rsidRDefault="00CC019F" w:rsidP="00CC019F">
            <w:pPr>
              <w:pStyle w:val="Tablebodytextnospaceafter"/>
              <w:jc w:val="right"/>
            </w:pPr>
            <w:r w:rsidRPr="00797C71">
              <w:t>(361)</w:t>
            </w:r>
          </w:p>
        </w:tc>
        <w:tc>
          <w:tcPr>
            <w:tcW w:w="1373" w:type="pct"/>
            <w:shd w:val="clear" w:color="000000" w:fill="E9E9E9"/>
            <w:hideMark/>
          </w:tcPr>
          <w:p w14:paraId="21C58041" w14:textId="77777777" w:rsidR="00CC019F" w:rsidRPr="00797C71" w:rsidRDefault="00CC019F" w:rsidP="00CC019F">
            <w:pPr>
              <w:pStyle w:val="Tablebodytextnospaceafter"/>
              <w:cnfStyle w:val="000000100000" w:firstRow="0" w:lastRow="0" w:firstColumn="0" w:lastColumn="0" w:oddVBand="0" w:evenVBand="0" w:oddHBand="1" w:evenHBand="0" w:firstRowFirstColumn="0" w:firstRowLastColumn="0" w:lastRowFirstColumn="0" w:lastRowLastColumn="0"/>
            </w:pPr>
            <w:r w:rsidRPr="00797C71">
              <w:t>Purchase of property, plant and equipment</w:t>
            </w:r>
          </w:p>
        </w:tc>
        <w:tc>
          <w:tcPr>
            <w:tcW w:w="533" w:type="pct"/>
          </w:tcPr>
          <w:p w14:paraId="30D60B77" w14:textId="77777777" w:rsidR="00CC019F" w:rsidRPr="00980B5F" w:rsidRDefault="009F2096" w:rsidP="00CC019F">
            <w:pPr>
              <w:pStyle w:val="Tablebodytextnospaceafter"/>
              <w:jc w:val="right"/>
              <w:cnfStyle w:val="000000100000" w:firstRow="0" w:lastRow="0" w:firstColumn="0" w:lastColumn="0" w:oddVBand="0" w:evenVBand="0" w:oddHBand="1" w:evenHBand="0" w:firstRowFirstColumn="0" w:firstRowLastColumn="0" w:lastRowFirstColumn="0" w:lastRowLastColumn="0"/>
            </w:pPr>
            <w:r>
              <w:t>8</w:t>
            </w:r>
          </w:p>
        </w:tc>
        <w:tc>
          <w:tcPr>
            <w:tcW w:w="609" w:type="pct"/>
          </w:tcPr>
          <w:p w14:paraId="1E82A382" w14:textId="77777777" w:rsidR="00CC019F" w:rsidRPr="00CC019F"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sidRPr="00CC019F">
              <w:rPr>
                <w:b/>
              </w:rPr>
              <w:t>(860)</w:t>
            </w:r>
          </w:p>
        </w:tc>
        <w:tc>
          <w:tcPr>
            <w:tcW w:w="614" w:type="pct"/>
          </w:tcPr>
          <w:p w14:paraId="14C76C73" w14:textId="77777777" w:rsidR="00CC019F" w:rsidRPr="00797C71"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pPr>
            <w:r>
              <w:t>(947)</w:t>
            </w:r>
          </w:p>
        </w:tc>
        <w:tc>
          <w:tcPr>
            <w:tcW w:w="591" w:type="pct"/>
          </w:tcPr>
          <w:p w14:paraId="4198306C" w14:textId="77777777" w:rsidR="00CC019F" w:rsidRPr="00797C71"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pPr>
            <w:r>
              <w:t>(947)</w:t>
            </w:r>
          </w:p>
        </w:tc>
        <w:tc>
          <w:tcPr>
            <w:tcW w:w="665" w:type="pct"/>
          </w:tcPr>
          <w:p w14:paraId="0686855E" w14:textId="77777777" w:rsidR="00CC019F" w:rsidRPr="00797C71"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pPr>
            <w:r>
              <w:t>(947)</w:t>
            </w:r>
          </w:p>
        </w:tc>
      </w:tr>
      <w:tr w:rsidR="00A20273" w14:paraId="66A258F2" w14:textId="77777777" w:rsidTr="00222C74">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15" w:type="pct"/>
            <w:tcBorders>
              <w:top w:val="single" w:sz="4" w:space="0" w:color="FFFFFF" w:themeColor="background1"/>
              <w:bottom w:val="single" w:sz="4" w:space="0" w:color="FFFFFF" w:themeColor="background1"/>
            </w:tcBorders>
            <w:shd w:val="clear" w:color="000000" w:fill="E9E9E9"/>
          </w:tcPr>
          <w:p w14:paraId="161579DD" w14:textId="77777777" w:rsidR="00CC019F" w:rsidRPr="00797C71" w:rsidRDefault="00CC019F" w:rsidP="00CC019F">
            <w:pPr>
              <w:pStyle w:val="Tablebodytextnospaceafter"/>
              <w:jc w:val="right"/>
            </w:pPr>
            <w:r w:rsidRPr="00797C71">
              <w:t>(230)</w:t>
            </w:r>
          </w:p>
        </w:tc>
        <w:tc>
          <w:tcPr>
            <w:tcW w:w="1373" w:type="pct"/>
            <w:tcBorders>
              <w:bottom w:val="single" w:sz="4" w:space="0" w:color="FFFFFF" w:themeColor="background1"/>
            </w:tcBorders>
            <w:shd w:val="clear" w:color="000000" w:fill="E9E9E9"/>
            <w:hideMark/>
          </w:tcPr>
          <w:p w14:paraId="50F0D24D" w14:textId="77777777" w:rsidR="00CC019F" w:rsidRPr="00CA3642" w:rsidRDefault="00CC019F" w:rsidP="00CC019F">
            <w:pPr>
              <w:pStyle w:val="Tablebodytextnospaceafter"/>
              <w:cnfStyle w:val="000000010000" w:firstRow="0" w:lastRow="0" w:firstColumn="0" w:lastColumn="0" w:oddVBand="0" w:evenVBand="0" w:oddHBand="0" w:evenHBand="1" w:firstRowFirstColumn="0" w:firstRowLastColumn="0" w:lastRowFirstColumn="0" w:lastRowLastColumn="0"/>
            </w:pPr>
            <w:r w:rsidRPr="00CA3642">
              <w:t>Purchase of intangible assets – software</w:t>
            </w:r>
          </w:p>
        </w:tc>
        <w:tc>
          <w:tcPr>
            <w:tcW w:w="533" w:type="pct"/>
            <w:hideMark/>
          </w:tcPr>
          <w:p w14:paraId="41C0A499" w14:textId="77777777" w:rsidR="00CC019F" w:rsidRPr="00980B5F" w:rsidRDefault="009F2096" w:rsidP="00CC019F">
            <w:pPr>
              <w:pStyle w:val="Tablebodytextnospaceafter"/>
              <w:jc w:val="right"/>
              <w:cnfStyle w:val="000000010000" w:firstRow="0" w:lastRow="0" w:firstColumn="0" w:lastColumn="0" w:oddVBand="0" w:evenVBand="0" w:oddHBand="0" w:evenHBand="1" w:firstRowFirstColumn="0" w:firstRowLastColumn="0" w:lastRowFirstColumn="0" w:lastRowLastColumn="0"/>
            </w:pPr>
            <w:r>
              <w:t>9</w:t>
            </w:r>
          </w:p>
        </w:tc>
        <w:tc>
          <w:tcPr>
            <w:tcW w:w="609" w:type="pct"/>
            <w:tcBorders>
              <w:bottom w:val="single" w:sz="4" w:space="0" w:color="FFFFFF" w:themeColor="background1"/>
            </w:tcBorders>
          </w:tcPr>
          <w:p w14:paraId="16774625" w14:textId="77777777" w:rsidR="00CC019F" w:rsidRPr="00CA3642" w:rsidRDefault="00CC019F" w:rsidP="00CC019F">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(156)</w:t>
            </w:r>
          </w:p>
        </w:tc>
        <w:tc>
          <w:tcPr>
            <w:tcW w:w="614" w:type="pct"/>
            <w:tcBorders>
              <w:bottom w:val="single" w:sz="4" w:space="0" w:color="FFFFFF" w:themeColor="background1"/>
            </w:tcBorders>
          </w:tcPr>
          <w:p w14:paraId="78CAB4A2" w14:textId="77777777" w:rsidR="00CC019F" w:rsidRPr="005C7BFB" w:rsidRDefault="00CC019F" w:rsidP="00CC019F">
            <w:pPr>
              <w:pStyle w:val="Tablebodytextnospaceafter"/>
              <w:jc w:val="right"/>
              <w:cnfStyle w:val="000000010000" w:firstRow="0" w:lastRow="0" w:firstColumn="0" w:lastColumn="0" w:oddVBand="0" w:evenVBand="0" w:oddHBand="0" w:evenHBand="1" w:firstRowFirstColumn="0" w:firstRowLastColumn="0" w:lastRowFirstColumn="0" w:lastRowLastColumn="0"/>
            </w:pPr>
            <w:r>
              <w:t>(1,135)</w:t>
            </w:r>
          </w:p>
        </w:tc>
        <w:tc>
          <w:tcPr>
            <w:tcW w:w="591" w:type="pct"/>
            <w:tcBorders>
              <w:bottom w:val="single" w:sz="4" w:space="0" w:color="FFFFFF" w:themeColor="background1"/>
            </w:tcBorders>
          </w:tcPr>
          <w:p w14:paraId="138097BA" w14:textId="77777777" w:rsidR="00CC019F" w:rsidRPr="0066212F" w:rsidRDefault="00CC019F" w:rsidP="00CC019F">
            <w:pPr>
              <w:pStyle w:val="Tablebodytextnospaceafter"/>
              <w:jc w:val="right"/>
              <w:cnfStyle w:val="000000010000" w:firstRow="0" w:lastRow="0" w:firstColumn="0" w:lastColumn="0" w:oddVBand="0" w:evenVBand="0" w:oddHBand="0" w:evenHBand="1" w:firstRowFirstColumn="0" w:firstRowLastColumn="0" w:lastRowFirstColumn="0" w:lastRowLastColumn="0"/>
            </w:pPr>
            <w:r>
              <w:t>(1,135)</w:t>
            </w:r>
          </w:p>
        </w:tc>
        <w:tc>
          <w:tcPr>
            <w:tcW w:w="665" w:type="pct"/>
            <w:tcBorders>
              <w:bottom w:val="single" w:sz="4" w:space="0" w:color="FFFFFF" w:themeColor="background1"/>
            </w:tcBorders>
          </w:tcPr>
          <w:p w14:paraId="47496B33" w14:textId="77777777" w:rsidR="00CC019F" w:rsidRPr="005C7BFB" w:rsidRDefault="00CC019F" w:rsidP="00CC019F">
            <w:pPr>
              <w:pStyle w:val="Tablebodytextnospaceafter"/>
              <w:jc w:val="right"/>
              <w:cnfStyle w:val="000000010000" w:firstRow="0" w:lastRow="0" w:firstColumn="0" w:lastColumn="0" w:oddVBand="0" w:evenVBand="0" w:oddHBand="0" w:evenHBand="1" w:firstRowFirstColumn="0" w:firstRowLastColumn="0" w:lastRowFirstColumn="0" w:lastRowLastColumn="0"/>
            </w:pPr>
            <w:r>
              <w:t>(509)</w:t>
            </w:r>
          </w:p>
        </w:tc>
      </w:tr>
      <w:tr w:rsidR="007C5A85" w14:paraId="44005C48" w14:textId="77777777" w:rsidTr="00703978">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15" w:type="pct"/>
            <w:tcBorders>
              <w:top w:val="single" w:sz="4" w:space="0" w:color="FFFFFF" w:themeColor="background1"/>
              <w:bottom w:val="single" w:sz="4" w:space="0" w:color="FFFFFF" w:themeColor="background1"/>
              <w:right w:val="single" w:sz="4" w:space="0" w:color="FFFFFF" w:themeColor="background1"/>
            </w:tcBorders>
          </w:tcPr>
          <w:p w14:paraId="7D3B1872" w14:textId="77777777" w:rsidR="00CC019F" w:rsidRPr="0040641E" w:rsidRDefault="00CC019F" w:rsidP="00CC019F">
            <w:pPr>
              <w:pStyle w:val="Tablebodytextnospaceafter"/>
              <w:jc w:val="right"/>
              <w:rPr>
                <w:u w:val="single"/>
              </w:rPr>
            </w:pPr>
            <w:r>
              <w:rPr>
                <w:rStyle w:val="Emphasis"/>
                <w:u w:val="single"/>
              </w:rPr>
              <w:t>(591)</w:t>
            </w:r>
          </w:p>
        </w:tc>
        <w:tc>
          <w:tcPr>
            <w:tcW w:w="13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hideMark/>
          </w:tcPr>
          <w:p w14:paraId="5F25DA21" w14:textId="77777777" w:rsidR="00CC019F" w:rsidRPr="00B96662" w:rsidRDefault="00CC019F" w:rsidP="00CC019F">
            <w:pPr>
              <w:pStyle w:val="Tablebodytextnospaceafter"/>
              <w:cnfStyle w:val="000000100000" w:firstRow="0" w:lastRow="0" w:firstColumn="0" w:lastColumn="0" w:oddVBand="0" w:evenVBand="0" w:oddHBand="1" w:evenHBand="0" w:firstRowFirstColumn="0" w:firstRowLastColumn="0" w:lastRowFirstColumn="0" w:lastRowLastColumn="0"/>
              <w:rPr>
                <w:rStyle w:val="Italics"/>
              </w:rPr>
            </w:pPr>
            <w:r w:rsidRPr="00B96662">
              <w:rPr>
                <w:rStyle w:val="Italics"/>
              </w:rPr>
              <w:t>Net cash from investing activities</w:t>
            </w:r>
          </w:p>
        </w:tc>
        <w:tc>
          <w:tcPr>
            <w:tcW w:w="533" w:type="pct"/>
            <w:tcBorders>
              <w:left w:val="single" w:sz="4" w:space="0" w:color="FFFFFF" w:themeColor="background1"/>
              <w:bottom w:val="single" w:sz="4" w:space="0" w:color="FFFFFF" w:themeColor="background1"/>
              <w:right w:val="single" w:sz="4" w:space="0" w:color="FFFFFF" w:themeColor="background1"/>
            </w:tcBorders>
            <w:shd w:val="clear" w:color="auto" w:fill="BFBFBF"/>
          </w:tcPr>
          <w:p w14:paraId="4A2E029F" w14:textId="77777777" w:rsidR="00CC019F" w:rsidRPr="00CA3642"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609" w:type="pct"/>
            <w:tcBorders>
              <w:top w:val="single" w:sz="4" w:space="0" w:color="FFFFFF" w:themeColor="background1"/>
              <w:left w:val="single" w:sz="4" w:space="0" w:color="FFFFFF" w:themeColor="background1"/>
              <w:bottom w:val="single" w:sz="4" w:space="0" w:color="FFFFFF" w:themeColor="background1"/>
            </w:tcBorders>
            <w:shd w:val="clear" w:color="auto" w:fill="BFBFBF"/>
          </w:tcPr>
          <w:p w14:paraId="62277769" w14:textId="77777777" w:rsidR="00CC019F" w:rsidRPr="0040641E"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u w:val="single"/>
              </w:rPr>
            </w:pPr>
            <w:r>
              <w:rPr>
                <w:rStyle w:val="Emphasis"/>
                <w:u w:val="single"/>
              </w:rPr>
              <w:t>(1,106)</w:t>
            </w:r>
          </w:p>
        </w:tc>
        <w:tc>
          <w:tcPr>
            <w:tcW w:w="614" w:type="pct"/>
            <w:tcBorders>
              <w:top w:val="single" w:sz="4" w:space="0" w:color="FFFFFF" w:themeColor="background1"/>
              <w:bottom w:val="single" w:sz="4" w:space="0" w:color="FFFFFF" w:themeColor="background1"/>
            </w:tcBorders>
            <w:shd w:val="clear" w:color="auto" w:fill="BFBFBF"/>
          </w:tcPr>
          <w:p w14:paraId="1F1CD555" w14:textId="77777777" w:rsidR="00CC019F" w:rsidRPr="005C7BFB"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Pr>
                <w:u w:val="single"/>
              </w:rPr>
              <w:t>(2,082)</w:t>
            </w:r>
          </w:p>
        </w:tc>
        <w:tc>
          <w:tcPr>
            <w:tcW w:w="591" w:type="pct"/>
            <w:tcBorders>
              <w:top w:val="single" w:sz="4" w:space="0" w:color="FFFFFF" w:themeColor="background1"/>
              <w:bottom w:val="single" w:sz="4" w:space="0" w:color="FFFFFF" w:themeColor="background1"/>
            </w:tcBorders>
            <w:shd w:val="clear" w:color="auto" w:fill="BFBFBF"/>
          </w:tcPr>
          <w:p w14:paraId="3030DDB8" w14:textId="77777777" w:rsidR="00CC019F" w:rsidRPr="0066212F"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Pr>
                <w:u w:val="single"/>
              </w:rPr>
              <w:t>(2,082)</w:t>
            </w:r>
          </w:p>
        </w:tc>
        <w:tc>
          <w:tcPr>
            <w:tcW w:w="665" w:type="pct"/>
            <w:tcBorders>
              <w:top w:val="single" w:sz="4" w:space="0" w:color="FFFFFF" w:themeColor="background1"/>
              <w:bottom w:val="single" w:sz="4" w:space="0" w:color="FFFFFF" w:themeColor="background1"/>
            </w:tcBorders>
            <w:shd w:val="clear" w:color="auto" w:fill="BFBFBF"/>
          </w:tcPr>
          <w:p w14:paraId="5DB6AC64" w14:textId="77777777" w:rsidR="00CC019F" w:rsidRPr="005C7BFB"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Pr>
                <w:u w:val="single"/>
              </w:rPr>
              <w:t>(1,456)</w:t>
            </w:r>
          </w:p>
        </w:tc>
      </w:tr>
      <w:tr w:rsidR="00222C74" w14:paraId="2758439F" w14:textId="77777777" w:rsidTr="00222C74">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15" w:type="pct"/>
            <w:tcBorders>
              <w:top w:val="single" w:sz="4" w:space="0" w:color="FFFFFF" w:themeColor="background1"/>
              <w:bottom w:val="single" w:sz="8" w:space="0" w:color="FFFFFF" w:themeColor="background1"/>
            </w:tcBorders>
          </w:tcPr>
          <w:p w14:paraId="75339131" w14:textId="0E05E9FE" w:rsidR="00A20273" w:rsidRPr="00F13C6F" w:rsidRDefault="00A20273" w:rsidP="00CC019F">
            <w:pPr>
              <w:pStyle w:val="Tablebodytextnospaceafter"/>
              <w:rPr>
                <w:rStyle w:val="Emphasis"/>
                <w:highlight w:val="yellow"/>
              </w:rPr>
            </w:pPr>
          </w:p>
        </w:tc>
        <w:tc>
          <w:tcPr>
            <w:tcW w:w="1373" w:type="pct"/>
            <w:tcBorders>
              <w:top w:val="single" w:sz="4" w:space="0" w:color="FFFFFF" w:themeColor="background1"/>
            </w:tcBorders>
          </w:tcPr>
          <w:p w14:paraId="5655F604" w14:textId="08E0665C" w:rsidR="00A20273" w:rsidRPr="00F13C6F" w:rsidRDefault="00A20273" w:rsidP="00CC019F">
            <w:pPr>
              <w:pStyle w:val="Tablebodytextnospaceafter"/>
              <w:cnfStyle w:val="000000010000" w:firstRow="0" w:lastRow="0" w:firstColumn="0" w:lastColumn="0" w:oddVBand="0" w:evenVBand="0" w:oddHBand="0" w:evenHBand="1" w:firstRowFirstColumn="0" w:firstRowLastColumn="0" w:lastRowFirstColumn="0" w:lastRowLastColumn="0"/>
              <w:rPr>
                <w:rStyle w:val="Emphasis"/>
                <w:highlight w:val="yellow"/>
              </w:rPr>
            </w:pPr>
            <w:r w:rsidRPr="00A20273">
              <w:rPr>
                <w:rStyle w:val="Emphasis"/>
              </w:rPr>
              <w:t xml:space="preserve">Cash flows from financing activities  </w:t>
            </w:r>
          </w:p>
        </w:tc>
        <w:tc>
          <w:tcPr>
            <w:tcW w:w="533" w:type="pct"/>
            <w:tcBorders>
              <w:top w:val="single" w:sz="4" w:space="0" w:color="FFFFFF" w:themeColor="background1"/>
            </w:tcBorders>
          </w:tcPr>
          <w:p w14:paraId="3ACF5D66" w14:textId="77777777" w:rsidR="00A20273" w:rsidRPr="00F13C6F" w:rsidRDefault="00A20273" w:rsidP="00CC019F">
            <w:pPr>
              <w:pStyle w:val="Tablebodytextnospaceafter"/>
              <w:cnfStyle w:val="000000010000" w:firstRow="0" w:lastRow="0" w:firstColumn="0" w:lastColumn="0" w:oddVBand="0" w:evenVBand="0" w:oddHBand="0" w:evenHBand="1" w:firstRowFirstColumn="0" w:firstRowLastColumn="0" w:lastRowFirstColumn="0" w:lastRowLastColumn="0"/>
              <w:rPr>
                <w:rStyle w:val="Emphasis"/>
                <w:highlight w:val="yellow"/>
              </w:rPr>
            </w:pPr>
          </w:p>
        </w:tc>
        <w:tc>
          <w:tcPr>
            <w:tcW w:w="609" w:type="pct"/>
            <w:tcBorders>
              <w:top w:val="single" w:sz="4" w:space="0" w:color="FFFFFF" w:themeColor="background1"/>
            </w:tcBorders>
          </w:tcPr>
          <w:p w14:paraId="403EDDF5" w14:textId="77777777" w:rsidR="00A20273" w:rsidRPr="00F13C6F" w:rsidRDefault="00A20273" w:rsidP="00CC019F">
            <w:pPr>
              <w:pStyle w:val="Tablebodytextnospaceafter"/>
              <w:cnfStyle w:val="000000010000" w:firstRow="0" w:lastRow="0" w:firstColumn="0" w:lastColumn="0" w:oddVBand="0" w:evenVBand="0" w:oddHBand="0" w:evenHBand="1" w:firstRowFirstColumn="0" w:firstRowLastColumn="0" w:lastRowFirstColumn="0" w:lastRowLastColumn="0"/>
              <w:rPr>
                <w:rStyle w:val="Emphasis"/>
                <w:highlight w:val="yellow"/>
              </w:rPr>
            </w:pPr>
          </w:p>
        </w:tc>
        <w:tc>
          <w:tcPr>
            <w:tcW w:w="614" w:type="pct"/>
            <w:tcBorders>
              <w:top w:val="single" w:sz="4" w:space="0" w:color="FFFFFF" w:themeColor="background1"/>
            </w:tcBorders>
          </w:tcPr>
          <w:p w14:paraId="46D5D9EB" w14:textId="77777777" w:rsidR="00A20273" w:rsidRPr="00F13C6F" w:rsidRDefault="00A20273" w:rsidP="00CC019F">
            <w:pPr>
              <w:pStyle w:val="Tablebodytextnospaceafter"/>
              <w:cnfStyle w:val="000000010000" w:firstRow="0" w:lastRow="0" w:firstColumn="0" w:lastColumn="0" w:oddVBand="0" w:evenVBand="0" w:oddHBand="0" w:evenHBand="1" w:firstRowFirstColumn="0" w:firstRowLastColumn="0" w:lastRowFirstColumn="0" w:lastRowLastColumn="0"/>
              <w:rPr>
                <w:rStyle w:val="Emphasis"/>
                <w:highlight w:val="yellow"/>
              </w:rPr>
            </w:pPr>
          </w:p>
        </w:tc>
        <w:tc>
          <w:tcPr>
            <w:tcW w:w="591" w:type="pct"/>
            <w:tcBorders>
              <w:top w:val="single" w:sz="4" w:space="0" w:color="FFFFFF" w:themeColor="background1"/>
            </w:tcBorders>
          </w:tcPr>
          <w:p w14:paraId="42F5A6E0" w14:textId="5B696424" w:rsidR="00A20273" w:rsidRPr="00F13C6F" w:rsidRDefault="00A20273" w:rsidP="00CC019F">
            <w:pPr>
              <w:pStyle w:val="Tablebodytextnospaceafter"/>
              <w:cnfStyle w:val="000000010000" w:firstRow="0" w:lastRow="0" w:firstColumn="0" w:lastColumn="0" w:oddVBand="0" w:evenVBand="0" w:oddHBand="0" w:evenHBand="1" w:firstRowFirstColumn="0" w:firstRowLastColumn="0" w:lastRowFirstColumn="0" w:lastRowLastColumn="0"/>
              <w:rPr>
                <w:rStyle w:val="Emphasis"/>
                <w:highlight w:val="yellow"/>
              </w:rPr>
            </w:pPr>
          </w:p>
        </w:tc>
        <w:tc>
          <w:tcPr>
            <w:tcW w:w="665" w:type="pct"/>
            <w:tcBorders>
              <w:top w:val="single" w:sz="4" w:space="0" w:color="FFFFFF" w:themeColor="background1"/>
            </w:tcBorders>
            <w:shd w:val="clear" w:color="auto" w:fill="BFBFBF"/>
          </w:tcPr>
          <w:p w14:paraId="650FB9D0" w14:textId="77777777" w:rsidR="00A20273" w:rsidRPr="005C7BFB" w:rsidRDefault="00A20273" w:rsidP="00CC019F">
            <w:pPr>
              <w:pStyle w:val="Tablebodytextnospaceafter"/>
              <w:cnfStyle w:val="000000010000" w:firstRow="0" w:lastRow="0" w:firstColumn="0" w:lastColumn="0" w:oddVBand="0" w:evenVBand="0" w:oddHBand="0" w:evenHBand="1" w:firstRowFirstColumn="0" w:firstRowLastColumn="0" w:lastRowFirstColumn="0" w:lastRowLastColumn="0"/>
            </w:pPr>
          </w:p>
        </w:tc>
      </w:tr>
      <w:tr w:rsidR="00A20273" w:rsidRPr="00797C71" w14:paraId="18822E8E" w14:textId="77777777" w:rsidTr="00222C74">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15" w:type="pct"/>
            <w:tcBorders>
              <w:bottom w:val="single" w:sz="8" w:space="0" w:color="FFFFFF" w:themeColor="background1"/>
            </w:tcBorders>
            <w:shd w:val="clear" w:color="auto" w:fill="E9E9E9"/>
          </w:tcPr>
          <w:p w14:paraId="0026E330" w14:textId="77777777" w:rsidR="00CC019F" w:rsidRPr="00797C71" w:rsidRDefault="00CC019F" w:rsidP="00CC019F">
            <w:pPr>
              <w:pStyle w:val="Tablebodytextnospaceafter"/>
              <w:jc w:val="right"/>
            </w:pPr>
            <w:r w:rsidRPr="00797C71">
              <w:t>2,321</w:t>
            </w:r>
          </w:p>
        </w:tc>
        <w:tc>
          <w:tcPr>
            <w:tcW w:w="1373" w:type="pct"/>
            <w:hideMark/>
          </w:tcPr>
          <w:p w14:paraId="6EE6534B" w14:textId="77777777" w:rsidR="00CC019F" w:rsidRPr="00797C71" w:rsidRDefault="00CC019F" w:rsidP="00CC019F">
            <w:pPr>
              <w:pStyle w:val="Tablebodytextnospaceafter"/>
              <w:cnfStyle w:val="000000100000" w:firstRow="0" w:lastRow="0" w:firstColumn="0" w:lastColumn="0" w:oddVBand="0" w:evenVBand="0" w:oddHBand="1" w:evenHBand="0" w:firstRowFirstColumn="0" w:firstRowLastColumn="0" w:lastRowFirstColumn="0" w:lastRowLastColumn="0"/>
            </w:pPr>
            <w:r w:rsidRPr="00797C71">
              <w:t xml:space="preserve">Capital injection  </w:t>
            </w:r>
          </w:p>
        </w:tc>
        <w:tc>
          <w:tcPr>
            <w:tcW w:w="533" w:type="pct"/>
          </w:tcPr>
          <w:p w14:paraId="1516608E" w14:textId="77777777" w:rsidR="00CC019F" w:rsidRPr="00797C71" w:rsidRDefault="00CC019F" w:rsidP="00CC019F">
            <w:pPr>
              <w:pStyle w:val="Tablebodytextnospaceafter"/>
              <w:cnfStyle w:val="000000100000" w:firstRow="0" w:lastRow="0" w:firstColumn="0" w:lastColumn="0" w:oddVBand="0" w:evenVBand="0" w:oddHBand="1" w:evenHBand="0" w:firstRowFirstColumn="0" w:firstRowLastColumn="0" w:lastRowFirstColumn="0" w:lastRowLastColumn="0"/>
            </w:pPr>
          </w:p>
        </w:tc>
        <w:tc>
          <w:tcPr>
            <w:tcW w:w="609" w:type="pct"/>
          </w:tcPr>
          <w:p w14:paraId="1682F6A3" w14:textId="77777777" w:rsidR="00CC019F" w:rsidRPr="00CC019F"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sidRPr="00CC019F">
              <w:rPr>
                <w:b/>
              </w:rPr>
              <w:t>1,882</w:t>
            </w:r>
          </w:p>
        </w:tc>
        <w:tc>
          <w:tcPr>
            <w:tcW w:w="614" w:type="pct"/>
          </w:tcPr>
          <w:p w14:paraId="393C96E5" w14:textId="77777777" w:rsidR="00CC019F" w:rsidRPr="00797C71"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pPr>
            <w:r>
              <w:t>1,882</w:t>
            </w:r>
          </w:p>
        </w:tc>
        <w:tc>
          <w:tcPr>
            <w:tcW w:w="591" w:type="pct"/>
          </w:tcPr>
          <w:p w14:paraId="64759433" w14:textId="77777777" w:rsidR="00CC019F" w:rsidRPr="00797C71"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pPr>
            <w:r>
              <w:t>1,882</w:t>
            </w:r>
          </w:p>
        </w:tc>
        <w:tc>
          <w:tcPr>
            <w:tcW w:w="665" w:type="pct"/>
          </w:tcPr>
          <w:p w14:paraId="0DC34D89" w14:textId="77777777" w:rsidR="00CC019F" w:rsidRPr="00797C71"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pPr>
            <w:r>
              <w:t>1,256</w:t>
            </w:r>
          </w:p>
        </w:tc>
      </w:tr>
      <w:tr w:rsidR="00222C74" w14:paraId="43558F69" w14:textId="77777777" w:rsidTr="00222C74">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15" w:type="pct"/>
            <w:tcBorders>
              <w:top w:val="single" w:sz="8" w:space="0" w:color="FFFFFF" w:themeColor="background1"/>
              <w:bottom w:val="single" w:sz="4" w:space="0" w:color="FFFFFF" w:themeColor="background1"/>
            </w:tcBorders>
            <w:shd w:val="clear" w:color="auto" w:fill="E9E9E9"/>
          </w:tcPr>
          <w:p w14:paraId="5540B063" w14:textId="77777777" w:rsidR="00CC019F" w:rsidRPr="00797C71" w:rsidRDefault="00CC019F" w:rsidP="00CC019F">
            <w:pPr>
              <w:pStyle w:val="Tablebodytextnospaceafter"/>
              <w:jc w:val="right"/>
            </w:pPr>
            <w:r w:rsidRPr="00797C71">
              <w:t>(542)</w:t>
            </w:r>
          </w:p>
        </w:tc>
        <w:tc>
          <w:tcPr>
            <w:tcW w:w="1373" w:type="pct"/>
            <w:tcBorders>
              <w:bottom w:val="single" w:sz="2" w:space="0" w:color="FFFFFF" w:themeColor="background1"/>
            </w:tcBorders>
            <w:hideMark/>
          </w:tcPr>
          <w:p w14:paraId="2DBBA5A6" w14:textId="77777777" w:rsidR="00CC019F" w:rsidRPr="00CA3642" w:rsidRDefault="00CC019F" w:rsidP="00CC019F">
            <w:pPr>
              <w:pStyle w:val="Tablebodytextnospaceafter"/>
              <w:cnfStyle w:val="000000010000" w:firstRow="0" w:lastRow="0" w:firstColumn="0" w:lastColumn="0" w:oddVBand="0" w:evenVBand="0" w:oddHBand="0" w:evenHBand="1" w:firstRowFirstColumn="0" w:firstRowLastColumn="0" w:lastRowFirstColumn="0" w:lastRowLastColumn="0"/>
            </w:pPr>
            <w:r w:rsidRPr="00CA3642">
              <w:t>Return of operating surplus</w:t>
            </w:r>
          </w:p>
        </w:tc>
        <w:tc>
          <w:tcPr>
            <w:tcW w:w="533" w:type="pct"/>
            <w:tcBorders>
              <w:bottom w:val="single" w:sz="2" w:space="0" w:color="FFFFFF" w:themeColor="background1"/>
            </w:tcBorders>
          </w:tcPr>
          <w:p w14:paraId="12CEA96C" w14:textId="77777777" w:rsidR="00CC019F" w:rsidRPr="00CA3642" w:rsidRDefault="00CC019F" w:rsidP="00CC019F">
            <w:pPr>
              <w:pStyle w:val="Tablebodytextnospaceafter"/>
              <w:cnfStyle w:val="000000010000" w:firstRow="0" w:lastRow="0" w:firstColumn="0" w:lastColumn="0" w:oddVBand="0" w:evenVBand="0" w:oddHBand="0" w:evenHBand="1" w:firstRowFirstColumn="0" w:firstRowLastColumn="0" w:lastRowFirstColumn="0" w:lastRowLastColumn="0"/>
            </w:pPr>
          </w:p>
        </w:tc>
        <w:tc>
          <w:tcPr>
            <w:tcW w:w="609" w:type="pct"/>
            <w:tcBorders>
              <w:bottom w:val="single" w:sz="4" w:space="0" w:color="FFFFFF" w:themeColor="background1"/>
            </w:tcBorders>
          </w:tcPr>
          <w:p w14:paraId="1D465F17" w14:textId="77777777" w:rsidR="00CC019F" w:rsidRPr="00CA3642" w:rsidRDefault="00CC019F" w:rsidP="00CC019F">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(923)</w:t>
            </w:r>
          </w:p>
        </w:tc>
        <w:tc>
          <w:tcPr>
            <w:tcW w:w="614" w:type="pct"/>
            <w:tcBorders>
              <w:bottom w:val="single" w:sz="4" w:space="0" w:color="FFFFFF" w:themeColor="background1"/>
            </w:tcBorders>
          </w:tcPr>
          <w:p w14:paraId="2FBABA71" w14:textId="77777777" w:rsidR="00CC019F" w:rsidRPr="005C7BFB" w:rsidRDefault="00CC019F" w:rsidP="00CC019F">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591" w:type="pct"/>
            <w:tcBorders>
              <w:bottom w:val="single" w:sz="4" w:space="0" w:color="FFFFFF" w:themeColor="background1"/>
            </w:tcBorders>
          </w:tcPr>
          <w:p w14:paraId="298F46A9" w14:textId="77777777" w:rsidR="00CC019F" w:rsidRPr="0066212F" w:rsidRDefault="00CC019F" w:rsidP="00CC019F">
            <w:pPr>
              <w:pStyle w:val="Tablebodytextnospaceafter"/>
              <w:jc w:val="right"/>
              <w:cnfStyle w:val="000000010000" w:firstRow="0" w:lastRow="0" w:firstColumn="0" w:lastColumn="0" w:oddVBand="0" w:evenVBand="0" w:oddHBand="0" w:evenHBand="1" w:firstRowFirstColumn="0" w:firstRowLastColumn="0" w:lastRowFirstColumn="0" w:lastRowLastColumn="0"/>
            </w:pPr>
            <w:r>
              <w:t>(923)</w:t>
            </w:r>
          </w:p>
        </w:tc>
        <w:tc>
          <w:tcPr>
            <w:tcW w:w="665" w:type="pct"/>
            <w:tcBorders>
              <w:bottom w:val="single" w:sz="4" w:space="0" w:color="FFFFFF" w:themeColor="background1"/>
            </w:tcBorders>
          </w:tcPr>
          <w:p w14:paraId="7896916A" w14:textId="77777777" w:rsidR="00CC019F" w:rsidRPr="005C7BFB" w:rsidRDefault="00CC019F" w:rsidP="00CC019F">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r>
      <w:tr w:rsidR="007C5A85" w14:paraId="689EA2FC" w14:textId="77777777" w:rsidTr="00703978">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15" w:type="pct"/>
            <w:tcBorders>
              <w:top w:val="single" w:sz="4" w:space="0" w:color="FFFFFF" w:themeColor="background1"/>
              <w:bottom w:val="single" w:sz="4" w:space="0" w:color="FFFFFF" w:themeColor="background1"/>
            </w:tcBorders>
          </w:tcPr>
          <w:p w14:paraId="446B8B62" w14:textId="77777777" w:rsidR="00CC019F" w:rsidRPr="00B96662" w:rsidRDefault="00CC019F" w:rsidP="00CC019F">
            <w:pPr>
              <w:pStyle w:val="Tablebodytextnospaceafter"/>
              <w:jc w:val="right"/>
              <w:rPr>
                <w:u w:val="single"/>
              </w:rPr>
            </w:pPr>
            <w:r>
              <w:rPr>
                <w:rStyle w:val="Emphasis"/>
                <w:u w:val="single"/>
              </w:rPr>
              <w:t>1,779</w:t>
            </w:r>
          </w:p>
        </w:tc>
        <w:tc>
          <w:tcPr>
            <w:tcW w:w="1373" w:type="pct"/>
            <w:tcBorders>
              <w:bottom w:val="single" w:sz="4" w:space="0" w:color="FFFFFF" w:themeColor="background1"/>
            </w:tcBorders>
            <w:shd w:val="clear" w:color="auto" w:fill="BFBFBF"/>
            <w:hideMark/>
          </w:tcPr>
          <w:p w14:paraId="6CCEF914" w14:textId="77777777" w:rsidR="00CC019F" w:rsidRPr="00CA3642" w:rsidRDefault="00CC019F" w:rsidP="00CC019F">
            <w:pPr>
              <w:pStyle w:val="Tablebodytextnospaceafter"/>
              <w:cnfStyle w:val="000000100000" w:firstRow="0" w:lastRow="0" w:firstColumn="0" w:lastColumn="0" w:oddVBand="0" w:evenVBand="0" w:oddHBand="1" w:evenHBand="0" w:firstRowFirstColumn="0" w:firstRowLastColumn="0" w:lastRowFirstColumn="0" w:lastRowLastColumn="0"/>
              <w:rPr>
                <w:i/>
              </w:rPr>
            </w:pPr>
            <w:r w:rsidRPr="00CA3642">
              <w:rPr>
                <w:i/>
              </w:rPr>
              <w:t>Net cash from financing activities</w:t>
            </w:r>
          </w:p>
        </w:tc>
        <w:tc>
          <w:tcPr>
            <w:tcW w:w="533" w:type="pct"/>
            <w:shd w:val="clear" w:color="auto" w:fill="BFBFBF"/>
          </w:tcPr>
          <w:p w14:paraId="5B36633C" w14:textId="77777777" w:rsidR="00CC019F" w:rsidRPr="00CA3642" w:rsidRDefault="00CC019F" w:rsidP="00CC019F">
            <w:pPr>
              <w:pStyle w:val="Tablebodytextnospaceafter"/>
              <w:cnfStyle w:val="000000100000" w:firstRow="0" w:lastRow="0" w:firstColumn="0" w:lastColumn="0" w:oddVBand="0" w:evenVBand="0" w:oddHBand="1" w:evenHBand="0" w:firstRowFirstColumn="0" w:firstRowLastColumn="0" w:lastRowFirstColumn="0" w:lastRowLastColumn="0"/>
            </w:pPr>
          </w:p>
        </w:tc>
        <w:tc>
          <w:tcPr>
            <w:tcW w:w="609" w:type="pct"/>
            <w:tcBorders>
              <w:top w:val="single" w:sz="4" w:space="0" w:color="FFFFFF" w:themeColor="background1"/>
              <w:bottom w:val="single" w:sz="4" w:space="0" w:color="FFFFFF" w:themeColor="background1"/>
            </w:tcBorders>
            <w:shd w:val="clear" w:color="auto" w:fill="BFBFBF"/>
          </w:tcPr>
          <w:p w14:paraId="5089CF16" w14:textId="77777777" w:rsidR="00CC019F" w:rsidRPr="0040641E"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u w:val="single"/>
              </w:rPr>
            </w:pPr>
            <w:r>
              <w:rPr>
                <w:rStyle w:val="Emphasis"/>
                <w:u w:val="single"/>
              </w:rPr>
              <w:t>959</w:t>
            </w:r>
          </w:p>
        </w:tc>
        <w:tc>
          <w:tcPr>
            <w:tcW w:w="614" w:type="pct"/>
            <w:tcBorders>
              <w:top w:val="single" w:sz="4" w:space="0" w:color="FFFFFF" w:themeColor="background1"/>
              <w:bottom w:val="single" w:sz="4" w:space="0" w:color="FFFFFF" w:themeColor="background1"/>
            </w:tcBorders>
            <w:shd w:val="clear" w:color="auto" w:fill="BFBFBF"/>
          </w:tcPr>
          <w:p w14:paraId="51DA541C" w14:textId="77777777" w:rsidR="00CC019F" w:rsidRPr="005C7BFB"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Pr>
                <w:u w:val="single"/>
              </w:rPr>
              <w:t>1,882</w:t>
            </w:r>
          </w:p>
        </w:tc>
        <w:tc>
          <w:tcPr>
            <w:tcW w:w="591" w:type="pct"/>
            <w:tcBorders>
              <w:top w:val="single" w:sz="4" w:space="0" w:color="FFFFFF" w:themeColor="background1"/>
              <w:bottom w:val="single" w:sz="4" w:space="0" w:color="FFFFFF" w:themeColor="background1"/>
            </w:tcBorders>
            <w:shd w:val="clear" w:color="auto" w:fill="BFBFBF"/>
          </w:tcPr>
          <w:p w14:paraId="3FD99D33" w14:textId="77777777" w:rsidR="00CC019F" w:rsidRPr="0066212F"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Pr>
                <w:u w:val="single"/>
              </w:rPr>
              <w:t>959</w:t>
            </w:r>
          </w:p>
        </w:tc>
        <w:tc>
          <w:tcPr>
            <w:tcW w:w="665" w:type="pct"/>
            <w:tcBorders>
              <w:top w:val="single" w:sz="4" w:space="0" w:color="FFFFFF" w:themeColor="background1"/>
              <w:bottom w:val="single" w:sz="4" w:space="0" w:color="FFFFFF" w:themeColor="background1"/>
            </w:tcBorders>
            <w:shd w:val="clear" w:color="auto" w:fill="BFBFBF"/>
          </w:tcPr>
          <w:p w14:paraId="1A707E01" w14:textId="77777777" w:rsidR="00CC019F" w:rsidRPr="005C7BFB"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Pr>
                <w:u w:val="single"/>
              </w:rPr>
              <w:t>1,256</w:t>
            </w:r>
          </w:p>
        </w:tc>
      </w:tr>
      <w:tr w:rsidR="00A20273" w:rsidRPr="00797C71" w14:paraId="2C5F325D" w14:textId="77777777" w:rsidTr="00222C74">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E9E9E9"/>
          </w:tcPr>
          <w:p w14:paraId="28DF8759" w14:textId="77777777" w:rsidR="00CC019F" w:rsidRPr="00797C71" w:rsidRDefault="00CC019F" w:rsidP="00CC019F">
            <w:pPr>
              <w:pStyle w:val="Tablebodytextnospaceafter"/>
              <w:jc w:val="right"/>
            </w:pPr>
            <w:r w:rsidRPr="00797C71">
              <w:t>2,913</w:t>
            </w:r>
          </w:p>
        </w:tc>
        <w:tc>
          <w:tcPr>
            <w:tcW w:w="1373" w:type="pct"/>
            <w:tcBorders>
              <w:top w:val="single" w:sz="4" w:space="0" w:color="FFFFFF" w:themeColor="background1"/>
              <w:left w:val="single" w:sz="4" w:space="0" w:color="FFFFFF" w:themeColor="background1"/>
            </w:tcBorders>
            <w:shd w:val="clear" w:color="000000" w:fill="E9E9E9"/>
            <w:hideMark/>
          </w:tcPr>
          <w:p w14:paraId="22582718" w14:textId="77777777" w:rsidR="00CC019F" w:rsidRPr="00797C71" w:rsidRDefault="00CC019F" w:rsidP="00CC019F">
            <w:pPr>
              <w:pStyle w:val="Tablebodytextnospaceafter"/>
              <w:cnfStyle w:val="000000010000" w:firstRow="0" w:lastRow="0" w:firstColumn="0" w:lastColumn="0" w:oddVBand="0" w:evenVBand="0" w:oddHBand="0" w:evenHBand="1" w:firstRowFirstColumn="0" w:firstRowLastColumn="0" w:lastRowFirstColumn="0" w:lastRowLastColumn="0"/>
            </w:pPr>
            <w:r w:rsidRPr="00797C71">
              <w:t>Net increase /(decrease) in cash</w:t>
            </w:r>
          </w:p>
        </w:tc>
        <w:tc>
          <w:tcPr>
            <w:tcW w:w="533" w:type="pct"/>
          </w:tcPr>
          <w:p w14:paraId="2AE07B51" w14:textId="77777777" w:rsidR="00CC019F" w:rsidRPr="00797C71" w:rsidRDefault="00CC019F" w:rsidP="00CC019F">
            <w:pPr>
              <w:pStyle w:val="Tablebodytextnospaceafter"/>
              <w:cnfStyle w:val="000000010000" w:firstRow="0" w:lastRow="0" w:firstColumn="0" w:lastColumn="0" w:oddVBand="0" w:evenVBand="0" w:oddHBand="0" w:evenHBand="1" w:firstRowFirstColumn="0" w:firstRowLastColumn="0" w:lastRowFirstColumn="0" w:lastRowLastColumn="0"/>
            </w:pPr>
          </w:p>
        </w:tc>
        <w:tc>
          <w:tcPr>
            <w:tcW w:w="609" w:type="pct"/>
            <w:tcBorders>
              <w:top w:val="single" w:sz="4" w:space="0" w:color="FFFFFF" w:themeColor="background1"/>
            </w:tcBorders>
          </w:tcPr>
          <w:p w14:paraId="00E7A3BA" w14:textId="77777777" w:rsidR="00CC019F" w:rsidRPr="00CC019F" w:rsidRDefault="00CC019F" w:rsidP="00CC019F">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sidRPr="00CC019F">
              <w:rPr>
                <w:b/>
              </w:rPr>
              <w:t>2,299</w:t>
            </w:r>
          </w:p>
        </w:tc>
        <w:tc>
          <w:tcPr>
            <w:tcW w:w="614" w:type="pct"/>
            <w:tcBorders>
              <w:top w:val="single" w:sz="4" w:space="0" w:color="FFFFFF" w:themeColor="background1"/>
            </w:tcBorders>
          </w:tcPr>
          <w:p w14:paraId="5180CD1E" w14:textId="77777777" w:rsidR="00CC019F" w:rsidRPr="00797C71" w:rsidRDefault="00CC019F" w:rsidP="00CC019F">
            <w:pPr>
              <w:pStyle w:val="Tablebodytextnospaceafter"/>
              <w:jc w:val="right"/>
              <w:cnfStyle w:val="000000010000" w:firstRow="0" w:lastRow="0" w:firstColumn="0" w:lastColumn="0" w:oddVBand="0" w:evenVBand="0" w:oddHBand="0" w:evenHBand="1" w:firstRowFirstColumn="0" w:firstRowLastColumn="0" w:lastRowFirstColumn="0" w:lastRowLastColumn="0"/>
            </w:pPr>
            <w:r>
              <w:t>567</w:t>
            </w:r>
          </w:p>
        </w:tc>
        <w:tc>
          <w:tcPr>
            <w:tcW w:w="591" w:type="pct"/>
            <w:tcBorders>
              <w:top w:val="single" w:sz="4" w:space="0" w:color="FFFFFF" w:themeColor="background1"/>
            </w:tcBorders>
          </w:tcPr>
          <w:p w14:paraId="5549DABB" w14:textId="77777777" w:rsidR="00CC019F" w:rsidRPr="00797C71" w:rsidRDefault="00CC019F" w:rsidP="00CC019F">
            <w:pPr>
              <w:pStyle w:val="Tablebodytextnospaceafter"/>
              <w:jc w:val="right"/>
              <w:cnfStyle w:val="000000010000" w:firstRow="0" w:lastRow="0" w:firstColumn="0" w:lastColumn="0" w:oddVBand="0" w:evenVBand="0" w:oddHBand="0" w:evenHBand="1" w:firstRowFirstColumn="0" w:firstRowLastColumn="0" w:lastRowFirstColumn="0" w:lastRowLastColumn="0"/>
            </w:pPr>
            <w:r>
              <w:t>(1,353)</w:t>
            </w:r>
          </w:p>
        </w:tc>
        <w:tc>
          <w:tcPr>
            <w:tcW w:w="665" w:type="pct"/>
            <w:tcBorders>
              <w:top w:val="single" w:sz="4" w:space="0" w:color="FFFFFF" w:themeColor="background1"/>
            </w:tcBorders>
          </w:tcPr>
          <w:p w14:paraId="0D590D48" w14:textId="77777777" w:rsidR="00CC019F" w:rsidRPr="00797C71" w:rsidRDefault="00CC019F" w:rsidP="00CC019F">
            <w:pPr>
              <w:pStyle w:val="Tablebodytextnospaceafter"/>
              <w:jc w:val="right"/>
              <w:cnfStyle w:val="000000010000" w:firstRow="0" w:lastRow="0" w:firstColumn="0" w:lastColumn="0" w:oddVBand="0" w:evenVBand="0" w:oddHBand="0" w:evenHBand="1" w:firstRowFirstColumn="0" w:firstRowLastColumn="0" w:lastRowFirstColumn="0" w:lastRowLastColumn="0"/>
            </w:pPr>
            <w:r>
              <w:t>1,683</w:t>
            </w:r>
          </w:p>
        </w:tc>
      </w:tr>
      <w:tr w:rsidR="007C5A85" w14:paraId="62405D3D" w14:textId="77777777" w:rsidTr="00703978">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15" w:type="pct"/>
            <w:tcBorders>
              <w:top w:val="single" w:sz="4" w:space="0" w:color="FFFFFF" w:themeColor="background1"/>
              <w:bottom w:val="single" w:sz="4" w:space="0" w:color="FFFFFF" w:themeColor="background1"/>
              <w:right w:val="single" w:sz="4" w:space="0" w:color="FFFFFF" w:themeColor="background1"/>
            </w:tcBorders>
            <w:shd w:val="clear" w:color="000000" w:fill="E9E9E9"/>
          </w:tcPr>
          <w:p w14:paraId="5B1BDDE5" w14:textId="77777777" w:rsidR="00CC019F" w:rsidRPr="00797C71" w:rsidRDefault="00CC019F" w:rsidP="00CC019F">
            <w:pPr>
              <w:pStyle w:val="Tablebodytextnospaceafter"/>
              <w:jc w:val="right"/>
            </w:pPr>
            <w:r w:rsidRPr="00797C71">
              <w:t>4,709</w:t>
            </w:r>
          </w:p>
        </w:tc>
        <w:tc>
          <w:tcPr>
            <w:tcW w:w="1373" w:type="pct"/>
            <w:tcBorders>
              <w:left w:val="single" w:sz="4" w:space="0" w:color="FFFFFF" w:themeColor="background1"/>
            </w:tcBorders>
            <w:shd w:val="clear" w:color="000000" w:fill="E9E9E9"/>
            <w:hideMark/>
          </w:tcPr>
          <w:p w14:paraId="571C784D" w14:textId="77777777" w:rsidR="00CC019F" w:rsidRPr="00CA3642" w:rsidRDefault="00CC019F" w:rsidP="00CC019F">
            <w:pPr>
              <w:pStyle w:val="Tablebodytextnospaceafter"/>
              <w:cnfStyle w:val="000000100000" w:firstRow="0" w:lastRow="0" w:firstColumn="0" w:lastColumn="0" w:oddVBand="0" w:evenVBand="0" w:oddHBand="1" w:evenHBand="0" w:firstRowFirstColumn="0" w:firstRowLastColumn="0" w:lastRowFirstColumn="0" w:lastRowLastColumn="0"/>
            </w:pPr>
            <w:r w:rsidRPr="00CA3642">
              <w:t>Cash at beginning of the year</w:t>
            </w:r>
          </w:p>
        </w:tc>
        <w:tc>
          <w:tcPr>
            <w:tcW w:w="533" w:type="pct"/>
          </w:tcPr>
          <w:p w14:paraId="7A400134" w14:textId="77777777" w:rsidR="00CC019F" w:rsidRPr="00CA3642" w:rsidRDefault="00CC019F" w:rsidP="00CC019F">
            <w:pPr>
              <w:pStyle w:val="Tablebodytextnospaceafter"/>
              <w:cnfStyle w:val="000000100000" w:firstRow="0" w:lastRow="0" w:firstColumn="0" w:lastColumn="0" w:oddVBand="0" w:evenVBand="0" w:oddHBand="1" w:evenHBand="0" w:firstRowFirstColumn="0" w:firstRowLastColumn="0" w:lastRowFirstColumn="0" w:lastRowLastColumn="0"/>
            </w:pPr>
          </w:p>
        </w:tc>
        <w:tc>
          <w:tcPr>
            <w:tcW w:w="609" w:type="pct"/>
            <w:tcBorders>
              <w:bottom w:val="single" w:sz="4" w:space="0" w:color="FFFFFF" w:themeColor="background1"/>
            </w:tcBorders>
          </w:tcPr>
          <w:p w14:paraId="047B22ED" w14:textId="77777777" w:rsidR="00CC019F" w:rsidRPr="00CA3642"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7,622</w:t>
            </w:r>
          </w:p>
        </w:tc>
        <w:tc>
          <w:tcPr>
            <w:tcW w:w="614" w:type="pct"/>
            <w:tcBorders>
              <w:bottom w:val="single" w:sz="4" w:space="0" w:color="FFFFFF" w:themeColor="background1"/>
            </w:tcBorders>
          </w:tcPr>
          <w:p w14:paraId="02F79B78" w14:textId="77777777" w:rsidR="00CC019F" w:rsidRPr="005C7BFB"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pPr>
            <w:r>
              <w:t>3,946</w:t>
            </w:r>
          </w:p>
        </w:tc>
        <w:tc>
          <w:tcPr>
            <w:tcW w:w="591" w:type="pct"/>
            <w:tcBorders>
              <w:bottom w:val="single" w:sz="4" w:space="0" w:color="FFFFFF" w:themeColor="background1"/>
            </w:tcBorders>
          </w:tcPr>
          <w:p w14:paraId="7013F500" w14:textId="77777777" w:rsidR="00CC019F" w:rsidRPr="0066212F"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pPr>
            <w:r>
              <w:t>7,622</w:t>
            </w:r>
          </w:p>
        </w:tc>
        <w:tc>
          <w:tcPr>
            <w:tcW w:w="665" w:type="pct"/>
            <w:tcBorders>
              <w:bottom w:val="single" w:sz="4" w:space="0" w:color="FFFFFF" w:themeColor="background1"/>
            </w:tcBorders>
          </w:tcPr>
          <w:p w14:paraId="48AAF9DD" w14:textId="77777777" w:rsidR="00CC019F" w:rsidRPr="005C7BFB" w:rsidRDefault="00CC019F" w:rsidP="00CC019F">
            <w:pPr>
              <w:pStyle w:val="Tablebodytextnospaceafter"/>
              <w:jc w:val="right"/>
              <w:cnfStyle w:val="000000100000" w:firstRow="0" w:lastRow="0" w:firstColumn="0" w:lastColumn="0" w:oddVBand="0" w:evenVBand="0" w:oddHBand="1" w:evenHBand="0" w:firstRowFirstColumn="0" w:firstRowLastColumn="0" w:lastRowFirstColumn="0" w:lastRowLastColumn="0"/>
            </w:pPr>
            <w:r>
              <w:t>6,296</w:t>
            </w:r>
          </w:p>
        </w:tc>
      </w:tr>
      <w:tr w:rsidR="007C5A85" w14:paraId="1463CC11" w14:textId="77777777" w:rsidTr="00703978">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615" w:type="pct"/>
            <w:tcBorders>
              <w:top w:val="single" w:sz="4" w:space="0" w:color="FFFFFF" w:themeColor="background1"/>
              <w:bottom w:val="single" w:sz="4" w:space="0" w:color="FFFFFF" w:themeColor="background1"/>
            </w:tcBorders>
          </w:tcPr>
          <w:p w14:paraId="5A45D1B6" w14:textId="77777777" w:rsidR="00CC019F" w:rsidRPr="00B96662" w:rsidRDefault="00CC019F" w:rsidP="00CC019F">
            <w:pPr>
              <w:pStyle w:val="Tablebodytextnospaceafter"/>
              <w:jc w:val="right"/>
              <w:rPr>
                <w:u w:val="single"/>
              </w:rPr>
            </w:pPr>
            <w:r>
              <w:rPr>
                <w:rStyle w:val="Emphasis"/>
                <w:u w:val="single"/>
              </w:rPr>
              <w:t>7,622</w:t>
            </w:r>
          </w:p>
        </w:tc>
        <w:tc>
          <w:tcPr>
            <w:tcW w:w="1373" w:type="pct"/>
            <w:shd w:val="clear" w:color="auto" w:fill="BFBFBF"/>
            <w:hideMark/>
          </w:tcPr>
          <w:p w14:paraId="438B2A2E" w14:textId="77777777" w:rsidR="00CC019F" w:rsidRPr="00B96662" w:rsidRDefault="00CC019F" w:rsidP="00CC019F">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r w:rsidRPr="00B96662">
              <w:rPr>
                <w:rStyle w:val="Emphasis"/>
              </w:rPr>
              <w:t>Cash at end of the year</w:t>
            </w:r>
          </w:p>
        </w:tc>
        <w:tc>
          <w:tcPr>
            <w:tcW w:w="533" w:type="pct"/>
            <w:shd w:val="clear" w:color="auto" w:fill="BFBFBF"/>
          </w:tcPr>
          <w:p w14:paraId="4CDDF23D" w14:textId="77777777" w:rsidR="00CC019F" w:rsidRPr="00CA3642" w:rsidRDefault="00CC019F" w:rsidP="00CC019F">
            <w:pPr>
              <w:pStyle w:val="Tablebodytextnospaceafter"/>
              <w:cnfStyle w:val="000000010000" w:firstRow="0" w:lastRow="0" w:firstColumn="0" w:lastColumn="0" w:oddVBand="0" w:evenVBand="0" w:oddHBand="0" w:evenHBand="1" w:firstRowFirstColumn="0" w:firstRowLastColumn="0" w:lastRowFirstColumn="0" w:lastRowLastColumn="0"/>
            </w:pPr>
          </w:p>
        </w:tc>
        <w:tc>
          <w:tcPr>
            <w:tcW w:w="609" w:type="pct"/>
            <w:tcBorders>
              <w:top w:val="single" w:sz="4" w:space="0" w:color="FFFFFF" w:themeColor="background1"/>
              <w:bottom w:val="single" w:sz="4" w:space="0" w:color="FFFFFF" w:themeColor="background1"/>
            </w:tcBorders>
            <w:shd w:val="clear" w:color="auto" w:fill="BFBFBF"/>
          </w:tcPr>
          <w:p w14:paraId="79A2EB98" w14:textId="77777777" w:rsidR="00CC019F" w:rsidRPr="0040641E" w:rsidRDefault="00CC019F" w:rsidP="00CC019F">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u w:val="single"/>
              </w:rPr>
            </w:pPr>
            <w:r>
              <w:rPr>
                <w:rStyle w:val="Emphasis"/>
                <w:u w:val="single"/>
              </w:rPr>
              <w:t>9,921</w:t>
            </w:r>
          </w:p>
        </w:tc>
        <w:tc>
          <w:tcPr>
            <w:tcW w:w="614" w:type="pct"/>
            <w:tcBorders>
              <w:top w:val="single" w:sz="4" w:space="0" w:color="FFFFFF" w:themeColor="background1"/>
              <w:bottom w:val="single" w:sz="4" w:space="0" w:color="FFFFFF" w:themeColor="background1"/>
            </w:tcBorders>
            <w:shd w:val="clear" w:color="auto" w:fill="BFBFBF"/>
          </w:tcPr>
          <w:p w14:paraId="7A351376" w14:textId="77777777" w:rsidR="00CC019F" w:rsidRPr="005C7BFB" w:rsidRDefault="00CC019F" w:rsidP="00CC019F">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4,513</w:t>
            </w:r>
          </w:p>
        </w:tc>
        <w:tc>
          <w:tcPr>
            <w:tcW w:w="591" w:type="pct"/>
            <w:tcBorders>
              <w:top w:val="single" w:sz="4" w:space="0" w:color="FFFFFF" w:themeColor="background1"/>
              <w:bottom w:val="single" w:sz="4" w:space="0" w:color="FFFFFF" w:themeColor="background1"/>
            </w:tcBorders>
            <w:shd w:val="clear" w:color="auto" w:fill="BFBFBF"/>
          </w:tcPr>
          <w:p w14:paraId="61388FC6" w14:textId="77777777" w:rsidR="00CC019F" w:rsidRPr="0066212F" w:rsidRDefault="00CC019F" w:rsidP="00CC019F">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6,269</w:t>
            </w:r>
          </w:p>
        </w:tc>
        <w:tc>
          <w:tcPr>
            <w:tcW w:w="665" w:type="pct"/>
            <w:tcBorders>
              <w:top w:val="single" w:sz="4" w:space="0" w:color="FFFFFF" w:themeColor="background1"/>
              <w:bottom w:val="single" w:sz="4" w:space="0" w:color="FFFFFF" w:themeColor="background1"/>
            </w:tcBorders>
            <w:shd w:val="clear" w:color="auto" w:fill="BFBFBF"/>
          </w:tcPr>
          <w:p w14:paraId="51F08D26" w14:textId="4B666B9F" w:rsidR="00CC019F" w:rsidRPr="005C7BFB" w:rsidRDefault="00CC019F">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7,9</w:t>
            </w:r>
            <w:r w:rsidR="002D0266">
              <w:rPr>
                <w:u w:val="single"/>
              </w:rPr>
              <w:t>79</w:t>
            </w:r>
          </w:p>
        </w:tc>
      </w:tr>
    </w:tbl>
    <w:p w14:paraId="539852CF" w14:textId="77777777" w:rsidR="00DF1795" w:rsidRDefault="00DF1795" w:rsidP="00DF1795">
      <w:pPr>
        <w:pStyle w:val="Whitespace"/>
      </w:pPr>
    </w:p>
    <w:p w14:paraId="15ADB69A" w14:textId="333B9BE3" w:rsidR="0006518F" w:rsidRDefault="00DF1795" w:rsidP="00DF1795">
      <w:pPr>
        <w:pStyle w:val="BodyText"/>
        <w:sectPr w:rsidR="0006518F" w:rsidSect="00222C74">
          <w:footerReference w:type="default" r:id="rId47"/>
          <w:footerReference w:type="first" r:id="rId48"/>
          <w:endnotePr>
            <w:numFmt w:val="decimal"/>
          </w:endnotePr>
          <w:pgSz w:w="11906" w:h="16838" w:code="9"/>
          <w:pgMar w:top="720" w:right="720" w:bottom="720" w:left="720" w:header="680" w:footer="680" w:gutter="0"/>
          <w:cols w:space="708"/>
          <w:docGrid w:linePitch="360"/>
        </w:sectPr>
      </w:pPr>
      <w:r w:rsidRPr="0040641E">
        <w:t>Explanations of major variances against the original 20</w:t>
      </w:r>
      <w:r w:rsidR="006A03F3">
        <w:t>19</w:t>
      </w:r>
      <w:r w:rsidRPr="0040641E">
        <w:t>/</w:t>
      </w:r>
      <w:r w:rsidR="006A03F3">
        <w:t>20</w:t>
      </w:r>
      <w:r w:rsidRPr="0040641E">
        <w:t xml:space="preserve"> budget are provided in </w:t>
      </w:r>
      <w:r w:rsidRPr="00980B5F">
        <w:t xml:space="preserve">Note </w:t>
      </w:r>
      <w:r w:rsidR="00BE5A31" w:rsidRPr="00980B5F">
        <w:t>1</w:t>
      </w:r>
      <w:r w:rsidR="00BE5A31">
        <w:t>7</w:t>
      </w:r>
      <w:r w:rsidRPr="00980B5F">
        <w:t>.</w:t>
      </w:r>
      <w:r w:rsidRPr="0040641E">
        <w:t xml:space="preserve"> </w:t>
      </w:r>
    </w:p>
    <w:p w14:paraId="4442FEE6" w14:textId="77777777" w:rsidR="00DF1795" w:rsidRPr="00E76CA6" w:rsidRDefault="00DF1795" w:rsidP="00DF1795">
      <w:pPr>
        <w:pStyle w:val="Heading2"/>
        <w:spacing w:after="240"/>
      </w:pPr>
      <w:bookmarkStart w:id="136" w:name="_Statement_of_commitments_1"/>
      <w:bookmarkStart w:id="137" w:name="_Ref54687272"/>
      <w:bookmarkEnd w:id="136"/>
      <w:r w:rsidRPr="00E76CA6">
        <w:t>Statement o</w:t>
      </w:r>
      <w:r>
        <w:t>f commitments as at 30 June 20</w:t>
      </w:r>
      <w:r w:rsidR="006A03F3">
        <w:t>20</w:t>
      </w:r>
      <w:bookmarkEnd w:id="137"/>
    </w:p>
    <w:p w14:paraId="593985EF" w14:textId="77777777" w:rsidR="00DF1795" w:rsidRPr="00E76CA6" w:rsidRDefault="00DF1795" w:rsidP="00DF1795">
      <w:pPr>
        <w:pStyle w:val="Heading3"/>
        <w:spacing w:before="240"/>
      </w:pPr>
      <w:r w:rsidRPr="00E76CA6">
        <w:t xml:space="preserve">Non-cancellable operating lease commitments </w:t>
      </w:r>
    </w:p>
    <w:p w14:paraId="0ED40D80" w14:textId="77777777" w:rsidR="00DF1795" w:rsidRPr="004B421B" w:rsidRDefault="00DF1795" w:rsidP="00DF1795">
      <w:pPr>
        <w:pStyle w:val="BodyText"/>
      </w:pPr>
      <w:r w:rsidRPr="004B421B">
        <w:t>The Office leases accommodation space and photocopiers as a normal part of its business in Auckland, Christchurch</w:t>
      </w:r>
      <w:r w:rsidR="001049F2">
        <w:t>,</w:t>
      </w:r>
      <w:r w:rsidRPr="004B421B">
        <w:t xml:space="preserve"> and Wellington. There are no operating or unusual restrictions placed on the Office by any of its leasing arrangements. </w:t>
      </w:r>
    </w:p>
    <w:p w14:paraId="78169BA6" w14:textId="59042C0C" w:rsidR="00DF1795" w:rsidRDefault="00DF1795" w:rsidP="00DF1795">
      <w:pPr>
        <w:pStyle w:val="BodyText"/>
      </w:pPr>
      <w:r w:rsidRPr="004B421B">
        <w:t>The agreements for the photocopiers have a non-cancellable period</w:t>
      </w:r>
      <w:r w:rsidR="00BE5A31">
        <w:t>,</w:t>
      </w:r>
      <w:r w:rsidRPr="004B421B">
        <w:t xml:space="preserve"> generally of </w:t>
      </w:r>
      <w:r>
        <w:t>five</w:t>
      </w:r>
      <w:r w:rsidRPr="004B421B">
        <w:t xml:space="preserve"> years. The accommodation leases are long-term and non-cancellable until expiry except if the premises become untenantable under the terms of the lease agreement. The annual lease payments are subject to three-yearly reviews. The amounts disclosed below as future commitments are based on the current rental rate for each of the leased premises. </w:t>
      </w:r>
    </w:p>
    <w:tbl>
      <w:tblPr>
        <w:tblStyle w:val="TableGridAnnualReport5"/>
        <w:tblW w:w="9299" w:type="dxa"/>
        <w:tblInd w:w="0" w:type="dxa"/>
        <w:tblLayout w:type="fixed"/>
        <w:tblLook w:val="0420" w:firstRow="1" w:lastRow="0" w:firstColumn="0" w:lastColumn="0" w:noHBand="0" w:noVBand="1"/>
        <w:tblCaption w:val="Non-cancellable operating lease commitments"/>
      </w:tblPr>
      <w:tblGrid>
        <w:gridCol w:w="1144"/>
        <w:gridCol w:w="6367"/>
        <w:gridCol w:w="1788"/>
      </w:tblGrid>
      <w:tr w:rsidR="00DF1795" w14:paraId="39516703" w14:textId="77777777" w:rsidTr="006A03F3">
        <w:trPr>
          <w:cnfStyle w:val="100000000000" w:firstRow="1" w:lastRow="0" w:firstColumn="0" w:lastColumn="0" w:oddVBand="0" w:evenVBand="0" w:oddHBand="0" w:evenHBand="0" w:firstRowFirstColumn="0" w:firstRowLastColumn="0" w:lastRowFirstColumn="0" w:lastRowLastColumn="0"/>
          <w:trHeight w:val="60"/>
        </w:trPr>
        <w:tc>
          <w:tcPr>
            <w:tcW w:w="1144" w:type="dxa"/>
            <w:hideMark/>
          </w:tcPr>
          <w:p w14:paraId="165E1955" w14:textId="77777777" w:rsidR="00DF1795" w:rsidRPr="004B421B" w:rsidRDefault="00DF1795" w:rsidP="006A03F3">
            <w:pPr>
              <w:pStyle w:val="Tableheadingrow1"/>
              <w:jc w:val="right"/>
            </w:pPr>
            <w:r w:rsidRPr="004B421B">
              <w:br w:type="page"/>
              <w:t>30/</w:t>
            </w:r>
            <w:r>
              <w:t>0</w:t>
            </w:r>
            <w:r w:rsidRPr="004B421B">
              <w:t>6/1</w:t>
            </w:r>
            <w:r w:rsidR="006A03F3">
              <w:t>9</w:t>
            </w:r>
            <w:r w:rsidRPr="004B421B">
              <w:br/>
              <w:t>Actual</w:t>
            </w:r>
            <w:r w:rsidRPr="004B421B">
              <w:br/>
              <w:t>$(000)</w:t>
            </w:r>
          </w:p>
        </w:tc>
        <w:tc>
          <w:tcPr>
            <w:tcW w:w="6367" w:type="dxa"/>
          </w:tcPr>
          <w:p w14:paraId="32FE8641" w14:textId="77777777" w:rsidR="00DF1795" w:rsidRPr="004B421B" w:rsidRDefault="00DF1795" w:rsidP="00506E02">
            <w:pPr>
              <w:pStyle w:val="Tableheadingrow1"/>
              <w:jc w:val="right"/>
            </w:pPr>
          </w:p>
        </w:tc>
        <w:tc>
          <w:tcPr>
            <w:tcW w:w="1788" w:type="dxa"/>
            <w:hideMark/>
          </w:tcPr>
          <w:p w14:paraId="6971442D" w14:textId="77777777" w:rsidR="00DF1795" w:rsidRPr="004B421B" w:rsidRDefault="00DF1795" w:rsidP="006A03F3">
            <w:pPr>
              <w:pStyle w:val="Tableheadingrow1"/>
              <w:jc w:val="right"/>
            </w:pPr>
            <w:r w:rsidRPr="004B421B">
              <w:t>30/</w:t>
            </w:r>
            <w:r>
              <w:t>0</w:t>
            </w:r>
            <w:r w:rsidRPr="004B421B">
              <w:t>6/</w:t>
            </w:r>
            <w:r w:rsidR="006A03F3">
              <w:t>20</w:t>
            </w:r>
            <w:r w:rsidRPr="004B421B">
              <w:br/>
              <w:t>Actual</w:t>
            </w:r>
            <w:r w:rsidRPr="004B421B">
              <w:br/>
              <w:t>$(000)</w:t>
            </w:r>
          </w:p>
        </w:tc>
      </w:tr>
      <w:tr w:rsidR="00DF1795" w14:paraId="044816FE" w14:textId="77777777" w:rsidTr="006A03F3">
        <w:trPr>
          <w:cnfStyle w:val="000000100000" w:firstRow="0" w:lastRow="0" w:firstColumn="0" w:lastColumn="0" w:oddVBand="0" w:evenVBand="0" w:oddHBand="1" w:evenHBand="0" w:firstRowFirstColumn="0" w:firstRowLastColumn="0" w:lastRowFirstColumn="0" w:lastRowLastColumn="0"/>
          <w:trHeight w:val="60"/>
        </w:trPr>
        <w:tc>
          <w:tcPr>
            <w:tcW w:w="1144" w:type="dxa"/>
            <w:shd w:val="clear" w:color="auto" w:fill="BFBFBF"/>
          </w:tcPr>
          <w:p w14:paraId="02E9B0D1" w14:textId="77777777" w:rsidR="00DF1795" w:rsidRPr="004B421B" w:rsidRDefault="00DF1795" w:rsidP="00506E02">
            <w:pPr>
              <w:pStyle w:val="Tablebodytextnospaceafter"/>
            </w:pPr>
          </w:p>
        </w:tc>
        <w:tc>
          <w:tcPr>
            <w:tcW w:w="6367" w:type="dxa"/>
            <w:shd w:val="clear" w:color="auto" w:fill="BFBFBF"/>
            <w:hideMark/>
          </w:tcPr>
          <w:p w14:paraId="5A30E36B" w14:textId="77777777" w:rsidR="00DF1795" w:rsidRPr="004B421B" w:rsidRDefault="00DF1795" w:rsidP="00506E02">
            <w:pPr>
              <w:pStyle w:val="Tablebodytextnospaceafter"/>
            </w:pPr>
            <w:r w:rsidRPr="004B421B">
              <w:t>Non-cancellable operating lease commitments</w:t>
            </w:r>
          </w:p>
        </w:tc>
        <w:tc>
          <w:tcPr>
            <w:tcW w:w="1788" w:type="dxa"/>
            <w:tcBorders>
              <w:bottom w:val="single" w:sz="2" w:space="0" w:color="FFFFFF" w:themeColor="background1"/>
            </w:tcBorders>
            <w:shd w:val="clear" w:color="auto" w:fill="BFBFBF"/>
          </w:tcPr>
          <w:p w14:paraId="20916122" w14:textId="77777777" w:rsidR="00DF1795" w:rsidRPr="004B421B" w:rsidRDefault="00DF1795" w:rsidP="00506E02">
            <w:pPr>
              <w:pStyle w:val="Tablebodytextnospaceafter"/>
            </w:pPr>
          </w:p>
        </w:tc>
      </w:tr>
      <w:tr w:rsidR="006A03F3" w:rsidRPr="00797C71" w14:paraId="63EFD084" w14:textId="77777777" w:rsidTr="006A03F3">
        <w:trPr>
          <w:cnfStyle w:val="000000010000" w:firstRow="0" w:lastRow="0" w:firstColumn="0" w:lastColumn="0" w:oddVBand="0" w:evenVBand="0" w:oddHBand="0" w:evenHBand="1" w:firstRowFirstColumn="0" w:firstRowLastColumn="0" w:lastRowFirstColumn="0" w:lastRowLastColumn="0"/>
          <w:trHeight w:val="60"/>
        </w:trPr>
        <w:tc>
          <w:tcPr>
            <w:tcW w:w="1144" w:type="dxa"/>
          </w:tcPr>
          <w:p w14:paraId="5CA6C63E" w14:textId="77777777" w:rsidR="006A03F3" w:rsidRPr="00797C71" w:rsidRDefault="006A03F3" w:rsidP="006A03F3">
            <w:pPr>
              <w:pStyle w:val="Tablebodytextnospaceafter"/>
              <w:jc w:val="right"/>
            </w:pPr>
            <w:r w:rsidRPr="00797C71">
              <w:t>1,418</w:t>
            </w:r>
          </w:p>
        </w:tc>
        <w:tc>
          <w:tcPr>
            <w:tcW w:w="6367" w:type="dxa"/>
            <w:hideMark/>
          </w:tcPr>
          <w:p w14:paraId="05102CAB" w14:textId="77777777" w:rsidR="006A03F3" w:rsidRPr="00797C71" w:rsidRDefault="006A03F3" w:rsidP="006A03F3">
            <w:pPr>
              <w:pStyle w:val="Tablebodytextnospaceafter"/>
            </w:pPr>
            <w:r w:rsidRPr="00797C71">
              <w:t>Less than one year</w:t>
            </w:r>
          </w:p>
        </w:tc>
        <w:tc>
          <w:tcPr>
            <w:tcW w:w="1788" w:type="dxa"/>
          </w:tcPr>
          <w:p w14:paraId="588E3E10" w14:textId="77777777" w:rsidR="006A03F3" w:rsidRPr="00472133" w:rsidRDefault="00472133" w:rsidP="006A03F3">
            <w:pPr>
              <w:pStyle w:val="Tablebodytextnospaceafter"/>
              <w:jc w:val="right"/>
              <w:rPr>
                <w:b/>
              </w:rPr>
            </w:pPr>
            <w:r w:rsidRPr="00472133">
              <w:rPr>
                <w:b/>
              </w:rPr>
              <w:t>1,452</w:t>
            </w:r>
          </w:p>
        </w:tc>
      </w:tr>
      <w:tr w:rsidR="006A03F3" w:rsidRPr="00797C71" w14:paraId="2114F08B" w14:textId="77777777" w:rsidTr="006A03F3">
        <w:trPr>
          <w:cnfStyle w:val="000000100000" w:firstRow="0" w:lastRow="0" w:firstColumn="0" w:lastColumn="0" w:oddVBand="0" w:evenVBand="0" w:oddHBand="1" w:evenHBand="0" w:firstRowFirstColumn="0" w:firstRowLastColumn="0" w:lastRowFirstColumn="0" w:lastRowLastColumn="0"/>
          <w:trHeight w:val="60"/>
        </w:trPr>
        <w:tc>
          <w:tcPr>
            <w:tcW w:w="1144" w:type="dxa"/>
          </w:tcPr>
          <w:p w14:paraId="021F3697" w14:textId="77777777" w:rsidR="006A03F3" w:rsidRPr="00797C71" w:rsidRDefault="006A03F3" w:rsidP="006A03F3">
            <w:pPr>
              <w:pStyle w:val="Tablebodytextnospaceafter"/>
              <w:jc w:val="right"/>
            </w:pPr>
            <w:r w:rsidRPr="00797C71">
              <w:t>1,418</w:t>
            </w:r>
          </w:p>
        </w:tc>
        <w:tc>
          <w:tcPr>
            <w:tcW w:w="6367" w:type="dxa"/>
            <w:hideMark/>
          </w:tcPr>
          <w:p w14:paraId="027E0225" w14:textId="77777777" w:rsidR="006A03F3" w:rsidRPr="00797C71" w:rsidRDefault="006A03F3" w:rsidP="006A03F3">
            <w:pPr>
              <w:pStyle w:val="Tablebodytextnospaceafter"/>
            </w:pPr>
            <w:r w:rsidRPr="00797C71">
              <w:t>One to two years</w:t>
            </w:r>
          </w:p>
        </w:tc>
        <w:tc>
          <w:tcPr>
            <w:tcW w:w="1788" w:type="dxa"/>
          </w:tcPr>
          <w:p w14:paraId="3724FD44" w14:textId="77777777" w:rsidR="006A03F3" w:rsidRPr="00472133" w:rsidRDefault="00472133" w:rsidP="006A03F3">
            <w:pPr>
              <w:pStyle w:val="Tablebodytextnospaceafter"/>
              <w:jc w:val="right"/>
              <w:rPr>
                <w:b/>
              </w:rPr>
            </w:pPr>
            <w:r w:rsidRPr="00472133">
              <w:rPr>
                <w:b/>
              </w:rPr>
              <w:t>1,452</w:t>
            </w:r>
          </w:p>
        </w:tc>
      </w:tr>
      <w:tr w:rsidR="006A03F3" w:rsidRPr="00797C71" w14:paraId="5D220D11" w14:textId="77777777" w:rsidTr="006A03F3">
        <w:trPr>
          <w:cnfStyle w:val="000000010000" w:firstRow="0" w:lastRow="0" w:firstColumn="0" w:lastColumn="0" w:oddVBand="0" w:evenVBand="0" w:oddHBand="0" w:evenHBand="1" w:firstRowFirstColumn="0" w:firstRowLastColumn="0" w:lastRowFirstColumn="0" w:lastRowLastColumn="0"/>
          <w:trHeight w:val="60"/>
        </w:trPr>
        <w:tc>
          <w:tcPr>
            <w:tcW w:w="1144" w:type="dxa"/>
          </w:tcPr>
          <w:p w14:paraId="3B5CC456" w14:textId="77777777" w:rsidR="006A03F3" w:rsidRPr="00797C71" w:rsidRDefault="006A03F3" w:rsidP="006A03F3">
            <w:pPr>
              <w:pStyle w:val="Tablebodytextnospaceafter"/>
              <w:jc w:val="right"/>
            </w:pPr>
            <w:r w:rsidRPr="00797C71">
              <w:t>3,298</w:t>
            </w:r>
          </w:p>
        </w:tc>
        <w:tc>
          <w:tcPr>
            <w:tcW w:w="6367" w:type="dxa"/>
            <w:hideMark/>
          </w:tcPr>
          <w:p w14:paraId="70E4E7CA" w14:textId="77777777" w:rsidR="006A03F3" w:rsidRPr="00797C71" w:rsidRDefault="006A03F3" w:rsidP="006A03F3">
            <w:pPr>
              <w:pStyle w:val="Tablebodytextnospaceafter"/>
            </w:pPr>
            <w:r w:rsidRPr="00797C71">
              <w:t>Two to five years</w:t>
            </w:r>
          </w:p>
        </w:tc>
        <w:tc>
          <w:tcPr>
            <w:tcW w:w="1788" w:type="dxa"/>
          </w:tcPr>
          <w:p w14:paraId="189D1457" w14:textId="77777777" w:rsidR="006A03F3" w:rsidRPr="00472133" w:rsidRDefault="00042340" w:rsidP="006A03F3">
            <w:pPr>
              <w:pStyle w:val="Tablebodytextnospaceafter"/>
              <w:jc w:val="right"/>
              <w:rPr>
                <w:b/>
              </w:rPr>
            </w:pPr>
            <w:r>
              <w:rPr>
                <w:b/>
              </w:rPr>
              <w:t>2,838</w:t>
            </w:r>
          </w:p>
        </w:tc>
      </w:tr>
      <w:tr w:rsidR="006A03F3" w14:paraId="21301EC1" w14:textId="77777777" w:rsidTr="006A03F3">
        <w:trPr>
          <w:cnfStyle w:val="000000100000" w:firstRow="0" w:lastRow="0" w:firstColumn="0" w:lastColumn="0" w:oddVBand="0" w:evenVBand="0" w:oddHBand="1" w:evenHBand="0" w:firstRowFirstColumn="0" w:firstRowLastColumn="0" w:lastRowFirstColumn="0" w:lastRowLastColumn="0"/>
          <w:trHeight w:val="60"/>
        </w:trPr>
        <w:tc>
          <w:tcPr>
            <w:tcW w:w="1144" w:type="dxa"/>
          </w:tcPr>
          <w:p w14:paraId="7E5C3F9B" w14:textId="77777777" w:rsidR="006A03F3" w:rsidRPr="00797C71" w:rsidRDefault="006A03F3" w:rsidP="006A03F3">
            <w:pPr>
              <w:pStyle w:val="Tablebodytextnospaceafter"/>
              <w:jc w:val="right"/>
              <w:rPr>
                <w:highlight w:val="red"/>
              </w:rPr>
            </w:pPr>
            <w:r w:rsidRPr="00797C71">
              <w:t>2,137</w:t>
            </w:r>
          </w:p>
        </w:tc>
        <w:tc>
          <w:tcPr>
            <w:tcW w:w="6367" w:type="dxa"/>
            <w:hideMark/>
          </w:tcPr>
          <w:p w14:paraId="340115DF" w14:textId="77777777" w:rsidR="006A03F3" w:rsidRPr="004B421B" w:rsidRDefault="006A03F3" w:rsidP="006A03F3">
            <w:pPr>
              <w:pStyle w:val="Tablebodytextnospaceafter"/>
            </w:pPr>
            <w:r w:rsidRPr="004B421B">
              <w:t>More than five years</w:t>
            </w:r>
          </w:p>
        </w:tc>
        <w:tc>
          <w:tcPr>
            <w:tcW w:w="1788" w:type="dxa"/>
            <w:tcBorders>
              <w:bottom w:val="single" w:sz="2" w:space="0" w:color="FFFFFF" w:themeColor="background1"/>
            </w:tcBorders>
          </w:tcPr>
          <w:p w14:paraId="28B0C988" w14:textId="77777777" w:rsidR="006A03F3" w:rsidRPr="00526B47" w:rsidRDefault="00472133" w:rsidP="006A03F3">
            <w:pPr>
              <w:pStyle w:val="Tablebodytextnospaceafter"/>
              <w:jc w:val="right"/>
              <w:rPr>
                <w:rStyle w:val="Emphasis"/>
              </w:rPr>
            </w:pPr>
            <w:r>
              <w:rPr>
                <w:rStyle w:val="Emphasis"/>
              </w:rPr>
              <w:t>1,243</w:t>
            </w:r>
          </w:p>
        </w:tc>
      </w:tr>
      <w:tr w:rsidR="006A03F3" w14:paraId="1F1A0D31" w14:textId="77777777" w:rsidTr="006A03F3">
        <w:trPr>
          <w:cnfStyle w:val="000000010000" w:firstRow="0" w:lastRow="0" w:firstColumn="0" w:lastColumn="0" w:oddVBand="0" w:evenVBand="0" w:oddHBand="0" w:evenHBand="1" w:firstRowFirstColumn="0" w:firstRowLastColumn="0" w:lastRowFirstColumn="0" w:lastRowLastColumn="0"/>
          <w:trHeight w:val="60"/>
        </w:trPr>
        <w:tc>
          <w:tcPr>
            <w:tcW w:w="1144" w:type="dxa"/>
            <w:shd w:val="clear" w:color="auto" w:fill="BFBFBF"/>
          </w:tcPr>
          <w:p w14:paraId="4E189C5E" w14:textId="77777777" w:rsidR="006A03F3" w:rsidRPr="00EE0D67" w:rsidRDefault="006A03F3" w:rsidP="006A03F3">
            <w:pPr>
              <w:pStyle w:val="Tablebodytextnospaceafter"/>
              <w:jc w:val="right"/>
              <w:rPr>
                <w:highlight w:val="red"/>
              </w:rPr>
            </w:pPr>
            <w:r>
              <w:rPr>
                <w:rStyle w:val="Emphasis"/>
              </w:rPr>
              <w:t>8,271</w:t>
            </w:r>
          </w:p>
        </w:tc>
        <w:tc>
          <w:tcPr>
            <w:tcW w:w="6367" w:type="dxa"/>
            <w:shd w:val="clear" w:color="auto" w:fill="BFBFBF"/>
            <w:hideMark/>
          </w:tcPr>
          <w:p w14:paraId="21339C37" w14:textId="77777777" w:rsidR="006A03F3" w:rsidRPr="00D6653D" w:rsidRDefault="006A03F3" w:rsidP="006A03F3">
            <w:pPr>
              <w:pStyle w:val="Tablebodytextnospaceafter"/>
              <w:rPr>
                <w:rStyle w:val="Emphasis"/>
              </w:rPr>
            </w:pPr>
            <w:r w:rsidRPr="00D6653D">
              <w:rPr>
                <w:rStyle w:val="Emphasis"/>
              </w:rPr>
              <w:t>Total non-cancellable operating lease commitments</w:t>
            </w:r>
          </w:p>
        </w:tc>
        <w:tc>
          <w:tcPr>
            <w:tcW w:w="1788" w:type="dxa"/>
            <w:shd w:val="clear" w:color="auto" w:fill="BFBFBF"/>
          </w:tcPr>
          <w:p w14:paraId="53FCAA31" w14:textId="10D8273D" w:rsidR="006A03F3" w:rsidRPr="00526B47" w:rsidRDefault="00042340">
            <w:pPr>
              <w:pStyle w:val="Tablebodytextnospaceafter"/>
              <w:jc w:val="right"/>
              <w:rPr>
                <w:rStyle w:val="Emphasis"/>
              </w:rPr>
            </w:pPr>
            <w:r>
              <w:rPr>
                <w:rStyle w:val="Emphasis"/>
              </w:rPr>
              <w:t>6,98</w:t>
            </w:r>
            <w:r w:rsidR="00C15277">
              <w:rPr>
                <w:rStyle w:val="Emphasis"/>
              </w:rPr>
              <w:t>5</w:t>
            </w:r>
          </w:p>
        </w:tc>
        <w:bookmarkStart w:id="138" w:name="TMB253904771"/>
        <w:bookmarkEnd w:id="138"/>
      </w:tr>
    </w:tbl>
    <w:p w14:paraId="4578E026" w14:textId="77777777" w:rsidR="00DF1795" w:rsidRDefault="00DF1795" w:rsidP="00DF1795">
      <w:pPr>
        <w:pStyle w:val="BodyText"/>
      </w:pPr>
      <w:r>
        <w:t xml:space="preserve">I am </w:t>
      </w:r>
      <w:r w:rsidRPr="00BE4BB3">
        <w:t xml:space="preserve">not a party to any other lease agreements. </w:t>
      </w:r>
    </w:p>
    <w:p w14:paraId="493BF95B" w14:textId="77777777" w:rsidR="00DF1795" w:rsidRPr="007E1C22" w:rsidRDefault="00DF1795" w:rsidP="00DF1795">
      <w:pPr>
        <w:pStyle w:val="Heading3"/>
      </w:pPr>
      <w:r w:rsidRPr="007E1C22">
        <w:t>Capital commitments</w:t>
      </w:r>
    </w:p>
    <w:p w14:paraId="1CD9F2F3" w14:textId="4F66057C" w:rsidR="00DF1795" w:rsidRDefault="00DF1795" w:rsidP="00DF1795">
      <w:pPr>
        <w:pStyle w:val="BodyText"/>
      </w:pPr>
      <w:r>
        <w:t xml:space="preserve">I have </w:t>
      </w:r>
      <w:r w:rsidRPr="009045B6">
        <w:t>no capital commitments</w:t>
      </w:r>
      <w:r>
        <w:t xml:space="preserve"> as at 30 June 20</w:t>
      </w:r>
      <w:r w:rsidR="006A03F3">
        <w:t>20</w:t>
      </w:r>
      <w:r>
        <w:t xml:space="preserve"> (201</w:t>
      </w:r>
      <w:r w:rsidR="006A03F3">
        <w:t>9</w:t>
      </w:r>
      <w:r w:rsidR="00FC1F73">
        <w:t xml:space="preserve"> $0</w:t>
      </w:r>
      <w:r>
        <w:t xml:space="preserve"> million</w:t>
      </w:r>
      <w:r w:rsidRPr="007E1C22">
        <w:t>).</w:t>
      </w:r>
    </w:p>
    <w:p w14:paraId="704A146A" w14:textId="77777777" w:rsidR="00DF1795" w:rsidRPr="007E1C22" w:rsidRDefault="00DF1795" w:rsidP="00DF1795">
      <w:pPr>
        <w:pStyle w:val="Heading2"/>
      </w:pPr>
      <w:bookmarkStart w:id="139" w:name="_Statement_of_contingent_1"/>
      <w:bookmarkStart w:id="140" w:name="_Ref54687283"/>
      <w:bookmarkEnd w:id="139"/>
      <w:r w:rsidRPr="007E1C22">
        <w:t>Statement of contingent liabilities and cont</w:t>
      </w:r>
      <w:r>
        <w:t>ingent assets as at 30 June 20</w:t>
      </w:r>
      <w:r w:rsidR="006A03F3">
        <w:t>20</w:t>
      </w:r>
      <w:bookmarkEnd w:id="140"/>
    </w:p>
    <w:p w14:paraId="64FE12ED" w14:textId="77777777" w:rsidR="00DF1795" w:rsidRPr="007E1C22" w:rsidRDefault="00FF557F" w:rsidP="00DF1795">
      <w:pPr>
        <w:pStyle w:val="Heading3"/>
      </w:pPr>
      <w:r>
        <w:t xml:space="preserve">Unquantifiable </w:t>
      </w:r>
      <w:r w:rsidR="00DF1795">
        <w:t>C</w:t>
      </w:r>
      <w:r w:rsidR="00DF1795" w:rsidRPr="007E1C22">
        <w:t>ontingent liabilities</w:t>
      </w:r>
    </w:p>
    <w:p w14:paraId="02290803" w14:textId="77777777" w:rsidR="00DF1795" w:rsidRPr="00880468" w:rsidRDefault="00DF1795" w:rsidP="00DF1795">
      <w:pPr>
        <w:rPr>
          <w:rFonts w:asciiTheme="minorHAnsi" w:hAnsiTheme="minorHAnsi" w:cstheme="minorHAnsi"/>
        </w:rPr>
      </w:pPr>
      <w:r w:rsidRPr="004B421B">
        <w:t>As at 30 June 20</w:t>
      </w:r>
      <w:r w:rsidR="006A03F3">
        <w:t>20</w:t>
      </w:r>
      <w:r w:rsidRPr="004B421B">
        <w:t xml:space="preserve"> the Office </w:t>
      </w:r>
      <w:r w:rsidRPr="008F6657">
        <w:t xml:space="preserve">has </w:t>
      </w:r>
      <w:r w:rsidR="00B859A3">
        <w:rPr>
          <w:rFonts w:asciiTheme="minorHAnsi" w:hAnsiTheme="minorHAnsi" w:cstheme="minorHAnsi"/>
        </w:rPr>
        <w:t xml:space="preserve">one unquantifiable </w:t>
      </w:r>
      <w:r w:rsidRPr="00880468">
        <w:rPr>
          <w:rFonts w:asciiTheme="minorHAnsi" w:hAnsiTheme="minorHAnsi" w:cstheme="minorHAnsi"/>
        </w:rPr>
        <w:t>contingent liabilit</w:t>
      </w:r>
      <w:r w:rsidR="00B859A3">
        <w:rPr>
          <w:rFonts w:asciiTheme="minorHAnsi" w:hAnsiTheme="minorHAnsi" w:cstheme="minorHAnsi"/>
        </w:rPr>
        <w:t xml:space="preserve">y, </w:t>
      </w:r>
      <w:r w:rsidRPr="00880468">
        <w:rPr>
          <w:rFonts w:asciiTheme="minorHAnsi" w:hAnsiTheme="minorHAnsi" w:cstheme="minorHAnsi"/>
        </w:rPr>
        <w:t xml:space="preserve">as detailed below: </w:t>
      </w:r>
    </w:p>
    <w:p w14:paraId="7B24FC81" w14:textId="77777777" w:rsidR="00FC1F73" w:rsidRDefault="00DF1795" w:rsidP="002733A7">
      <w:pPr>
        <w:pStyle w:val="BodyText"/>
      </w:pPr>
      <w:r w:rsidRPr="00FF557F">
        <w:t xml:space="preserve">The </w:t>
      </w:r>
      <w:r w:rsidR="00FF557F">
        <w:t xml:space="preserve">Office is disputing the use of its brand by another organisation. Lawyers have been engaged; however, no challenge has been made as of yet. There is a possibility that costs could be awarded against the Office should any claim be unsuccessful. </w:t>
      </w:r>
      <w:r w:rsidR="00B859A3">
        <w:t>Part of the cost, estimated at $1</w:t>
      </w:r>
      <w:r w:rsidR="007E1F5D">
        <w:t>92</w:t>
      </w:r>
      <w:r w:rsidR="00B859A3">
        <w:t>,000, has been quantified; however, there are costs that remain unquantifiable.</w:t>
      </w:r>
    </w:p>
    <w:p w14:paraId="54F7E184" w14:textId="77777777" w:rsidR="00FF557F" w:rsidRDefault="00FF557F" w:rsidP="00FF557F">
      <w:pPr>
        <w:pStyle w:val="Number1"/>
        <w:numPr>
          <w:ilvl w:val="0"/>
          <w:numId w:val="0"/>
        </w:numPr>
        <w:ind w:left="567" w:hanging="567"/>
      </w:pPr>
      <w:r>
        <w:t>(As at 30 June 2019 the Office had three unquantifiable contingent liabilities).</w:t>
      </w:r>
    </w:p>
    <w:p w14:paraId="44937113" w14:textId="77777777" w:rsidR="00FF557F" w:rsidRDefault="00FF557F" w:rsidP="00FF557F">
      <w:pPr>
        <w:pStyle w:val="Heading3"/>
      </w:pPr>
      <w:r>
        <w:t>Quantifiable Contingent Liabilities</w:t>
      </w:r>
    </w:p>
    <w:p w14:paraId="6765C3DC" w14:textId="77777777" w:rsidR="00B859A3" w:rsidRDefault="00B859A3" w:rsidP="002733A7">
      <w:pPr>
        <w:pStyle w:val="Number1"/>
        <w:numPr>
          <w:ilvl w:val="0"/>
          <w:numId w:val="0"/>
        </w:numPr>
        <w:ind w:left="567" w:hanging="567"/>
      </w:pPr>
      <w:r>
        <w:t>As at 30 June 2020, the Office has one quantifiable contingent liability, as detailed below:</w:t>
      </w:r>
    </w:p>
    <w:p w14:paraId="4617C695" w14:textId="77777777" w:rsidR="00B859A3" w:rsidRDefault="00B859A3">
      <w:pPr>
        <w:pStyle w:val="BodyText"/>
      </w:pPr>
      <w:r w:rsidRPr="00FC1F73">
        <w:t xml:space="preserve">The </w:t>
      </w:r>
      <w:r>
        <w:t>relevant party is Financial Services Complaints Ltd. The nature of the item is the potential costs associated with proceedings initiated by the relevant party in relation to the exercise of a statutory discretion. The Chief Ombudsman has sent his final decision, however the relevant party is yet to respond. Quantifiable costs are estimated at $120,000.</w:t>
      </w:r>
    </w:p>
    <w:p w14:paraId="192A1F0B" w14:textId="77777777" w:rsidR="00FF557F" w:rsidRPr="004B421B" w:rsidRDefault="00B859A3" w:rsidP="00FF557F">
      <w:pPr>
        <w:pStyle w:val="BodyText"/>
      </w:pPr>
      <w:r>
        <w:t>(As at 30 June 2020, the Office had no quantifiable contingent liabilities).</w:t>
      </w:r>
    </w:p>
    <w:p w14:paraId="7FF5A576" w14:textId="77777777" w:rsidR="00FF557F" w:rsidRPr="004B421B" w:rsidRDefault="00FF557F" w:rsidP="00FF557F">
      <w:pPr>
        <w:pStyle w:val="Heading3"/>
      </w:pPr>
      <w:r>
        <w:t>Unquantified Contingent A</w:t>
      </w:r>
      <w:r w:rsidRPr="004B421B">
        <w:t>ssets</w:t>
      </w:r>
    </w:p>
    <w:p w14:paraId="0DD9901D" w14:textId="77777777" w:rsidR="00FF557F" w:rsidRPr="004B421B" w:rsidRDefault="00FF557F" w:rsidP="00FF557F">
      <w:pPr>
        <w:pStyle w:val="BodyText"/>
      </w:pPr>
      <w:r w:rsidRPr="004B421B">
        <w:t>As at 30 June 20</w:t>
      </w:r>
      <w:r>
        <w:t>20</w:t>
      </w:r>
      <w:r w:rsidRPr="005213AA">
        <w:t>,</w:t>
      </w:r>
      <w:r w:rsidRPr="004B421B">
        <w:t xml:space="preserve"> </w:t>
      </w:r>
      <w:r w:rsidRPr="00F06F4E">
        <w:t>the Office</w:t>
      </w:r>
      <w:r w:rsidRPr="004B421B">
        <w:t xml:space="preserve"> </w:t>
      </w:r>
      <w:r w:rsidRPr="005671F7">
        <w:t>does not have</w:t>
      </w:r>
      <w:r w:rsidRPr="004B421B">
        <w:t xml:space="preserve"> any </w:t>
      </w:r>
      <w:r>
        <w:t>unquantifiable</w:t>
      </w:r>
      <w:r w:rsidRPr="004B421B">
        <w:t xml:space="preserve"> contingent assets (201</w:t>
      </w:r>
      <w:r>
        <w:t>9</w:t>
      </w:r>
      <w:r w:rsidRPr="004B421B">
        <w:t xml:space="preserve"> Nil).</w:t>
      </w:r>
    </w:p>
    <w:p w14:paraId="6E7A5FE8" w14:textId="77777777" w:rsidR="00DF1795" w:rsidRPr="004B421B" w:rsidRDefault="00FF557F" w:rsidP="00DF1795">
      <w:pPr>
        <w:pStyle w:val="Heading3"/>
      </w:pPr>
      <w:r>
        <w:t xml:space="preserve">Quantified </w:t>
      </w:r>
      <w:r w:rsidR="00DF1795">
        <w:t>C</w:t>
      </w:r>
      <w:r>
        <w:t>ontingent A</w:t>
      </w:r>
      <w:r w:rsidR="00DF1795" w:rsidRPr="004B421B">
        <w:t>ssets</w:t>
      </w:r>
    </w:p>
    <w:p w14:paraId="67BE2A09" w14:textId="77777777" w:rsidR="00DF1795" w:rsidRPr="004B421B" w:rsidRDefault="00DF1795" w:rsidP="00DF1795">
      <w:pPr>
        <w:pStyle w:val="BodyText"/>
      </w:pPr>
      <w:r w:rsidRPr="004B421B">
        <w:t>As at 30 June 20</w:t>
      </w:r>
      <w:r w:rsidR="006A03F3">
        <w:t>20</w:t>
      </w:r>
      <w:r w:rsidR="00F15331" w:rsidRPr="005213AA">
        <w:t>,</w:t>
      </w:r>
      <w:r w:rsidRPr="004B421B">
        <w:t xml:space="preserve"> </w:t>
      </w:r>
      <w:r w:rsidRPr="00F06F4E">
        <w:t>the Office</w:t>
      </w:r>
      <w:r w:rsidRPr="004B421B">
        <w:t xml:space="preserve"> </w:t>
      </w:r>
      <w:r w:rsidRPr="005671F7">
        <w:t>does not have</w:t>
      </w:r>
      <w:r w:rsidRPr="004B421B">
        <w:t xml:space="preserve"> any </w:t>
      </w:r>
      <w:r>
        <w:t>quantifiable</w:t>
      </w:r>
      <w:r w:rsidRPr="004B421B">
        <w:t xml:space="preserve"> contingent assets (201</w:t>
      </w:r>
      <w:r w:rsidR="006A03F3">
        <w:t>9</w:t>
      </w:r>
      <w:r w:rsidRPr="004B421B">
        <w:t xml:space="preserve"> Nil).</w:t>
      </w:r>
    </w:p>
    <w:p w14:paraId="055F84B3" w14:textId="77777777" w:rsidR="00DF1795" w:rsidRDefault="00DF1795" w:rsidP="00DF1795">
      <w:pPr>
        <w:pStyle w:val="BodyText"/>
      </w:pPr>
      <w:r>
        <w:br w:type="page"/>
      </w:r>
    </w:p>
    <w:p w14:paraId="3C7269F2" w14:textId="77777777" w:rsidR="00DF1795" w:rsidRPr="007E1C22" w:rsidRDefault="00DF1795" w:rsidP="00DF1795">
      <w:pPr>
        <w:pStyle w:val="Heading2"/>
        <w:spacing w:after="240"/>
      </w:pPr>
      <w:bookmarkStart w:id="141" w:name="_Notes_to_the_1"/>
      <w:bookmarkStart w:id="142" w:name="_Ref54687287"/>
      <w:bookmarkEnd w:id="141"/>
      <w:r w:rsidRPr="007E1C22">
        <w:t>Notes to the financial statements</w:t>
      </w:r>
      <w:bookmarkEnd w:id="142"/>
    </w:p>
    <w:p w14:paraId="0C57351F" w14:textId="77777777" w:rsidR="00D315BD" w:rsidRDefault="00D315BD" w:rsidP="00DF1795">
      <w:pPr>
        <w:pStyle w:val="Heading3"/>
        <w:spacing w:before="240" w:after="240"/>
      </w:pPr>
      <w:r>
        <w:t>1. COVID</w:t>
      </w:r>
      <w:r w:rsidR="00C136FB">
        <w:t>-19</w:t>
      </w:r>
      <w:r>
        <w:t xml:space="preserve"> disclosure</w:t>
      </w:r>
    </w:p>
    <w:p w14:paraId="089D8F53" w14:textId="17ED33FA" w:rsidR="00D315BD" w:rsidRPr="00D315BD" w:rsidRDefault="0013510E" w:rsidP="00D315BD">
      <w:pPr>
        <w:pStyle w:val="BodyText"/>
      </w:pPr>
      <w:r>
        <w:t xml:space="preserve">As the Office’s main source of income is </w:t>
      </w:r>
      <w:r w:rsidR="00103EA0">
        <w:t xml:space="preserve">appropriated as Vote </w:t>
      </w:r>
      <w:r w:rsidR="00D9516F">
        <w:t xml:space="preserve">Ombudsmen </w:t>
      </w:r>
      <w:r w:rsidR="00103EA0">
        <w:t xml:space="preserve">from </w:t>
      </w:r>
      <w:r w:rsidR="00DD6043">
        <w:t>Parliament</w:t>
      </w:r>
      <w:r>
        <w:t>, our revenue stream was not imp</w:t>
      </w:r>
      <w:r w:rsidR="00103EA0">
        <w:t xml:space="preserve">acted by the COVID-19 pandemic and similarly, we did not incur significant financial costs. Therefore, </w:t>
      </w:r>
      <w:r>
        <w:t>there was no significant financial impact</w:t>
      </w:r>
      <w:r w:rsidR="002B483E">
        <w:t xml:space="preserve"> on disclosure</w:t>
      </w:r>
      <w:r>
        <w:t>.</w:t>
      </w:r>
    </w:p>
    <w:p w14:paraId="1F902B50" w14:textId="77777777" w:rsidR="00DF1795" w:rsidRPr="007E1C22" w:rsidRDefault="00D315BD" w:rsidP="00DF1795">
      <w:pPr>
        <w:pStyle w:val="Heading3"/>
        <w:spacing w:before="240" w:after="240"/>
      </w:pPr>
      <w:r>
        <w:t>2</w:t>
      </w:r>
      <w:r w:rsidR="00F15331" w:rsidRPr="005213AA">
        <w:t>.</w:t>
      </w:r>
      <w:r w:rsidR="00F15331">
        <w:t xml:space="preserve"> </w:t>
      </w:r>
      <w:r w:rsidR="00DF1795" w:rsidRPr="007E1C22">
        <w:t>Statement of accounting policies</w:t>
      </w:r>
      <w:r w:rsidR="00DF1795">
        <w:t xml:space="preserve"> for the year ended 30 June 20</w:t>
      </w:r>
      <w:r w:rsidR="006A03F3">
        <w:t>20</w:t>
      </w:r>
    </w:p>
    <w:p w14:paraId="78DA4C77" w14:textId="77777777" w:rsidR="00DF1795" w:rsidRPr="006C5C68" w:rsidRDefault="00DF1795" w:rsidP="00DF1795">
      <w:pPr>
        <w:pStyle w:val="Heading4"/>
        <w:spacing w:before="240"/>
      </w:pPr>
      <w:r w:rsidRPr="006C5C68">
        <w:t>Reporting entity</w:t>
      </w:r>
    </w:p>
    <w:p w14:paraId="69B4581B" w14:textId="77777777" w:rsidR="00DF1795" w:rsidRPr="006C5C68" w:rsidRDefault="00DF1795" w:rsidP="00DF1795">
      <w:pPr>
        <w:pStyle w:val="BodyText"/>
      </w:pPr>
      <w:r w:rsidRPr="006C5C68">
        <w:t>The Office of the Ombudsman is an Office of Parliament pursuant to the Public Finance Act 1989 and is domiciled in New Zealand.</w:t>
      </w:r>
    </w:p>
    <w:p w14:paraId="46A4ECC8" w14:textId="7484F072" w:rsidR="00DF1795" w:rsidRPr="006C5C68" w:rsidRDefault="00DF1795" w:rsidP="00DF1795">
      <w:pPr>
        <w:pStyle w:val="BodyText"/>
      </w:pPr>
      <w:r w:rsidRPr="006C5C68">
        <w:t>The primary purpose, functions</w:t>
      </w:r>
      <w:r w:rsidR="006A03F3">
        <w:t>,</w:t>
      </w:r>
      <w:r w:rsidRPr="006C5C68">
        <w:t xml:space="preserve"> and outcomes of the Office are discussed at </w:t>
      </w:r>
      <w:hyperlink w:anchor="_Background" w:history="1">
        <w:r w:rsidRPr="004B5531">
          <w:rPr>
            <w:rStyle w:val="Hyperlink"/>
          </w:rPr>
          <w:t>Part 3</w:t>
        </w:r>
      </w:hyperlink>
      <w:r w:rsidRPr="006C5C68">
        <w:t xml:space="preserve"> of this report. </w:t>
      </w:r>
      <w:r w:rsidRPr="00F06F4E">
        <w:t>The Office</w:t>
      </w:r>
      <w:r w:rsidRPr="006C5C68">
        <w:t xml:space="preserve"> provides services to the public rather than making a financial return. Accordingly, </w:t>
      </w:r>
      <w:r w:rsidRPr="00F06F4E">
        <w:t>the Office has designated itself</w:t>
      </w:r>
      <w:r w:rsidRPr="006C5C68">
        <w:t xml:space="preserve"> a public benefit entity (PBE) for financial reporting purposes.</w:t>
      </w:r>
    </w:p>
    <w:p w14:paraId="401CA0DA" w14:textId="62E7887D" w:rsidR="00DF1795" w:rsidRPr="006C5C68" w:rsidRDefault="00DF1795" w:rsidP="00DF1795">
      <w:pPr>
        <w:pStyle w:val="BodyText"/>
      </w:pPr>
      <w:r w:rsidRPr="006C5C68">
        <w:t xml:space="preserve">The financial statements of </w:t>
      </w:r>
      <w:r w:rsidRPr="00F06F4E">
        <w:t>the Office</w:t>
      </w:r>
      <w:r w:rsidRPr="006C5C68">
        <w:t xml:space="preserve"> are for the year ended 30 June 20</w:t>
      </w:r>
      <w:r w:rsidR="006A03F3">
        <w:t>20</w:t>
      </w:r>
      <w:r w:rsidRPr="006C5C68">
        <w:t xml:space="preserve">. The financial statements were authorised for distribution by the Chief Ombudsman on </w:t>
      </w:r>
      <w:r w:rsidRPr="00211497">
        <w:t>30</w:t>
      </w:r>
      <w:r>
        <w:t xml:space="preserve"> September </w:t>
      </w:r>
      <w:r w:rsidR="00BE5A31">
        <w:t>2020</w:t>
      </w:r>
      <w:r w:rsidRPr="00E92E0C">
        <w:t>.</w:t>
      </w:r>
      <w:r w:rsidRPr="006C5C68">
        <w:t xml:space="preserve"> </w:t>
      </w:r>
    </w:p>
    <w:p w14:paraId="2553B020" w14:textId="77777777" w:rsidR="00DF1795" w:rsidRPr="006C5C68" w:rsidRDefault="00DF1795" w:rsidP="00DF1795">
      <w:pPr>
        <w:pStyle w:val="Heading4"/>
      </w:pPr>
      <w:r w:rsidRPr="006C5C68">
        <w:t>Basis of preparation</w:t>
      </w:r>
    </w:p>
    <w:p w14:paraId="169888CE" w14:textId="77777777" w:rsidR="00DF1795" w:rsidRDefault="00DF1795" w:rsidP="00DF1795">
      <w:pPr>
        <w:pStyle w:val="BodyText"/>
      </w:pPr>
      <w:r w:rsidRPr="006C5C68">
        <w:t>The financial statements have been prepared on a going concern basis</w:t>
      </w:r>
      <w:r w:rsidR="00103EA0">
        <w:t xml:space="preserve">, taking into consideration the effects of COVID-19, </w:t>
      </w:r>
      <w:r w:rsidRPr="006C5C68">
        <w:t>and the accounting policies have been applied co</w:t>
      </w:r>
      <w:r>
        <w:t>nsistently throughout the year</w:t>
      </w:r>
      <w:r w:rsidRPr="006C5C68">
        <w:t>.</w:t>
      </w:r>
    </w:p>
    <w:p w14:paraId="74C4FDC1" w14:textId="77777777" w:rsidR="00DF1795" w:rsidRPr="00AF25CC" w:rsidRDefault="00DF1795" w:rsidP="00AF25CC">
      <w:pPr>
        <w:pStyle w:val="BodyText"/>
        <w:spacing w:before="360" w:after="60"/>
        <w:rPr>
          <w:b/>
          <w:sz w:val="26"/>
          <w:szCs w:val="26"/>
        </w:rPr>
      </w:pPr>
      <w:r w:rsidRPr="00AF25CC">
        <w:rPr>
          <w:b/>
          <w:sz w:val="26"/>
          <w:szCs w:val="26"/>
        </w:rPr>
        <w:t>C</w:t>
      </w:r>
      <w:r w:rsidR="008B348A" w:rsidRPr="00AF25CC">
        <w:rPr>
          <w:b/>
          <w:sz w:val="26"/>
          <w:szCs w:val="26"/>
        </w:rPr>
        <w:t>hanges in accounting policy</w:t>
      </w:r>
      <w:r w:rsidR="00620D95" w:rsidRPr="00AF25CC">
        <w:rPr>
          <w:b/>
          <w:sz w:val="26"/>
          <w:szCs w:val="26"/>
        </w:rPr>
        <w:t xml:space="preserve"> </w:t>
      </w:r>
    </w:p>
    <w:p w14:paraId="4447DAC9" w14:textId="676C02CB" w:rsidR="00DF1795" w:rsidRPr="00A3047A" w:rsidRDefault="00DF1795" w:rsidP="00DF1795">
      <w:pPr>
        <w:pStyle w:val="BodyText"/>
      </w:pPr>
      <w:r w:rsidRPr="00A3047A">
        <w:t>There</w:t>
      </w:r>
      <w:r>
        <w:t xml:space="preserve"> have been no changes in accounting policies since the date of the last audited financial statements</w:t>
      </w:r>
      <w:r w:rsidR="009313E8" w:rsidRPr="009313E8">
        <w:t xml:space="preserve">, </w:t>
      </w:r>
      <w:r w:rsidR="009313E8" w:rsidRPr="00AF25CC">
        <w:t xml:space="preserve">apart from the early adoption of PBE </w:t>
      </w:r>
      <w:r w:rsidR="00BE5A31">
        <w:t>International Financial Reporting Standards</w:t>
      </w:r>
      <w:r w:rsidR="009313E8" w:rsidRPr="00AF25CC">
        <w:t xml:space="preserve"> 9</w:t>
      </w:r>
      <w:r w:rsidRPr="009313E8">
        <w:t>.</w:t>
      </w:r>
    </w:p>
    <w:p w14:paraId="13A12CA9" w14:textId="77777777" w:rsidR="00DF1795" w:rsidRPr="00AF25CC" w:rsidRDefault="008B348A" w:rsidP="00AF25CC">
      <w:pPr>
        <w:pStyle w:val="BodyText"/>
        <w:spacing w:before="360" w:after="60"/>
        <w:rPr>
          <w:sz w:val="26"/>
          <w:szCs w:val="26"/>
        </w:rPr>
      </w:pPr>
      <w:r w:rsidRPr="00AF25CC">
        <w:rPr>
          <w:b/>
          <w:sz w:val="26"/>
          <w:szCs w:val="26"/>
        </w:rPr>
        <w:t>Statement of compliance</w:t>
      </w:r>
      <w:r w:rsidR="00620D95" w:rsidRPr="00AF25CC">
        <w:rPr>
          <w:b/>
          <w:sz w:val="26"/>
          <w:szCs w:val="26"/>
        </w:rPr>
        <w:t xml:space="preserve"> </w:t>
      </w:r>
    </w:p>
    <w:p w14:paraId="293B087E" w14:textId="77777777" w:rsidR="00DF1795" w:rsidRPr="006C5C68" w:rsidRDefault="00DF1795" w:rsidP="00DF1795">
      <w:pPr>
        <w:pStyle w:val="BodyText"/>
      </w:pPr>
      <w:r w:rsidRPr="006C5C68">
        <w:t xml:space="preserve">The financial statements of </w:t>
      </w:r>
      <w:r w:rsidRPr="00F06F4E">
        <w:t>the Office</w:t>
      </w:r>
      <w:r w:rsidRPr="006C5C68">
        <w:t xml:space="preserve"> have been prepared in accordance with the requirements of the Public Finance Act 1989, which include the requirement to comply with New Zealand generally accepted accounting practices (NZ GAAP), and Treasury </w:t>
      </w:r>
      <w:r>
        <w:t>i</w:t>
      </w:r>
      <w:r w:rsidRPr="006C5C68">
        <w:t>nstructions.</w:t>
      </w:r>
    </w:p>
    <w:p w14:paraId="58C18CFC" w14:textId="1005CEFA" w:rsidR="00DF1795" w:rsidRPr="006C5C68" w:rsidRDefault="00DF1795" w:rsidP="00DF1795">
      <w:pPr>
        <w:pStyle w:val="BodyText"/>
      </w:pPr>
      <w:r w:rsidRPr="006C5C68">
        <w:t xml:space="preserve">These financial statements have been prepared in accordance with Tier 2 PBE accounting standards. </w:t>
      </w:r>
      <w:r w:rsidRPr="00F06F4E">
        <w:t>The Office</w:t>
      </w:r>
      <w:r w:rsidRPr="006C5C68">
        <w:t xml:space="preserve"> has elected to report in Tier 2 PBE accounting standards as </w:t>
      </w:r>
      <w:r w:rsidRPr="00F06F4E">
        <w:t>the Office</w:t>
      </w:r>
      <w:r w:rsidRPr="006C5C68">
        <w:t xml:space="preserve"> does not have public accountability as defined by the </w:t>
      </w:r>
      <w:r w:rsidR="00BE5A31">
        <w:t>International Accounting Standards Board</w:t>
      </w:r>
      <w:r w:rsidRPr="006C5C68">
        <w:t xml:space="preserve">, is not a </w:t>
      </w:r>
      <w:r w:rsidR="001A0640">
        <w:t xml:space="preserve">Financial Market Conduct </w:t>
      </w:r>
      <w:r w:rsidRPr="006C5C68">
        <w:t>reporting entity or an issuer under the transitional provisions of the Financial Reporting Act 2013</w:t>
      </w:r>
      <w:r>
        <w:t>,</w:t>
      </w:r>
      <w:r w:rsidRPr="006C5C68">
        <w:t xml:space="preserve"> and is not large. These financial statements comply with PBE accounting standards.</w:t>
      </w:r>
    </w:p>
    <w:p w14:paraId="144A76C4" w14:textId="77777777" w:rsidR="00DF1795" w:rsidRPr="00AF25CC" w:rsidRDefault="008B348A" w:rsidP="00AF25CC">
      <w:pPr>
        <w:pStyle w:val="BodyText"/>
        <w:spacing w:before="360" w:after="60"/>
        <w:rPr>
          <w:sz w:val="26"/>
          <w:szCs w:val="26"/>
        </w:rPr>
      </w:pPr>
      <w:r w:rsidRPr="00AF25CC">
        <w:rPr>
          <w:b/>
          <w:sz w:val="26"/>
          <w:szCs w:val="26"/>
        </w:rPr>
        <w:t>Measurement base</w:t>
      </w:r>
      <w:r w:rsidR="00620D95" w:rsidRPr="00AF25CC">
        <w:rPr>
          <w:b/>
          <w:sz w:val="26"/>
          <w:szCs w:val="26"/>
        </w:rPr>
        <w:t xml:space="preserve"> </w:t>
      </w:r>
    </w:p>
    <w:p w14:paraId="07BB012B" w14:textId="77777777" w:rsidR="00DF1795" w:rsidRPr="006C5C68" w:rsidRDefault="00DF1795" w:rsidP="00DF1795">
      <w:pPr>
        <w:pStyle w:val="BodyText"/>
      </w:pPr>
      <w:r w:rsidRPr="006C5C68">
        <w:t>The financial statements have been prepared on an historical cost basis.</w:t>
      </w:r>
    </w:p>
    <w:p w14:paraId="2C28786F" w14:textId="77777777" w:rsidR="003B63FD" w:rsidRPr="00AF25CC" w:rsidRDefault="00620D95" w:rsidP="00AF25CC">
      <w:pPr>
        <w:pStyle w:val="BodyText"/>
        <w:spacing w:before="360" w:after="60"/>
        <w:rPr>
          <w:b/>
          <w:sz w:val="26"/>
          <w:szCs w:val="26"/>
        </w:rPr>
      </w:pPr>
      <w:r w:rsidRPr="00AF25CC">
        <w:rPr>
          <w:b/>
          <w:sz w:val="26"/>
          <w:szCs w:val="26"/>
        </w:rPr>
        <w:t xml:space="preserve">Functional and presentation currency </w:t>
      </w:r>
    </w:p>
    <w:p w14:paraId="27A0FB70" w14:textId="77777777" w:rsidR="00DF1795" w:rsidRDefault="00DF1795" w:rsidP="00DF1795">
      <w:pPr>
        <w:pStyle w:val="BodyText"/>
      </w:pPr>
      <w:r w:rsidRPr="006C5C68">
        <w:t>The financial statements are presented in New Zealand dollars and all values are rounded to the nearest thousand dollars ($000). The functional currency of the Office is New Zealand dollars.</w:t>
      </w:r>
    </w:p>
    <w:p w14:paraId="65DACB9B" w14:textId="77777777" w:rsidR="00DF1795" w:rsidRPr="006C5C68" w:rsidRDefault="00DF1795" w:rsidP="00DF1795">
      <w:pPr>
        <w:pStyle w:val="Heading1"/>
      </w:pPr>
      <w:bookmarkStart w:id="143" w:name="_Summary_of_significant"/>
      <w:bookmarkStart w:id="144" w:name="_Ref56757843"/>
      <w:bookmarkEnd w:id="143"/>
      <w:r w:rsidRPr="006C5C68">
        <w:t xml:space="preserve">Summary of </w:t>
      </w:r>
      <w:r>
        <w:t>s</w:t>
      </w:r>
      <w:r w:rsidRPr="006C5C68">
        <w:t>ignificant accounting policies</w:t>
      </w:r>
      <w:bookmarkEnd w:id="144"/>
    </w:p>
    <w:p w14:paraId="15C1E3EF" w14:textId="77777777" w:rsidR="00DF1795" w:rsidRPr="006C5C68" w:rsidRDefault="00DF1795" w:rsidP="00DF1795">
      <w:pPr>
        <w:pStyle w:val="Heading3"/>
      </w:pPr>
      <w:r w:rsidRPr="005213AA">
        <w:rPr>
          <w:rStyle w:val="Heading4Char"/>
        </w:rPr>
        <w:t>Revenue</w:t>
      </w:r>
    </w:p>
    <w:p w14:paraId="4A520D82" w14:textId="77777777" w:rsidR="00DF1795" w:rsidRDefault="00DF1795" w:rsidP="00DF1795">
      <w:pPr>
        <w:pStyle w:val="BodyText"/>
      </w:pPr>
      <w:r w:rsidRPr="006C5C68">
        <w:t>The specific accounting policies for significant revenue items are explained below:</w:t>
      </w:r>
    </w:p>
    <w:p w14:paraId="48DD0B38" w14:textId="77777777" w:rsidR="00DF1795" w:rsidRDefault="00DF1795" w:rsidP="00DF1795">
      <w:pPr>
        <w:pStyle w:val="BodyText"/>
        <w:rPr>
          <w:rStyle w:val="Italics"/>
        </w:rPr>
      </w:pPr>
      <w:r>
        <w:rPr>
          <w:rStyle w:val="Italics"/>
        </w:rPr>
        <w:t xml:space="preserve">Revenue </w:t>
      </w:r>
      <w:r w:rsidRPr="00EF232E">
        <w:rPr>
          <w:rStyle w:val="Italics"/>
        </w:rPr>
        <w:t>Crown</w:t>
      </w:r>
    </w:p>
    <w:p w14:paraId="630438C3" w14:textId="77777777" w:rsidR="00DF1795" w:rsidRPr="00A3047A" w:rsidRDefault="00DF1795" w:rsidP="00DF1795">
      <w:pPr>
        <w:pStyle w:val="BodyText"/>
        <w:rPr>
          <w:rStyle w:val="Italics"/>
          <w:i w:val="0"/>
        </w:rPr>
      </w:pPr>
      <w:r w:rsidRPr="00A3047A">
        <w:rPr>
          <w:rStyle w:val="Italics"/>
          <w:i w:val="0"/>
        </w:rPr>
        <w:t>Revenue from the Crown</w:t>
      </w:r>
      <w:r>
        <w:rPr>
          <w:rStyle w:val="Italics"/>
          <w:i w:val="0"/>
        </w:rPr>
        <w:t xml:space="preserve"> is measured based on </w:t>
      </w:r>
      <w:r w:rsidRPr="00F06F4E">
        <w:rPr>
          <w:rStyle w:val="Italics"/>
          <w:i w:val="0"/>
        </w:rPr>
        <w:t>the Office’s</w:t>
      </w:r>
      <w:r>
        <w:rPr>
          <w:rStyle w:val="Italics"/>
          <w:i w:val="0"/>
        </w:rPr>
        <w:t xml:space="preserve"> funding entitlement for the reporting year. The funding entitlement is established by Parliament when it passes the Appropriation Acts for the financial year. The amount of revenue recognised takes into account any amendments to appropriations approved in the Appropriation (Supplementary Estimates) Act for the year and certain other unconditional funding adjustments formally approved prior to balance date.</w:t>
      </w:r>
    </w:p>
    <w:p w14:paraId="34026D61" w14:textId="77777777" w:rsidR="00DF1795" w:rsidRPr="006C5C68" w:rsidRDefault="00DF1795" w:rsidP="00DF1795">
      <w:pPr>
        <w:pStyle w:val="BodyText"/>
      </w:pPr>
      <w:r w:rsidRPr="00F06F4E">
        <w:t>The Office</w:t>
      </w:r>
      <w:r w:rsidRPr="006C5C68">
        <w:t xml:space="preserve"> considers there are no conditions attached to the funding and it is recognised as revenue at the point of entitlement.</w:t>
      </w:r>
    </w:p>
    <w:p w14:paraId="5C2AE23A" w14:textId="77777777" w:rsidR="00DF1795" w:rsidRPr="006C5C68" w:rsidRDefault="00DF1795" w:rsidP="00DF1795">
      <w:pPr>
        <w:pStyle w:val="BodyText"/>
      </w:pPr>
      <w:r w:rsidRPr="006C5C68">
        <w:t>The fair value of revenue from the Crown has been determined to be equivalent to the amounts due in the funding arrangements.</w:t>
      </w:r>
    </w:p>
    <w:p w14:paraId="7435A98D" w14:textId="77777777" w:rsidR="00DF1795" w:rsidRDefault="00DF1795" w:rsidP="00DF1795">
      <w:pPr>
        <w:pStyle w:val="Heading4"/>
      </w:pPr>
      <w:r>
        <w:t>Other expenses</w:t>
      </w:r>
    </w:p>
    <w:p w14:paraId="49B6884C" w14:textId="77777777" w:rsidR="00DF1795" w:rsidRPr="004E2AAE" w:rsidRDefault="00DF1795" w:rsidP="00DF1795">
      <w:pPr>
        <w:pStyle w:val="BodyText"/>
      </w:pPr>
      <w:r>
        <w:t>Other expenses are recognised as goods and services are received.</w:t>
      </w:r>
    </w:p>
    <w:p w14:paraId="7A97B208" w14:textId="77777777" w:rsidR="00DF1795" w:rsidRPr="006C5C68" w:rsidRDefault="00DF1795" w:rsidP="00DF1795">
      <w:pPr>
        <w:pStyle w:val="Heading4"/>
      </w:pPr>
      <w:r w:rsidRPr="006C5C68">
        <w:t>Cash and cash equivalents</w:t>
      </w:r>
    </w:p>
    <w:p w14:paraId="2895E8B9" w14:textId="77777777" w:rsidR="00DF1795" w:rsidRDefault="00DF1795" w:rsidP="00DF1795">
      <w:pPr>
        <w:pStyle w:val="BodyText"/>
      </w:pPr>
      <w:r w:rsidRPr="00F06F4E">
        <w:t>The Office</w:t>
      </w:r>
      <w:r w:rsidRPr="006C5C68">
        <w:t xml:space="preserve"> is only permitted to expend its cash and cash equivalents within the scope and limits of its appropriations.</w:t>
      </w:r>
    </w:p>
    <w:p w14:paraId="1A0DD8F3" w14:textId="77777777" w:rsidR="007C2037" w:rsidRPr="00AF25CC" w:rsidRDefault="0083402C" w:rsidP="00AF25CC">
      <w:pPr>
        <w:pStyle w:val="BodyText"/>
        <w:spacing w:before="360" w:after="60"/>
        <w:rPr>
          <w:b/>
          <w:sz w:val="26"/>
          <w:szCs w:val="26"/>
        </w:rPr>
      </w:pPr>
      <w:r w:rsidRPr="00AF25CC">
        <w:rPr>
          <w:b/>
          <w:sz w:val="26"/>
          <w:szCs w:val="26"/>
        </w:rPr>
        <w:t>Other current assets</w:t>
      </w:r>
    </w:p>
    <w:p w14:paraId="2048B0A8" w14:textId="77777777" w:rsidR="00DF1795" w:rsidRDefault="00DF1795" w:rsidP="00DF1795">
      <w:pPr>
        <w:pStyle w:val="BodyText"/>
      </w:pPr>
      <w:r w:rsidRPr="006C5C68">
        <w:t xml:space="preserve">Other current assets are short-term debtors and </w:t>
      </w:r>
      <w:r w:rsidR="00FB5F9A" w:rsidRPr="005213AA">
        <w:t>prepayments that</w:t>
      </w:r>
      <w:r w:rsidRPr="006C5C68">
        <w:t xml:space="preserve"> are recorded at their face value les</w:t>
      </w:r>
      <w:r w:rsidR="00741F6F">
        <w:t>s any provision for impairment.</w:t>
      </w:r>
    </w:p>
    <w:p w14:paraId="1FADD05C" w14:textId="77777777" w:rsidR="00741F6F" w:rsidRPr="006C5C68" w:rsidRDefault="00741F6F" w:rsidP="00DF1795">
      <w:pPr>
        <w:pStyle w:val="BodyText"/>
      </w:pPr>
      <w:r>
        <w:t>A receivable is considered impaired when there is evidence that the Office will not be able to collect the amount due. The amount of the impairment is the difference between the asset’s carrying amount of the receivable and the present value of the amounts expected to be collected.</w:t>
      </w:r>
    </w:p>
    <w:p w14:paraId="6A1F1D28" w14:textId="77777777" w:rsidR="00DF1795" w:rsidRPr="006C5C68" w:rsidRDefault="00DF1795" w:rsidP="00DF1795">
      <w:pPr>
        <w:pStyle w:val="Heading4"/>
      </w:pPr>
      <w:r w:rsidRPr="006C5C68">
        <w:t>Property, plant</w:t>
      </w:r>
      <w:r w:rsidR="00985AB6" w:rsidRPr="005213AA">
        <w:t>,</w:t>
      </w:r>
      <w:r w:rsidRPr="006C5C68">
        <w:t xml:space="preserve"> and equipment</w:t>
      </w:r>
    </w:p>
    <w:p w14:paraId="46AE692A" w14:textId="77777777" w:rsidR="00DF1795" w:rsidRPr="006C5C68" w:rsidRDefault="00DF1795" w:rsidP="00DF1795">
      <w:pPr>
        <w:pStyle w:val="BodyText"/>
      </w:pPr>
      <w:r w:rsidRPr="006C5C68">
        <w:t>Property, plant</w:t>
      </w:r>
      <w:r w:rsidR="00985AB6" w:rsidRPr="005213AA">
        <w:t>,</w:t>
      </w:r>
      <w:r w:rsidRPr="006C5C68">
        <w:t xml:space="preserve"> and equipment consists of leasehold improvements, furniture</w:t>
      </w:r>
      <w:r w:rsidR="00985AB6">
        <w:t>,</w:t>
      </w:r>
      <w:r w:rsidRPr="006C5C68">
        <w:t xml:space="preserve"> and office equipment. The Office does not own any vehicles, buildings</w:t>
      </w:r>
      <w:r w:rsidR="00985AB6">
        <w:t>,</w:t>
      </w:r>
      <w:r w:rsidRPr="006C5C68">
        <w:t xml:space="preserve"> or land.</w:t>
      </w:r>
    </w:p>
    <w:p w14:paraId="2C053DBC" w14:textId="77777777" w:rsidR="00DF1795" w:rsidRDefault="00DF1795" w:rsidP="00DF1795">
      <w:pPr>
        <w:pStyle w:val="BodyText"/>
      </w:pPr>
      <w:r w:rsidRPr="006C5C68">
        <w:t>Property, plant</w:t>
      </w:r>
      <w:r w:rsidR="00985AB6" w:rsidRPr="005213AA">
        <w:t>,</w:t>
      </w:r>
      <w:r w:rsidRPr="006C5C68">
        <w:t xml:space="preserve"> and equipment are shown at cost, less accumulated depreciation and impairment.</w:t>
      </w:r>
    </w:p>
    <w:p w14:paraId="601E2817" w14:textId="77777777" w:rsidR="003D5953" w:rsidRPr="006C5C68" w:rsidRDefault="003D5953" w:rsidP="00DF1795">
      <w:pPr>
        <w:pStyle w:val="BodyText"/>
      </w:pPr>
      <w:r>
        <w:t>In general, fixed assets with a unit cost of more than $1,000, or if the unit cost is $1,000 or less but the aggregate cost of the purchase exceeds $3,000, are capitalised. However, for specific assets such as a mobile phone handsets, the Office may decide to capitalise the purchase due to its economic useful life exceeding one year.</w:t>
      </w:r>
    </w:p>
    <w:p w14:paraId="7FF4EF8A" w14:textId="77777777" w:rsidR="007C2037" w:rsidRDefault="0083402C" w:rsidP="00AF25CC">
      <w:pPr>
        <w:pStyle w:val="BodyText"/>
        <w:spacing w:before="360"/>
        <w:rPr>
          <w:i/>
        </w:rPr>
      </w:pPr>
      <w:r>
        <w:rPr>
          <w:i/>
        </w:rPr>
        <w:t>Additions</w:t>
      </w:r>
    </w:p>
    <w:p w14:paraId="729684A1" w14:textId="77777777" w:rsidR="00DF1795" w:rsidRPr="006C5C68" w:rsidRDefault="00DF1795" w:rsidP="00DF1795">
      <w:pPr>
        <w:pStyle w:val="BodyText"/>
      </w:pPr>
      <w:r w:rsidRPr="006C5C68">
        <w:t>The cost of an item of property, plant</w:t>
      </w:r>
      <w:r w:rsidR="00985AB6">
        <w:t>,</w:t>
      </w:r>
      <w:r w:rsidRPr="006C5C68">
        <w:t xml:space="preserve"> and equipment is recognised as an asset only when it is probable that future economic benefits or service potential associated with the item will flow to </w:t>
      </w:r>
      <w:r w:rsidRPr="00F06F4E">
        <w:t>the Office</w:t>
      </w:r>
      <w:r w:rsidRPr="006C5C68">
        <w:t xml:space="preserve"> and the cost of the item can be measured reliably.</w:t>
      </w:r>
    </w:p>
    <w:p w14:paraId="136B0C4D" w14:textId="77777777" w:rsidR="00DF1795" w:rsidRPr="006C5C68" w:rsidRDefault="00DF1795" w:rsidP="00DF1795">
      <w:pPr>
        <w:pStyle w:val="BodyText"/>
      </w:pPr>
      <w:r w:rsidRPr="006C5C68">
        <w:t>In most instances an item of property, plant</w:t>
      </w:r>
      <w:r w:rsidR="00985AB6" w:rsidRPr="005213AA">
        <w:t>,</w:t>
      </w:r>
      <w:r w:rsidRPr="006C5C68">
        <w:t xml:space="preserve"> and equipment is initially recognised at its cost. Where an asset is acquired through a non-exchange transaction, it is recognised at fair value as at the date of acquisition.</w:t>
      </w:r>
    </w:p>
    <w:p w14:paraId="0CC3AA89" w14:textId="77777777" w:rsidR="007C2037" w:rsidRDefault="0083402C" w:rsidP="00AF25CC">
      <w:pPr>
        <w:pStyle w:val="BodyText"/>
        <w:spacing w:before="360"/>
        <w:rPr>
          <w:i/>
        </w:rPr>
      </w:pPr>
      <w:r>
        <w:rPr>
          <w:i/>
        </w:rPr>
        <w:t>Disposals</w:t>
      </w:r>
    </w:p>
    <w:p w14:paraId="497204F6" w14:textId="77777777" w:rsidR="00DF1795" w:rsidRPr="006C5C68" w:rsidRDefault="00DF1795" w:rsidP="00DF1795">
      <w:pPr>
        <w:pStyle w:val="BodyText"/>
      </w:pPr>
      <w:r w:rsidRPr="006C5C68">
        <w:t>Gains and losses on disposals are determined by comparing the proceeds with the carrying amount of the asset. Gains and losses on disposals are reported net in the surplus or deficit. When revalued assets are sold, the amounts included in revaluation reserves in respect of those assets are transferred to general funds.</w:t>
      </w:r>
    </w:p>
    <w:p w14:paraId="36353E3D" w14:textId="77777777" w:rsidR="007C2037" w:rsidRDefault="0083402C" w:rsidP="00AF25CC">
      <w:pPr>
        <w:spacing w:before="360"/>
        <w:rPr>
          <w:i/>
        </w:rPr>
      </w:pPr>
      <w:r>
        <w:rPr>
          <w:i/>
        </w:rPr>
        <w:t>Subsequent costs</w:t>
      </w:r>
    </w:p>
    <w:p w14:paraId="33A18114" w14:textId="77777777" w:rsidR="00DF1795" w:rsidRPr="00E824FE" w:rsidRDefault="00DF1795" w:rsidP="00DF1795">
      <w:pPr>
        <w:rPr>
          <w:szCs w:val="24"/>
        </w:rPr>
      </w:pPr>
      <w:r w:rsidRPr="00E824FE">
        <w:rPr>
          <w:szCs w:val="24"/>
        </w:rPr>
        <w:t xml:space="preserve">Costs incurred subsequent to initial acquisition are capitalised only when it is probable that future economic benefits or service potential associated with the item will flow </w:t>
      </w:r>
      <w:r w:rsidRPr="00F06F4E">
        <w:rPr>
          <w:szCs w:val="24"/>
        </w:rPr>
        <w:t>to the Office</w:t>
      </w:r>
      <w:r w:rsidRPr="00E824FE">
        <w:rPr>
          <w:szCs w:val="24"/>
        </w:rPr>
        <w:t xml:space="preserve"> and the cost of the item can be measured reliably.</w:t>
      </w:r>
    </w:p>
    <w:p w14:paraId="55E1AAB7" w14:textId="77777777" w:rsidR="00DF1795" w:rsidRDefault="00DF1795" w:rsidP="00DF1795">
      <w:pPr>
        <w:pStyle w:val="BodyText"/>
      </w:pPr>
      <w:r w:rsidRPr="006C5C68">
        <w:t>The costs of day-to-day servicing of property, plant</w:t>
      </w:r>
      <w:r w:rsidR="00985AB6" w:rsidRPr="005213AA">
        <w:t>,</w:t>
      </w:r>
      <w:r w:rsidRPr="006C5C68">
        <w:t xml:space="preserve"> and equipment are recognised in the surplus o</w:t>
      </w:r>
      <w:r>
        <w:t>r</w:t>
      </w:r>
      <w:r w:rsidRPr="006C5C68">
        <w:t xml:space="preserve"> deficit as they are incurred.</w:t>
      </w:r>
    </w:p>
    <w:p w14:paraId="4D5F0F23" w14:textId="77777777" w:rsidR="007C2037" w:rsidRDefault="0083402C" w:rsidP="00AF25CC">
      <w:pPr>
        <w:pStyle w:val="BodyText"/>
        <w:spacing w:before="360"/>
        <w:rPr>
          <w:i/>
        </w:rPr>
      </w:pPr>
      <w:r>
        <w:rPr>
          <w:i/>
        </w:rPr>
        <w:t>Depreciation</w:t>
      </w:r>
    </w:p>
    <w:p w14:paraId="52D497B1" w14:textId="77777777" w:rsidR="00DF1795" w:rsidRDefault="00DF1795" w:rsidP="00DF1795">
      <w:pPr>
        <w:pStyle w:val="BodyText"/>
      </w:pPr>
      <w:r w:rsidRPr="006C5C68">
        <w:t>Depreciation is provided on a straight-line basis on all property, plant</w:t>
      </w:r>
      <w:r w:rsidR="00985AB6" w:rsidRPr="005213AA">
        <w:t>,</w:t>
      </w:r>
      <w:r w:rsidRPr="006C5C68">
        <w:t xml:space="preserve"> and equipment, at rates that will write-off the cost (or valuation) of the assets to their estimated residual values over their useful lives. The useful lives and associated depreciation rates of classes of assets held by the Office are set out below.</w:t>
      </w:r>
    </w:p>
    <w:tbl>
      <w:tblPr>
        <w:tblStyle w:val="TableGridAnnualReport6"/>
        <w:tblW w:w="9299" w:type="dxa"/>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20" w:firstRow="1" w:lastRow="0" w:firstColumn="0" w:lastColumn="0" w:noHBand="0" w:noVBand="1"/>
        <w:tblCaption w:val="DEPRECIATION"/>
      </w:tblPr>
      <w:tblGrid>
        <w:gridCol w:w="2985"/>
        <w:gridCol w:w="3076"/>
        <w:gridCol w:w="3238"/>
      </w:tblGrid>
      <w:tr w:rsidR="00DF1795" w14:paraId="7E88A98D" w14:textId="77777777" w:rsidTr="00506E02">
        <w:trPr>
          <w:cnfStyle w:val="100000000000" w:firstRow="1" w:lastRow="0" w:firstColumn="0" w:lastColumn="0" w:oddVBand="0" w:evenVBand="0" w:oddHBand="0" w:evenHBand="0" w:firstRowFirstColumn="0" w:firstRowLastColumn="0" w:lastRowFirstColumn="0" w:lastRowLastColumn="0"/>
        </w:trPr>
        <w:tc>
          <w:tcPr>
            <w:tcW w:w="2999" w:type="dxa"/>
            <w:shd w:val="clear" w:color="000000" w:fill="D3D3D3"/>
          </w:tcPr>
          <w:p w14:paraId="40CC434F" w14:textId="77777777" w:rsidR="00DF1795" w:rsidRPr="0028092A" w:rsidRDefault="00DF1795" w:rsidP="00506E02">
            <w:pPr>
              <w:pStyle w:val="Tablebodytextnospaceafter"/>
              <w:rPr>
                <w:b/>
              </w:rPr>
            </w:pPr>
            <w:r>
              <w:rPr>
                <w:b/>
              </w:rPr>
              <w:t>Equipment</w:t>
            </w:r>
          </w:p>
        </w:tc>
        <w:tc>
          <w:tcPr>
            <w:tcW w:w="3097" w:type="dxa"/>
            <w:shd w:val="clear" w:color="000000" w:fill="E9E9E9"/>
          </w:tcPr>
          <w:p w14:paraId="773EF7A7" w14:textId="77777777" w:rsidR="00DF1795" w:rsidRPr="0028092A" w:rsidRDefault="00DF1795" w:rsidP="00506E02">
            <w:pPr>
              <w:pStyle w:val="Tablebodytextnospaceafter"/>
              <w:rPr>
                <w:b/>
              </w:rPr>
            </w:pPr>
            <w:r>
              <w:rPr>
                <w:b/>
              </w:rPr>
              <w:t>Useful life</w:t>
            </w:r>
          </w:p>
        </w:tc>
        <w:tc>
          <w:tcPr>
            <w:tcW w:w="3260" w:type="dxa"/>
            <w:shd w:val="clear" w:color="000000" w:fill="E9E9E9"/>
          </w:tcPr>
          <w:p w14:paraId="45AFA639" w14:textId="77777777" w:rsidR="00DF1795" w:rsidRPr="0028092A" w:rsidRDefault="00DF1795" w:rsidP="00506E02">
            <w:pPr>
              <w:pStyle w:val="Tablebodytextnospaceafter"/>
              <w:rPr>
                <w:b/>
              </w:rPr>
            </w:pPr>
            <w:r w:rsidRPr="0028092A">
              <w:rPr>
                <w:b/>
              </w:rPr>
              <w:t>Percent</w:t>
            </w:r>
          </w:p>
        </w:tc>
      </w:tr>
      <w:tr w:rsidR="00DF1795" w14:paraId="666C467F" w14:textId="77777777" w:rsidTr="00506E02">
        <w:trPr>
          <w:cnfStyle w:val="000000100000" w:firstRow="0" w:lastRow="0" w:firstColumn="0" w:lastColumn="0" w:oddVBand="0" w:evenVBand="0" w:oddHBand="1" w:evenHBand="0" w:firstRowFirstColumn="0" w:firstRowLastColumn="0" w:lastRowFirstColumn="0" w:lastRowLastColumn="0"/>
        </w:trPr>
        <w:tc>
          <w:tcPr>
            <w:tcW w:w="2999" w:type="dxa"/>
            <w:shd w:val="clear" w:color="000000" w:fill="D3D3D3"/>
          </w:tcPr>
          <w:p w14:paraId="5BDD860D" w14:textId="77777777" w:rsidR="00DF1795" w:rsidRPr="0058712A" w:rsidRDefault="00DF1795" w:rsidP="00506E02">
            <w:pPr>
              <w:pStyle w:val="Tablebodytextnospaceafter"/>
            </w:pPr>
            <w:r w:rsidRPr="0058712A">
              <w:t>Computer equipment</w:t>
            </w:r>
          </w:p>
        </w:tc>
        <w:tc>
          <w:tcPr>
            <w:tcW w:w="3097" w:type="dxa"/>
            <w:shd w:val="clear" w:color="000000" w:fill="E9E9E9"/>
          </w:tcPr>
          <w:p w14:paraId="5C6C7611" w14:textId="77777777" w:rsidR="00DF1795" w:rsidRPr="003D5953" w:rsidRDefault="00DF1795" w:rsidP="00506E02">
            <w:pPr>
              <w:pStyle w:val="Tablebodytextnospaceafter"/>
            </w:pPr>
            <w:r w:rsidRPr="003D5953">
              <w:t>4 years</w:t>
            </w:r>
          </w:p>
        </w:tc>
        <w:tc>
          <w:tcPr>
            <w:tcW w:w="3260" w:type="dxa"/>
            <w:shd w:val="clear" w:color="000000" w:fill="E9E9E9"/>
          </w:tcPr>
          <w:p w14:paraId="47FA3FBE" w14:textId="77777777" w:rsidR="00DF1795" w:rsidRPr="003D5953" w:rsidRDefault="00DF1795" w:rsidP="00506E02">
            <w:pPr>
              <w:pStyle w:val="Tablebodytextnospaceafter"/>
            </w:pPr>
            <w:r w:rsidRPr="003D5953">
              <w:t>25%</w:t>
            </w:r>
          </w:p>
        </w:tc>
      </w:tr>
      <w:tr w:rsidR="00DF1795" w14:paraId="69F2F70A" w14:textId="77777777" w:rsidTr="00506E02">
        <w:trPr>
          <w:cnfStyle w:val="000000010000" w:firstRow="0" w:lastRow="0" w:firstColumn="0" w:lastColumn="0" w:oddVBand="0" w:evenVBand="0" w:oddHBand="0" w:evenHBand="1" w:firstRowFirstColumn="0" w:firstRowLastColumn="0" w:lastRowFirstColumn="0" w:lastRowLastColumn="0"/>
        </w:trPr>
        <w:tc>
          <w:tcPr>
            <w:tcW w:w="2999" w:type="dxa"/>
            <w:shd w:val="clear" w:color="000000" w:fill="D3D3D3"/>
          </w:tcPr>
          <w:p w14:paraId="62D9543F" w14:textId="77777777" w:rsidR="00DF1795" w:rsidRPr="0058712A" w:rsidRDefault="00DF1795" w:rsidP="00506E02">
            <w:pPr>
              <w:pStyle w:val="Tablebodytextnospaceafter"/>
            </w:pPr>
            <w:r w:rsidRPr="0058712A">
              <w:t>Plant and other equipment</w:t>
            </w:r>
          </w:p>
        </w:tc>
        <w:tc>
          <w:tcPr>
            <w:tcW w:w="3097" w:type="dxa"/>
          </w:tcPr>
          <w:p w14:paraId="4681D41F" w14:textId="77777777" w:rsidR="00DF1795" w:rsidRPr="003D5953" w:rsidRDefault="00900A8E" w:rsidP="00506E02">
            <w:pPr>
              <w:pStyle w:val="Tablebodytextnospaceafter"/>
            </w:pPr>
            <w:r>
              <w:t>3-</w:t>
            </w:r>
            <w:r w:rsidR="00DF1795" w:rsidRPr="003D5953">
              <w:t>5 years</w:t>
            </w:r>
          </w:p>
        </w:tc>
        <w:tc>
          <w:tcPr>
            <w:tcW w:w="3260" w:type="dxa"/>
          </w:tcPr>
          <w:p w14:paraId="7DB37DED" w14:textId="77777777" w:rsidR="00DF1795" w:rsidRPr="003D5953" w:rsidRDefault="00DF1795" w:rsidP="00506E02">
            <w:pPr>
              <w:pStyle w:val="Tablebodytextnospaceafter"/>
            </w:pPr>
            <w:r w:rsidRPr="003D5953">
              <w:t>20%</w:t>
            </w:r>
          </w:p>
        </w:tc>
      </w:tr>
      <w:tr w:rsidR="00DF1795" w14:paraId="463BB3CF" w14:textId="77777777" w:rsidTr="00506E02">
        <w:trPr>
          <w:cnfStyle w:val="000000100000" w:firstRow="0" w:lastRow="0" w:firstColumn="0" w:lastColumn="0" w:oddVBand="0" w:evenVBand="0" w:oddHBand="1" w:evenHBand="0" w:firstRowFirstColumn="0" w:firstRowLastColumn="0" w:lastRowFirstColumn="0" w:lastRowLastColumn="0"/>
        </w:trPr>
        <w:tc>
          <w:tcPr>
            <w:tcW w:w="2999" w:type="dxa"/>
            <w:shd w:val="clear" w:color="000000" w:fill="D3D3D3"/>
          </w:tcPr>
          <w:p w14:paraId="28FC23E9" w14:textId="77777777" w:rsidR="00DF1795" w:rsidRPr="0058712A" w:rsidRDefault="00DF1795" w:rsidP="00506E02">
            <w:pPr>
              <w:pStyle w:val="Tablebodytextnospaceafter"/>
            </w:pPr>
            <w:r w:rsidRPr="0058712A">
              <w:t>Furniture and fittings</w:t>
            </w:r>
          </w:p>
        </w:tc>
        <w:tc>
          <w:tcPr>
            <w:tcW w:w="3097" w:type="dxa"/>
          </w:tcPr>
          <w:p w14:paraId="6BFA5CFC" w14:textId="77777777" w:rsidR="00DF1795" w:rsidRPr="003D5953" w:rsidRDefault="00900A8E" w:rsidP="00506E02">
            <w:pPr>
              <w:pStyle w:val="Tablebodytextnospaceafter"/>
            </w:pPr>
            <w:r>
              <w:t>5-</w:t>
            </w:r>
            <w:r w:rsidR="00DF1795" w:rsidRPr="003D5953">
              <w:t>10 years</w:t>
            </w:r>
          </w:p>
        </w:tc>
        <w:tc>
          <w:tcPr>
            <w:tcW w:w="3260" w:type="dxa"/>
          </w:tcPr>
          <w:p w14:paraId="7ECE2A5A" w14:textId="77777777" w:rsidR="00DF1795" w:rsidRPr="003D5953" w:rsidRDefault="00DF1795" w:rsidP="00506E02">
            <w:pPr>
              <w:pStyle w:val="Tablebodytextnospaceafter"/>
            </w:pPr>
            <w:r w:rsidRPr="003D5953">
              <w:t>10%</w:t>
            </w:r>
          </w:p>
        </w:tc>
      </w:tr>
      <w:tr w:rsidR="00DF1795" w14:paraId="0EFF3FCF" w14:textId="77777777" w:rsidTr="00506E02">
        <w:trPr>
          <w:cnfStyle w:val="000000010000" w:firstRow="0" w:lastRow="0" w:firstColumn="0" w:lastColumn="0" w:oddVBand="0" w:evenVBand="0" w:oddHBand="0" w:evenHBand="1" w:firstRowFirstColumn="0" w:firstRowLastColumn="0" w:lastRowFirstColumn="0" w:lastRowLastColumn="0"/>
        </w:trPr>
        <w:tc>
          <w:tcPr>
            <w:tcW w:w="2999" w:type="dxa"/>
            <w:shd w:val="clear" w:color="000000" w:fill="D3D3D3"/>
          </w:tcPr>
          <w:p w14:paraId="7B6DE270" w14:textId="77777777" w:rsidR="00DF1795" w:rsidRPr="0058712A" w:rsidRDefault="00DF1795" w:rsidP="00506E02">
            <w:pPr>
              <w:pStyle w:val="Tablebodytextnospaceafter"/>
            </w:pPr>
            <w:r>
              <w:t>Leasehold improvement</w:t>
            </w:r>
          </w:p>
        </w:tc>
        <w:tc>
          <w:tcPr>
            <w:tcW w:w="3097" w:type="dxa"/>
          </w:tcPr>
          <w:p w14:paraId="4194E583" w14:textId="77777777" w:rsidR="00DF1795" w:rsidRPr="003D5953" w:rsidRDefault="00DF1795" w:rsidP="00506E02">
            <w:pPr>
              <w:pStyle w:val="Tablebodytextnospaceafter"/>
            </w:pPr>
            <w:r w:rsidRPr="003D5953">
              <w:t>Lease term</w:t>
            </w:r>
          </w:p>
        </w:tc>
        <w:tc>
          <w:tcPr>
            <w:tcW w:w="3260" w:type="dxa"/>
          </w:tcPr>
          <w:p w14:paraId="0835B221" w14:textId="77777777" w:rsidR="00DF1795" w:rsidRPr="003D5953" w:rsidRDefault="00DF1795" w:rsidP="00506E02">
            <w:pPr>
              <w:pStyle w:val="Tablebodytextnospaceafter"/>
            </w:pPr>
            <w:r w:rsidRPr="003D5953">
              <w:t>Lease term</w:t>
            </w:r>
          </w:p>
        </w:tc>
      </w:tr>
    </w:tbl>
    <w:p w14:paraId="713F94EE" w14:textId="77777777" w:rsidR="00DF1795" w:rsidRDefault="00DF1795" w:rsidP="00DF1795">
      <w:pPr>
        <w:pStyle w:val="Whitespace"/>
      </w:pPr>
    </w:p>
    <w:p w14:paraId="2F415929" w14:textId="77777777" w:rsidR="00DF1795" w:rsidRPr="007C73F1" w:rsidRDefault="00DF1795" w:rsidP="00DF1795">
      <w:pPr>
        <w:pStyle w:val="BodyText"/>
      </w:pPr>
      <w:r w:rsidRPr="007C73F1">
        <w:t>Leasehold improvements are depreciated over the unexpired period of the lease or the estimated remaining useful lives of the improvements, whichever is the shorter.</w:t>
      </w:r>
    </w:p>
    <w:p w14:paraId="7906468B" w14:textId="77777777" w:rsidR="00DF1795" w:rsidRPr="0058712A" w:rsidRDefault="00DF1795" w:rsidP="00DF1795">
      <w:pPr>
        <w:pStyle w:val="BodyText"/>
      </w:pPr>
      <w:r w:rsidRPr="007C73F1">
        <w:t>The residual value and useful life of an asset is reviewed, and adjusted if applicab</w:t>
      </w:r>
      <w:r>
        <w:t>le, at each financial year-end.</w:t>
      </w:r>
    </w:p>
    <w:p w14:paraId="00CD3BBC" w14:textId="77777777" w:rsidR="00DF1795" w:rsidRDefault="00DF1795" w:rsidP="00AF25CC">
      <w:pPr>
        <w:pStyle w:val="Heading4"/>
        <w:spacing w:line="360" w:lineRule="auto"/>
      </w:pPr>
      <w:r>
        <w:t>Intangible assets</w:t>
      </w:r>
    </w:p>
    <w:p w14:paraId="5C794AE0" w14:textId="77777777" w:rsidR="003D5953" w:rsidRPr="003834CA" w:rsidRDefault="003D5953" w:rsidP="003D5953">
      <w:pPr>
        <w:pStyle w:val="BodyText"/>
        <w:spacing w:before="360"/>
      </w:pPr>
      <w:r>
        <w:rPr>
          <w:i/>
        </w:rPr>
        <w:t>Software acquisition and development</w:t>
      </w:r>
    </w:p>
    <w:p w14:paraId="343A5A54" w14:textId="77777777" w:rsidR="00DF1795" w:rsidRPr="003834CA" w:rsidRDefault="00DF1795" w:rsidP="00DF1795">
      <w:pPr>
        <w:pStyle w:val="BodyText"/>
      </w:pPr>
      <w:r w:rsidRPr="003834CA">
        <w:t xml:space="preserve">Acquired computer software licences are capitalised on the basis of the costs incurred to acquire and bring to use the specific software. </w:t>
      </w:r>
    </w:p>
    <w:p w14:paraId="3DA81D7C" w14:textId="77777777" w:rsidR="00DF1795" w:rsidRPr="003834CA" w:rsidRDefault="00DF1795" w:rsidP="00DF1795">
      <w:pPr>
        <w:pStyle w:val="BodyText"/>
      </w:pPr>
      <w:r>
        <w:t>Costs that are directly attributable in the creation, production</w:t>
      </w:r>
      <w:r w:rsidR="00985AB6" w:rsidRPr="005213AA">
        <w:t>,</w:t>
      </w:r>
      <w:r>
        <w:t xml:space="preserve"> and preparation of internally generated software are recognised as intangible assets.</w:t>
      </w:r>
    </w:p>
    <w:p w14:paraId="757FF722" w14:textId="77777777" w:rsidR="00DF1795" w:rsidRPr="003834CA" w:rsidRDefault="007C2037" w:rsidP="00AF25CC">
      <w:pPr>
        <w:pStyle w:val="BodyText"/>
        <w:spacing w:before="360"/>
      </w:pPr>
      <w:r>
        <w:rPr>
          <w:i/>
        </w:rPr>
        <w:t>Amortisation</w:t>
      </w:r>
    </w:p>
    <w:p w14:paraId="4938D26E" w14:textId="77777777" w:rsidR="00DF1795" w:rsidRDefault="00DF1795" w:rsidP="00DF1795">
      <w:pPr>
        <w:pStyle w:val="BodyText"/>
      </w:pPr>
      <w:r w:rsidRPr="003834CA">
        <w:t>The carrying value of an intangible asset with a finite life is amortised on a straight-line basis over its useful life. Amortisation begins when the asset is available for use and ceases at the date that the asset is derecognised. The amortisation charge for each period is recognised in the surplus or deficit.</w:t>
      </w:r>
    </w:p>
    <w:p w14:paraId="23EDA233" w14:textId="77777777" w:rsidR="00DF1795" w:rsidRPr="003834CA" w:rsidRDefault="00DF1795" w:rsidP="00DF1795">
      <w:pPr>
        <w:pStyle w:val="BodyText"/>
      </w:pPr>
      <w:r>
        <w:t>Work in progress amortisation occurs only when assets are completed and in use.</w:t>
      </w:r>
    </w:p>
    <w:p w14:paraId="6E744901" w14:textId="77777777" w:rsidR="00645C16" w:rsidRDefault="007C2037" w:rsidP="00AF25CC">
      <w:pPr>
        <w:pStyle w:val="BodyText"/>
        <w:spacing w:before="360"/>
        <w:rPr>
          <w:i/>
        </w:rPr>
      </w:pPr>
      <w:r>
        <w:rPr>
          <w:i/>
        </w:rPr>
        <w:t>Useful lives of software</w:t>
      </w:r>
    </w:p>
    <w:p w14:paraId="7E219A54" w14:textId="77777777" w:rsidR="00DF1795" w:rsidRPr="003834CA" w:rsidRDefault="00DF1795" w:rsidP="00DF1795">
      <w:pPr>
        <w:pStyle w:val="BodyText"/>
      </w:pPr>
      <w:r w:rsidRPr="003834CA">
        <w:t xml:space="preserve">The useful life of software is determined at the time the software is acquired and brought into use, and is reviewed at each reporting date for appropriateness. For computer software licences, the useful life represents management’s view of the expected period over which the Office will receive benefits from the software, but not exceeding the licence term. </w:t>
      </w:r>
    </w:p>
    <w:p w14:paraId="6A2A892A" w14:textId="77777777" w:rsidR="007C2037" w:rsidRDefault="00DF1795" w:rsidP="00AF25CC">
      <w:pPr>
        <w:pStyle w:val="BodyText"/>
      </w:pPr>
      <w:r w:rsidRPr="003834CA">
        <w:t>For internally generated software developed by the Office, the useful life is based on historical experience with similar systems as well as anticipation of future events that may impact on the useful life, such as changes in technology.</w:t>
      </w:r>
    </w:p>
    <w:p w14:paraId="7CDD0BD0" w14:textId="77777777" w:rsidR="007C2037" w:rsidRPr="0098572E" w:rsidRDefault="007C2037" w:rsidP="00AF25CC">
      <w:pPr>
        <w:pStyle w:val="BodyText"/>
        <w:spacing w:before="360" w:after="60"/>
      </w:pPr>
      <w:r w:rsidRPr="00AF25CC">
        <w:rPr>
          <w:b/>
        </w:rPr>
        <w:t>Estimating useful lives and residual values</w:t>
      </w:r>
      <w:r>
        <w:rPr>
          <w:b/>
        </w:rPr>
        <w:t xml:space="preserve"> </w:t>
      </w:r>
    </w:p>
    <w:p w14:paraId="471B188F" w14:textId="77777777" w:rsidR="007C2037" w:rsidRPr="0098572E" w:rsidRDefault="007C2037" w:rsidP="007C2037">
      <w:pPr>
        <w:pStyle w:val="BodyText"/>
      </w:pPr>
      <w:r w:rsidRPr="0098572E">
        <w:t>At each balance date, the useful lives and residual values of property, plant</w:t>
      </w:r>
      <w:r w:rsidRPr="005213AA">
        <w:t>,</w:t>
      </w:r>
      <w:r w:rsidRPr="0098572E">
        <w:t xml:space="preserve"> and equipment are reviewed. Assessing the appropriateness of useful life and residual value estimates of property, plant and equipment requires a number of factors to be considered, such as the physical condition of the asset, expected period of the use of the asset by the Office, and expected disposal proceeds from the future sale of the asset.</w:t>
      </w:r>
    </w:p>
    <w:p w14:paraId="7589F24C" w14:textId="77777777" w:rsidR="007C2037" w:rsidRPr="0098572E" w:rsidRDefault="007C2037" w:rsidP="007C2037">
      <w:pPr>
        <w:pStyle w:val="BodyText"/>
      </w:pPr>
      <w:r w:rsidRPr="0098572E">
        <w:t xml:space="preserve">An incorrect estimate of the useful life or residual value will affect the depreciation expense recognised in the surplus or deficit, and carrying amount of the asset in the statement of financial position. </w:t>
      </w:r>
      <w:r w:rsidRPr="007E1D36">
        <w:t>The Office</w:t>
      </w:r>
      <w:r w:rsidRPr="0098572E">
        <w:t xml:space="preserve"> minimises the risk of this estimation uncertainty by:</w:t>
      </w:r>
    </w:p>
    <w:p w14:paraId="48215155" w14:textId="77777777" w:rsidR="007C2037" w:rsidRPr="0098572E" w:rsidRDefault="007C2037" w:rsidP="007C2037">
      <w:pPr>
        <w:pStyle w:val="Bullet1"/>
      </w:pPr>
      <w:r w:rsidRPr="0098572E">
        <w:t>physical inspection of assets;</w:t>
      </w:r>
    </w:p>
    <w:p w14:paraId="413A104E" w14:textId="77777777" w:rsidR="007C2037" w:rsidRPr="0098572E" w:rsidRDefault="007C2037" w:rsidP="007C2037">
      <w:pPr>
        <w:pStyle w:val="Bullet1"/>
      </w:pPr>
      <w:r w:rsidRPr="0098572E">
        <w:t>asset replacement programmes;</w:t>
      </w:r>
    </w:p>
    <w:p w14:paraId="6B9065C9" w14:textId="77777777" w:rsidR="007C2037" w:rsidRPr="0098572E" w:rsidRDefault="007C2037" w:rsidP="007C2037">
      <w:pPr>
        <w:pStyle w:val="Bullet1"/>
      </w:pPr>
      <w:r w:rsidRPr="0098572E">
        <w:t>review of second hand market prices for similar assets; and</w:t>
      </w:r>
    </w:p>
    <w:p w14:paraId="1D9DCDFA" w14:textId="77777777" w:rsidR="00645C16" w:rsidRPr="0098572E" w:rsidRDefault="007C2037" w:rsidP="00645C16">
      <w:pPr>
        <w:pStyle w:val="Bullet1"/>
      </w:pPr>
      <w:r w:rsidRPr="0098572E">
        <w:t>analysis of prior asset sales.</w:t>
      </w:r>
    </w:p>
    <w:p w14:paraId="49F3B055" w14:textId="77777777" w:rsidR="00DF1795" w:rsidRDefault="007C2037" w:rsidP="00DF1795">
      <w:pPr>
        <w:pStyle w:val="BodyText"/>
      </w:pPr>
      <w:r w:rsidRPr="007E1D36">
        <w:t>The Office</w:t>
      </w:r>
      <w:r w:rsidRPr="0098572E">
        <w:t xml:space="preserve"> has not made significant changes to past assumptions concerning useful lives and residual values.</w:t>
      </w:r>
      <w:r w:rsidR="00645C16">
        <w:t xml:space="preserve"> </w:t>
      </w:r>
      <w:r w:rsidR="00DF1795" w:rsidRPr="007C73F1">
        <w:t xml:space="preserve">The useful lives and associated amortisation rates of major classes of intangible assets have been estimated as set out </w:t>
      </w:r>
      <w:r w:rsidR="00DF1795" w:rsidRPr="0058712A">
        <w:t>below</w:t>
      </w:r>
      <w:r w:rsidR="00DF1795" w:rsidRPr="007C73F1">
        <w:t>.</w:t>
      </w:r>
    </w:p>
    <w:tbl>
      <w:tblPr>
        <w:tblStyle w:val="TableGridAnnualReport7"/>
        <w:tblW w:w="9309" w:type="dxa"/>
        <w:tblInd w:w="0" w:type="dxa"/>
        <w:tblLook w:val="0480" w:firstRow="0" w:lastRow="0" w:firstColumn="1" w:lastColumn="0" w:noHBand="0" w:noVBand="1"/>
        <w:tblCaption w:val="Computer software"/>
      </w:tblPr>
      <w:tblGrid>
        <w:gridCol w:w="3103"/>
        <w:gridCol w:w="3103"/>
        <w:gridCol w:w="3103"/>
      </w:tblGrid>
      <w:tr w:rsidR="00DF1795" w14:paraId="37C295F3" w14:textId="77777777" w:rsidTr="0050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Borders>
              <w:bottom w:val="single" w:sz="8" w:space="0" w:color="FFFFFF" w:themeColor="background1"/>
            </w:tcBorders>
            <w:shd w:val="clear" w:color="auto" w:fill="D3D3D3"/>
          </w:tcPr>
          <w:p w14:paraId="24C095C8" w14:textId="77777777" w:rsidR="00DF1795" w:rsidRPr="00BA0BBC" w:rsidRDefault="00DF1795" w:rsidP="00506E02">
            <w:pPr>
              <w:pStyle w:val="Tablebodytextnospaceafter"/>
              <w:rPr>
                <w:b/>
              </w:rPr>
            </w:pPr>
            <w:r w:rsidRPr="00BA0BBC">
              <w:rPr>
                <w:b/>
              </w:rPr>
              <w:t>Computer software</w:t>
            </w:r>
          </w:p>
        </w:tc>
        <w:tc>
          <w:tcPr>
            <w:tcW w:w="3103" w:type="dxa"/>
          </w:tcPr>
          <w:p w14:paraId="0B3ED886" w14:textId="77777777" w:rsidR="00DF1795" w:rsidRPr="00BA0BBC"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b/>
              </w:rPr>
            </w:pPr>
            <w:r w:rsidRPr="00BA0BBC">
              <w:rPr>
                <w:b/>
              </w:rPr>
              <w:t>Useful life</w:t>
            </w:r>
          </w:p>
        </w:tc>
        <w:tc>
          <w:tcPr>
            <w:tcW w:w="3103" w:type="dxa"/>
          </w:tcPr>
          <w:p w14:paraId="05054F5F" w14:textId="77777777" w:rsidR="00DF1795" w:rsidRPr="00BA0BBC"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b/>
              </w:rPr>
            </w:pPr>
            <w:r w:rsidRPr="00BA0BBC">
              <w:rPr>
                <w:b/>
              </w:rPr>
              <w:t>Percent</w:t>
            </w:r>
          </w:p>
        </w:tc>
      </w:tr>
      <w:tr w:rsidR="00DF1795" w14:paraId="0A9CC80C" w14:textId="77777777" w:rsidTr="00506E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Borders>
              <w:bottom w:val="single" w:sz="8" w:space="0" w:color="FFFFFF" w:themeColor="background1"/>
            </w:tcBorders>
            <w:shd w:val="clear" w:color="auto" w:fill="D3D3D3"/>
          </w:tcPr>
          <w:p w14:paraId="3EFF6C16" w14:textId="77777777" w:rsidR="00DF1795" w:rsidRPr="0098572E" w:rsidRDefault="00DF1795" w:rsidP="00506E02">
            <w:pPr>
              <w:pStyle w:val="Tablebodytextnospaceafter"/>
            </w:pPr>
            <w:r w:rsidRPr="0098572E">
              <w:t>Acquired computer software</w:t>
            </w:r>
          </w:p>
        </w:tc>
        <w:tc>
          <w:tcPr>
            <w:tcW w:w="3103" w:type="dxa"/>
          </w:tcPr>
          <w:p w14:paraId="67E2558A" w14:textId="77777777" w:rsidR="00DF1795" w:rsidRPr="003D5953"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3D5953">
              <w:t>4 years</w:t>
            </w:r>
          </w:p>
        </w:tc>
        <w:tc>
          <w:tcPr>
            <w:tcW w:w="3103" w:type="dxa"/>
          </w:tcPr>
          <w:p w14:paraId="70F88F42" w14:textId="77777777" w:rsidR="00DF1795" w:rsidRPr="003D5953"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pPr>
            <w:r w:rsidRPr="003D5953">
              <w:t>25%</w:t>
            </w:r>
          </w:p>
        </w:tc>
      </w:tr>
      <w:tr w:rsidR="00DF1795" w14:paraId="7A15DCEA" w14:textId="77777777" w:rsidTr="0050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shd w:val="clear" w:color="auto" w:fill="D3D3D3"/>
          </w:tcPr>
          <w:p w14:paraId="3BB32B95" w14:textId="77777777" w:rsidR="00DF1795" w:rsidRPr="0098572E" w:rsidRDefault="002F0B32" w:rsidP="00506E02">
            <w:pPr>
              <w:pStyle w:val="Tablebodytextnospaceafter"/>
            </w:pPr>
            <w:r>
              <w:t>Internally generated software</w:t>
            </w:r>
          </w:p>
        </w:tc>
        <w:tc>
          <w:tcPr>
            <w:tcW w:w="3103" w:type="dxa"/>
          </w:tcPr>
          <w:p w14:paraId="639BC7F2" w14:textId="77777777" w:rsidR="00DF1795" w:rsidRPr="003D5953"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3D5953">
              <w:t>10 years</w:t>
            </w:r>
          </w:p>
        </w:tc>
        <w:tc>
          <w:tcPr>
            <w:tcW w:w="3103" w:type="dxa"/>
          </w:tcPr>
          <w:p w14:paraId="6A52806E" w14:textId="77777777" w:rsidR="00DF1795" w:rsidRPr="003D5953"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r w:rsidRPr="003D5953">
              <w:t>10%</w:t>
            </w:r>
          </w:p>
        </w:tc>
      </w:tr>
    </w:tbl>
    <w:p w14:paraId="33C8FEDC" w14:textId="77777777" w:rsidR="00DF1795" w:rsidRPr="0098572E" w:rsidRDefault="00DF1795" w:rsidP="00DF1795">
      <w:pPr>
        <w:pStyle w:val="Heading4"/>
      </w:pPr>
      <w:r>
        <w:t>Im</w:t>
      </w:r>
      <w:r w:rsidRPr="0098572E">
        <w:t xml:space="preserve">pairment of property, plant and equipment, and intangible assets </w:t>
      </w:r>
    </w:p>
    <w:p w14:paraId="40E60F85" w14:textId="77777777" w:rsidR="00DF1795" w:rsidRPr="0098572E" w:rsidRDefault="00DF1795" w:rsidP="00DF1795">
      <w:pPr>
        <w:pStyle w:val="BodyText"/>
      </w:pPr>
      <w:r w:rsidRPr="00F06F4E">
        <w:t>The Office</w:t>
      </w:r>
      <w:r w:rsidRPr="0098572E">
        <w:t xml:space="preserve"> does not hold any cash-generating assets. Assets are considered cash-generating where their primary objective is to generate a commercial return. </w:t>
      </w:r>
    </w:p>
    <w:p w14:paraId="54EE33BD" w14:textId="77777777" w:rsidR="00DF1795" w:rsidRPr="0098572E" w:rsidRDefault="00DF1795" w:rsidP="00DF1795">
      <w:pPr>
        <w:pStyle w:val="BodyText"/>
      </w:pPr>
      <w:r w:rsidRPr="0098572E">
        <w:t>Property, plant</w:t>
      </w:r>
      <w:r w:rsidR="00985AB6" w:rsidRPr="005213AA">
        <w:t>,</w:t>
      </w:r>
      <w:r w:rsidRPr="0098572E">
        <w:t xml:space="preserve"> and equipment and intangible assets held at cost that have a finite useful life are reviewed for impairment whenever events or changes in circumstances indicate that the carrying amount may not be recoverable. An impairment loss is recognised for the amount by which the asset’s carrying amount exceeds its recoverable service amount. The recoverable service amount is the higher of an asset’s fair value less costs to sell and value in use. </w:t>
      </w:r>
    </w:p>
    <w:p w14:paraId="5143AC01" w14:textId="77777777" w:rsidR="00DF1795" w:rsidRPr="0098572E" w:rsidRDefault="00DF1795" w:rsidP="00DF1795">
      <w:pPr>
        <w:pStyle w:val="BodyText"/>
      </w:pPr>
      <w:r w:rsidRPr="0098572E">
        <w:t>Value in use is the present value of the asset’s remaining serv</w:t>
      </w:r>
      <w:r>
        <w:t xml:space="preserve">ice potential. Value in use is </w:t>
      </w:r>
      <w:r w:rsidRPr="0098572E">
        <w:t xml:space="preserve">determined using an approach based on either a depreciated replacement cost approach, restoration cost approach, or a service units approach. The most appropriate approach used to measure value in use depends on the nature of the impairment and availability of information. </w:t>
      </w:r>
    </w:p>
    <w:p w14:paraId="2C2A941B" w14:textId="77777777" w:rsidR="00DF1795" w:rsidRPr="0098572E" w:rsidRDefault="00DF1795" w:rsidP="00DF1795">
      <w:pPr>
        <w:pStyle w:val="BodyText"/>
      </w:pPr>
      <w:r w:rsidRPr="0098572E">
        <w:t xml:space="preserve">If an asset’s carrying amount exceeds its recoverable service amount, the asset is regarded as impaired and the carrying amount is written down to the recoverable amount. The total impairment loss is recognised in the surplus or deficit. </w:t>
      </w:r>
    </w:p>
    <w:p w14:paraId="78809F4E" w14:textId="77777777" w:rsidR="00DF1795" w:rsidRDefault="00DF1795" w:rsidP="00DF1795">
      <w:pPr>
        <w:pStyle w:val="BodyText"/>
      </w:pPr>
      <w:r w:rsidRPr="0098572E">
        <w:t>The reversal of an impairment loss is recognised in the surplus or deficit.</w:t>
      </w:r>
    </w:p>
    <w:p w14:paraId="796C68D2" w14:textId="77777777" w:rsidR="00DF1795" w:rsidRDefault="00DF1795" w:rsidP="00DF1795">
      <w:pPr>
        <w:pStyle w:val="Heading4"/>
      </w:pPr>
      <w:r w:rsidRPr="0098572E">
        <w:t xml:space="preserve">Payables </w:t>
      </w:r>
    </w:p>
    <w:p w14:paraId="4EFE394C" w14:textId="77777777" w:rsidR="00DF1795" w:rsidRPr="004E2AAE" w:rsidRDefault="00DF1795" w:rsidP="00DF1795">
      <w:pPr>
        <w:pStyle w:val="BodyText"/>
      </w:pPr>
      <w:r>
        <w:t>Short-term payables are recorded at the amount payable.</w:t>
      </w:r>
    </w:p>
    <w:p w14:paraId="09E8FFF0" w14:textId="77777777" w:rsidR="00DF1795" w:rsidRPr="0098572E" w:rsidRDefault="00DF1795" w:rsidP="00AF25CC">
      <w:pPr>
        <w:pStyle w:val="Heading4"/>
        <w:spacing w:line="360" w:lineRule="auto"/>
      </w:pPr>
      <w:r w:rsidRPr="0098572E">
        <w:t>Employee entitlements</w:t>
      </w:r>
    </w:p>
    <w:p w14:paraId="4AAF602C" w14:textId="77777777" w:rsidR="00645C16" w:rsidRDefault="007C2037" w:rsidP="00DF1795">
      <w:pPr>
        <w:pStyle w:val="BodyText"/>
        <w:rPr>
          <w:i/>
        </w:rPr>
      </w:pPr>
      <w:r>
        <w:rPr>
          <w:i/>
        </w:rPr>
        <w:t xml:space="preserve">Short-term employee entitlements </w:t>
      </w:r>
    </w:p>
    <w:p w14:paraId="4509447C" w14:textId="77777777" w:rsidR="00DF1795" w:rsidRPr="0098572E" w:rsidRDefault="00DF1795" w:rsidP="00DF1795">
      <w:pPr>
        <w:pStyle w:val="BodyText"/>
      </w:pPr>
      <w:r w:rsidRPr="0098572E">
        <w:t>Employee entitlements that are due to be settled within 12 months after the end of the period in which the employee renders the related service are measured  based on accrued entitlements at current rates of pay. These include salaries and wages accrued up to balance date, annual leave earned but not yet taken at balance date</w:t>
      </w:r>
      <w:r>
        <w:t>,</w:t>
      </w:r>
      <w:r w:rsidRPr="0098572E">
        <w:t xml:space="preserve"> and long service leave gratuities expected to be settled within 12 months. </w:t>
      </w:r>
    </w:p>
    <w:p w14:paraId="0F953459" w14:textId="77777777" w:rsidR="00DF1795" w:rsidRPr="0098572E" w:rsidRDefault="00DF1795" w:rsidP="00DF1795">
      <w:pPr>
        <w:pStyle w:val="BodyText"/>
      </w:pPr>
      <w:r w:rsidRPr="00F06F4E">
        <w:t>The Office</w:t>
      </w:r>
      <w:r w:rsidRPr="0098572E">
        <w:t xml:space="preserve"> recognises a liability and an expense for performance pay where there is a contractual obligation, or where there is a past practice that has created a constructive obligation and a reliable estimate of the obligation can be made.</w:t>
      </w:r>
    </w:p>
    <w:p w14:paraId="6A05F200" w14:textId="77777777" w:rsidR="00DF1795" w:rsidRPr="0098572E" w:rsidRDefault="00DF1795" w:rsidP="00DF1795">
      <w:pPr>
        <w:pStyle w:val="BodyText"/>
      </w:pPr>
      <w:r w:rsidRPr="00F06F4E">
        <w:t>The Office</w:t>
      </w:r>
      <w:r w:rsidRPr="0098572E">
        <w:t xml:space="preserve"> employment agreement provides for an ‘open ended’ sick leave entitlement, accordingly there is no sick leave liability for accounting purposes.</w:t>
      </w:r>
    </w:p>
    <w:p w14:paraId="0121E8A2" w14:textId="77777777" w:rsidR="00645C16" w:rsidRDefault="003B63FD" w:rsidP="00AF25CC">
      <w:pPr>
        <w:pStyle w:val="BodyText"/>
        <w:spacing w:before="360"/>
        <w:rPr>
          <w:i/>
        </w:rPr>
      </w:pPr>
      <w:r>
        <w:rPr>
          <w:i/>
        </w:rPr>
        <w:t>Long-term employee entitlements</w:t>
      </w:r>
    </w:p>
    <w:p w14:paraId="0CE64148" w14:textId="77777777" w:rsidR="00DF1795" w:rsidRPr="0098572E" w:rsidRDefault="00DF1795" w:rsidP="00DF1795">
      <w:pPr>
        <w:pStyle w:val="BodyText"/>
      </w:pPr>
      <w:r w:rsidRPr="0098572E">
        <w:t>Employee benefits that are due to be settled beyond 12 months after the end of period in which the employee renders that related service, such as long service leave</w:t>
      </w:r>
      <w:r>
        <w:t>,</w:t>
      </w:r>
      <w:r w:rsidRPr="0098572E">
        <w:t xml:space="preserve"> have been calculated on an actuarial basis. The calculations are based on: </w:t>
      </w:r>
    </w:p>
    <w:p w14:paraId="786323FF" w14:textId="77777777" w:rsidR="00DF1795" w:rsidRPr="0098572E" w:rsidRDefault="00DF1795" w:rsidP="00DF1795">
      <w:pPr>
        <w:pStyle w:val="Bullet1"/>
      </w:pPr>
      <w:r w:rsidRPr="0098572E">
        <w:t>likely future entitlements based on years of service, years to entitlement, the likelihood that staff will reach the point of entitlement</w:t>
      </w:r>
      <w:r>
        <w:t>,</w:t>
      </w:r>
      <w:r w:rsidRPr="0098572E">
        <w:t xml:space="preserve"> and contractual entitlements information; and</w:t>
      </w:r>
    </w:p>
    <w:p w14:paraId="0E68E5DD" w14:textId="77777777" w:rsidR="00DF1795" w:rsidRPr="0098572E" w:rsidRDefault="00DF1795" w:rsidP="00DF1795">
      <w:pPr>
        <w:pStyle w:val="Bullet1"/>
      </w:pPr>
      <w:r>
        <w:t xml:space="preserve">the </w:t>
      </w:r>
      <w:r w:rsidRPr="0098572E">
        <w:t>present value of the estimated future cash flows.</w:t>
      </w:r>
    </w:p>
    <w:p w14:paraId="694700A9" w14:textId="77777777" w:rsidR="00DF1795" w:rsidRDefault="00DF1795" w:rsidP="00DF1795">
      <w:pPr>
        <w:pStyle w:val="BodyText"/>
      </w:pPr>
      <w:r w:rsidRPr="00F06F4E">
        <w:t>The Office’s</w:t>
      </w:r>
      <w:r w:rsidRPr="0098572E">
        <w:t xml:space="preserve"> terms and conditions of employment do not include a provision for retirement leave. Long service leave is available to </w:t>
      </w:r>
      <w:r>
        <w:t>two</w:t>
      </w:r>
      <w:r w:rsidRPr="0098572E">
        <w:t xml:space="preserve"> long-serving staff under ‘grandparent’ employment terms. Long service leave is not otherwise available to staff of </w:t>
      </w:r>
      <w:r w:rsidRPr="007E1D36">
        <w:t>the Office</w:t>
      </w:r>
      <w:r w:rsidRPr="0098572E">
        <w:t>.</w:t>
      </w:r>
    </w:p>
    <w:p w14:paraId="63F14822" w14:textId="29653F81" w:rsidR="00645C16" w:rsidRPr="00AF25CC" w:rsidRDefault="00645C16" w:rsidP="00AF25CC">
      <w:pPr>
        <w:pStyle w:val="BodyText"/>
        <w:spacing w:before="360"/>
        <w:rPr>
          <w:i/>
        </w:rPr>
      </w:pPr>
      <w:r w:rsidRPr="00AF25CC">
        <w:rPr>
          <w:i/>
        </w:rPr>
        <w:t xml:space="preserve">Long </w:t>
      </w:r>
      <w:r w:rsidR="00BE5A31">
        <w:rPr>
          <w:i/>
        </w:rPr>
        <w:t>s</w:t>
      </w:r>
      <w:r w:rsidR="00BE5A31" w:rsidRPr="00AF25CC">
        <w:rPr>
          <w:i/>
        </w:rPr>
        <w:t xml:space="preserve">ervice </w:t>
      </w:r>
      <w:r w:rsidR="00BE5A31">
        <w:rPr>
          <w:i/>
        </w:rPr>
        <w:t>l</w:t>
      </w:r>
      <w:r w:rsidR="00BE5A31" w:rsidRPr="00AF25CC">
        <w:rPr>
          <w:i/>
        </w:rPr>
        <w:t>eave</w:t>
      </w:r>
    </w:p>
    <w:p w14:paraId="3A691A0B" w14:textId="77777777" w:rsidR="00645C16" w:rsidRPr="0098572E" w:rsidRDefault="00645C16" w:rsidP="00DF1795">
      <w:pPr>
        <w:pStyle w:val="BodyText"/>
      </w:pPr>
      <w:r w:rsidRPr="0098572E">
        <w:t>Note (12) provides an analysis of the exposure in relation to estimates and uncertainties surrounding the long service leave liability.</w:t>
      </w:r>
    </w:p>
    <w:p w14:paraId="6D18DBBB" w14:textId="77777777" w:rsidR="00645C16" w:rsidRDefault="007C2037" w:rsidP="00AF25CC">
      <w:pPr>
        <w:pStyle w:val="BodyText"/>
        <w:spacing w:before="360"/>
        <w:rPr>
          <w:i/>
        </w:rPr>
      </w:pPr>
      <w:r>
        <w:rPr>
          <w:i/>
        </w:rPr>
        <w:t>Presentation of employee entitlements</w:t>
      </w:r>
    </w:p>
    <w:p w14:paraId="6DB27690" w14:textId="77777777" w:rsidR="00DF1795" w:rsidRPr="0098572E" w:rsidRDefault="00DF1795" w:rsidP="00DF1795">
      <w:pPr>
        <w:pStyle w:val="BodyText"/>
      </w:pPr>
      <w:r w:rsidRPr="0098572E">
        <w:t>Annual leave, vested long service leave and non-vested long service leave expected to be settled within 12 months of balance date are classified as a current liability. All other employee entitlements are classified as a non-current liability.</w:t>
      </w:r>
    </w:p>
    <w:p w14:paraId="727B6639" w14:textId="77777777" w:rsidR="00DF1795" w:rsidRPr="0098572E" w:rsidRDefault="00DF1795" w:rsidP="00AF25CC">
      <w:pPr>
        <w:pStyle w:val="Heading4"/>
        <w:spacing w:line="360" w:lineRule="auto"/>
      </w:pPr>
      <w:r w:rsidRPr="0098572E">
        <w:t xml:space="preserve">Superannuation schemes </w:t>
      </w:r>
    </w:p>
    <w:p w14:paraId="030D98EA" w14:textId="77777777" w:rsidR="00645C16" w:rsidRDefault="007C2037" w:rsidP="00DF1795">
      <w:pPr>
        <w:pStyle w:val="BodyText"/>
        <w:rPr>
          <w:i/>
        </w:rPr>
      </w:pPr>
      <w:r>
        <w:rPr>
          <w:i/>
        </w:rPr>
        <w:t>Defined contribution schemes</w:t>
      </w:r>
    </w:p>
    <w:p w14:paraId="3BAFF464" w14:textId="77777777" w:rsidR="00DF1795" w:rsidRPr="0098572E" w:rsidRDefault="00DF1795" w:rsidP="00DF1795">
      <w:pPr>
        <w:pStyle w:val="BodyText"/>
      </w:pPr>
      <w:r w:rsidRPr="0098572E">
        <w:t xml:space="preserve">Obligations for contributions to KiwiSaver and other cash accumulation schemes are recognised as an expense in the surplus or deficit as incurred. </w:t>
      </w:r>
    </w:p>
    <w:p w14:paraId="683F80B0" w14:textId="77777777" w:rsidR="00DF1795" w:rsidRPr="0098572E" w:rsidRDefault="00DF1795" w:rsidP="00DF1795">
      <w:pPr>
        <w:pStyle w:val="Heading4"/>
      </w:pPr>
      <w:r w:rsidRPr="0098572E">
        <w:t xml:space="preserve">Equity </w:t>
      </w:r>
    </w:p>
    <w:p w14:paraId="6738C10B" w14:textId="77777777" w:rsidR="00DF1795" w:rsidRPr="0098572E" w:rsidRDefault="00DF1795" w:rsidP="00DF1795">
      <w:pPr>
        <w:pStyle w:val="BodyText"/>
      </w:pPr>
      <w:r w:rsidRPr="0098572E">
        <w:t>Equity is the Crown’s investment in the Office and is measured as the difference between total assets and total liabilities. Equity is disaggregated and classified as taxpayers’ funds</w:t>
      </w:r>
    </w:p>
    <w:p w14:paraId="0752AC6D" w14:textId="77777777" w:rsidR="00DF1795" w:rsidRPr="0098572E" w:rsidRDefault="00DF1795" w:rsidP="00DF1795">
      <w:pPr>
        <w:pStyle w:val="Heading4"/>
      </w:pPr>
      <w:r w:rsidRPr="0098572E">
        <w:t xml:space="preserve">Commitments </w:t>
      </w:r>
    </w:p>
    <w:p w14:paraId="09AD7485" w14:textId="77777777" w:rsidR="00DF1795" w:rsidRPr="0098572E" w:rsidRDefault="00DF1795" w:rsidP="00DF1795">
      <w:pPr>
        <w:pStyle w:val="BodyText"/>
      </w:pPr>
      <w:r w:rsidRPr="0098572E">
        <w:t>Commitments are future expenses and liabilities to be incurred on contracts</w:t>
      </w:r>
      <w:r>
        <w:t xml:space="preserve"> that have been entered into at </w:t>
      </w:r>
      <w:r w:rsidRPr="0098572E">
        <w:t>balance date. Information on non-cancellable capital and lease commitments are reported in the statements of commitments.</w:t>
      </w:r>
    </w:p>
    <w:p w14:paraId="5E5BB827" w14:textId="77777777" w:rsidR="00DF1795" w:rsidRDefault="00DF1795" w:rsidP="00DF1795">
      <w:pPr>
        <w:pStyle w:val="BodyText"/>
      </w:pPr>
      <w:r w:rsidRPr="0098572E">
        <w:t>Cancellable commitments that have penalty or exit costs explicit in the agreement on exercising that option to cancel are reported in the statement of commitments at the value of that penalty or exit cost.</w:t>
      </w:r>
    </w:p>
    <w:p w14:paraId="7FB4A5F4" w14:textId="77777777" w:rsidR="00DF1795" w:rsidRPr="0098572E" w:rsidRDefault="00DF1795" w:rsidP="00DF1795">
      <w:pPr>
        <w:pStyle w:val="Heading4"/>
      </w:pPr>
      <w:r w:rsidRPr="0098572E">
        <w:t xml:space="preserve">Goods and services tax (GST) </w:t>
      </w:r>
    </w:p>
    <w:p w14:paraId="504F7029" w14:textId="77777777" w:rsidR="00DF1795" w:rsidRPr="0098572E" w:rsidRDefault="00DF1795" w:rsidP="00DF1795">
      <w:pPr>
        <w:pStyle w:val="BodyText"/>
      </w:pPr>
      <w:r w:rsidRPr="0098291A">
        <w:t>All items in the financial statements and appropriation statements are stated exclusive of GST, except for receivables and payables, which are stated on a GST inclusive basis. Where GST is not recoverable as input tax, then it is recognised as part of the related asset or expense.</w:t>
      </w:r>
      <w:r w:rsidRPr="0098572E">
        <w:t xml:space="preserve"> </w:t>
      </w:r>
    </w:p>
    <w:p w14:paraId="128EABBD" w14:textId="77777777" w:rsidR="00DF1795" w:rsidRPr="0098572E" w:rsidRDefault="00DF1795" w:rsidP="00DF1795">
      <w:pPr>
        <w:pStyle w:val="BodyText"/>
      </w:pPr>
      <w:r w:rsidRPr="0098572E">
        <w:t xml:space="preserve">The net amount of GST recoverable from, or payable to, the Inland Revenue Department (IRD) is included as part of receivables or payables in the statement of financial position. </w:t>
      </w:r>
    </w:p>
    <w:p w14:paraId="065F3925" w14:textId="77777777" w:rsidR="00DF1795" w:rsidRPr="0098572E" w:rsidRDefault="00DF1795" w:rsidP="00DF1795">
      <w:pPr>
        <w:pStyle w:val="BodyText"/>
      </w:pPr>
      <w:r w:rsidRPr="0098572E">
        <w:t xml:space="preserve">The net GST paid to, or received from the IRD, including the GST relating to investing and financing activities, is classified as an operating cash flow in the statement of cash flows. </w:t>
      </w:r>
    </w:p>
    <w:p w14:paraId="0E1FFEDC" w14:textId="77777777" w:rsidR="00DF1795" w:rsidRPr="0098572E" w:rsidRDefault="00DF1795" w:rsidP="00DF1795">
      <w:pPr>
        <w:pStyle w:val="BodyText"/>
      </w:pPr>
      <w:r w:rsidRPr="0098572E">
        <w:t xml:space="preserve">Commitments and contingencies are disclosed exclusive of GST. </w:t>
      </w:r>
    </w:p>
    <w:p w14:paraId="7C80FD28" w14:textId="77777777" w:rsidR="00DF1795" w:rsidRPr="0098572E" w:rsidRDefault="00DF1795" w:rsidP="00DF1795">
      <w:pPr>
        <w:pStyle w:val="BodyText"/>
      </w:pPr>
      <w:r w:rsidRPr="0098572E">
        <w:t>Remuneration paid to Ombudsmen is exempt from GST pursuant to Part 1 section 6(3)(c) of the Goods and Services Tax Act 1985.</w:t>
      </w:r>
    </w:p>
    <w:p w14:paraId="7B7CF36B" w14:textId="77777777" w:rsidR="00DF1795" w:rsidRPr="0098572E" w:rsidRDefault="00DF1795" w:rsidP="00DF1795">
      <w:pPr>
        <w:pStyle w:val="Heading4"/>
      </w:pPr>
      <w:r w:rsidRPr="0098572E">
        <w:t>Income tax</w:t>
      </w:r>
    </w:p>
    <w:p w14:paraId="039354DF" w14:textId="77777777" w:rsidR="00DF1795" w:rsidRPr="0098572E" w:rsidRDefault="00DF1795" w:rsidP="00DF1795">
      <w:pPr>
        <w:pStyle w:val="BodyText"/>
      </w:pPr>
      <w:r w:rsidRPr="0098572E">
        <w:t xml:space="preserve">The Office of the Ombudsman is a public authority and consequently is exempt from the payment of income tax. Accordingly, no provision has been made for income tax. </w:t>
      </w:r>
    </w:p>
    <w:p w14:paraId="462BB25F" w14:textId="77777777" w:rsidR="00DF1795" w:rsidRPr="0098572E" w:rsidRDefault="00DF1795" w:rsidP="00DF1795">
      <w:pPr>
        <w:pStyle w:val="Heading4"/>
      </w:pPr>
      <w:r w:rsidRPr="0098572E">
        <w:t xml:space="preserve">Statement of cost accounting policies </w:t>
      </w:r>
    </w:p>
    <w:p w14:paraId="1566CBAB" w14:textId="77777777" w:rsidR="00DF1795" w:rsidRPr="0098572E" w:rsidRDefault="00DF1795" w:rsidP="00DF1795">
      <w:pPr>
        <w:pStyle w:val="BodyText"/>
      </w:pPr>
      <w:r w:rsidRPr="0098572E">
        <w:t>The Office has one output expense appropriation. All the Office’s costs with the exception of the remuneration of the Ombudsmen are charged to this output.</w:t>
      </w:r>
    </w:p>
    <w:p w14:paraId="23A01AD7" w14:textId="77777777" w:rsidR="00DF1795" w:rsidRPr="0098572E" w:rsidRDefault="00DF1795" w:rsidP="00DF1795">
      <w:pPr>
        <w:pStyle w:val="BodyText"/>
      </w:pPr>
      <w:r w:rsidRPr="0098572E">
        <w:t>There have been no changes in cost accounting policies since the date of the last audited financial statements.</w:t>
      </w:r>
    </w:p>
    <w:p w14:paraId="50327B07" w14:textId="77777777" w:rsidR="00DF1795" w:rsidRPr="0098572E" w:rsidRDefault="00DF1795" w:rsidP="00DF1795">
      <w:pPr>
        <w:pStyle w:val="Heading4"/>
      </w:pPr>
      <w:r w:rsidRPr="0098572E">
        <w:t>Critical accounting estimates and assumptions</w:t>
      </w:r>
    </w:p>
    <w:p w14:paraId="3BA69BFA" w14:textId="77777777" w:rsidR="00DF1795" w:rsidRPr="0098572E" w:rsidRDefault="00DF1795" w:rsidP="00DF1795">
      <w:pPr>
        <w:pStyle w:val="BodyText"/>
      </w:pPr>
      <w:r w:rsidRPr="0098572E">
        <w:t>In preparing these financial statements</w:t>
      </w:r>
      <w:r>
        <w:t>,</w:t>
      </w:r>
      <w:r w:rsidRPr="0098572E">
        <w:t xml:space="preserve"> the Office has made estimates and assumptions concerning the future.</w:t>
      </w:r>
    </w:p>
    <w:p w14:paraId="01BA96E6" w14:textId="77777777" w:rsidR="00DF1795" w:rsidRDefault="00DF1795" w:rsidP="00DF1795">
      <w:pPr>
        <w:pStyle w:val="BodyText"/>
      </w:pPr>
      <w:r w:rsidRPr="0098572E">
        <w:t>These estimates and assumptions may differ from the subsequent actual results. Estimates and assumptions are continually evaluated and are based on historical experience and other factors, including expectations of future events that are believed to be reasonable under the circumstances. The estimates and assumptions that have a significant risk of causing a material adjustment to the carrying amounts of assets and liabilities within the next financial year are discussed below.</w:t>
      </w:r>
    </w:p>
    <w:p w14:paraId="6E3B9732" w14:textId="77777777" w:rsidR="00DF1795" w:rsidRPr="0098572E" w:rsidRDefault="00DF1795" w:rsidP="00DF1795">
      <w:pPr>
        <w:pStyle w:val="Heading4"/>
      </w:pPr>
      <w:r w:rsidRPr="0098572E">
        <w:t>Critical judgements in applying accounting policies</w:t>
      </w:r>
    </w:p>
    <w:p w14:paraId="7F24485B" w14:textId="77777777" w:rsidR="00645C16" w:rsidRDefault="00DF1795" w:rsidP="00AF25CC">
      <w:pPr>
        <w:pStyle w:val="BodyText"/>
      </w:pPr>
      <w:r w:rsidRPr="0098572E">
        <w:t>Management has exercised the following critical judgements in applying accounting policies for the year ended 30 June 20</w:t>
      </w:r>
      <w:r w:rsidR="006A03F3">
        <w:t>20</w:t>
      </w:r>
      <w:r w:rsidRPr="0098572E">
        <w:t>.</w:t>
      </w:r>
    </w:p>
    <w:p w14:paraId="2DF8D142" w14:textId="77777777" w:rsidR="00DF1795" w:rsidRPr="00AF25CC" w:rsidRDefault="00645C16" w:rsidP="00AF25CC">
      <w:pPr>
        <w:pStyle w:val="BodyText"/>
        <w:spacing w:before="360" w:after="60" w:line="240" w:lineRule="auto"/>
        <w:rPr>
          <w:sz w:val="26"/>
          <w:szCs w:val="26"/>
        </w:rPr>
      </w:pPr>
      <w:r w:rsidRPr="00AF25CC">
        <w:rPr>
          <w:b/>
          <w:sz w:val="26"/>
          <w:szCs w:val="26"/>
        </w:rPr>
        <w:t>Budget and forecast figures</w:t>
      </w:r>
    </w:p>
    <w:p w14:paraId="3D8090BE" w14:textId="77777777" w:rsidR="00DF1795" w:rsidRPr="006A03F3" w:rsidRDefault="00DF1795" w:rsidP="00DF1795">
      <w:pPr>
        <w:pStyle w:val="BodyText"/>
      </w:pPr>
      <w:r w:rsidRPr="006A03F3">
        <w:t>The budget figures are those presented in the Information Supporting the Estimates of Appropriations for the Government of New Zealand for the year ended 30 June 20</w:t>
      </w:r>
      <w:r w:rsidR="006A03F3" w:rsidRPr="006A03F3">
        <w:t>20</w:t>
      </w:r>
      <w:r w:rsidRPr="006A03F3">
        <w:t xml:space="preserve"> (Main Estimates) and those amended by the Supplementary Estimates and any transfer made by Order in Council under the Public Finance Act 1989.</w:t>
      </w:r>
    </w:p>
    <w:p w14:paraId="083D929B" w14:textId="77777777" w:rsidR="00DF1795" w:rsidRPr="006A03F3" w:rsidRDefault="00DF1795" w:rsidP="00DF1795">
      <w:pPr>
        <w:pStyle w:val="BodyText"/>
      </w:pPr>
      <w:r w:rsidRPr="006A03F3">
        <w:t>The budget figures have been prepared in accordance with NZ GAAP, using accounting policies that are consistent with those adopted in preparing these financial statements.</w:t>
      </w:r>
    </w:p>
    <w:p w14:paraId="3D2E0605" w14:textId="77777777" w:rsidR="00DF1795" w:rsidRPr="006A03F3" w:rsidRDefault="00DF1795" w:rsidP="00DF1795">
      <w:pPr>
        <w:pStyle w:val="BodyText"/>
      </w:pPr>
      <w:r w:rsidRPr="006A03F3">
        <w:t xml:space="preserve">The financial forecasts are based on Budget Economic Forecast Update (BEFU) and have been prepared on the basis of assumptions as to future events that the Office reasonably expects to occur, associated with the actions it reasonably expects to take. </w:t>
      </w:r>
    </w:p>
    <w:p w14:paraId="29A9D31F" w14:textId="77777777" w:rsidR="00DF1795" w:rsidRPr="006A03F3" w:rsidRDefault="00DF1795" w:rsidP="00DF1795">
      <w:pPr>
        <w:pStyle w:val="BodyText"/>
      </w:pPr>
      <w:r w:rsidRPr="006A03F3">
        <w:t>These forecast financial statements have been compiled on the basis of existing government policies and ministerial expectations at the time the statements were finalised.</w:t>
      </w:r>
    </w:p>
    <w:p w14:paraId="731515EA" w14:textId="77777777" w:rsidR="00DF1795" w:rsidRPr="006A03F3" w:rsidRDefault="00DF1795" w:rsidP="00DF1795">
      <w:pPr>
        <w:pStyle w:val="BodyText"/>
      </w:pPr>
      <w:r w:rsidRPr="006A03F3">
        <w:t>These forecast financial statements were compiled on the basis of existing parliamentary outcomes at the time the statements were finalised.</w:t>
      </w:r>
    </w:p>
    <w:p w14:paraId="0AF6A10E" w14:textId="77777777" w:rsidR="00DF1795" w:rsidRPr="006A03F3" w:rsidRDefault="00DF1795" w:rsidP="00DF1795">
      <w:pPr>
        <w:pStyle w:val="BodyText"/>
      </w:pPr>
      <w:r w:rsidRPr="006A03F3">
        <w:t>The main assumptions are as follows:</w:t>
      </w:r>
    </w:p>
    <w:p w14:paraId="328D510E" w14:textId="77777777" w:rsidR="00DF1795" w:rsidRPr="006A03F3" w:rsidRDefault="00DF1795" w:rsidP="00DF1795">
      <w:pPr>
        <w:pStyle w:val="Bullet1"/>
      </w:pPr>
      <w:r w:rsidRPr="006A03F3">
        <w:t>There are no significant events or changes that would have a material impact on the BEFU forecast.</w:t>
      </w:r>
    </w:p>
    <w:p w14:paraId="726B5E0D" w14:textId="77777777" w:rsidR="00DF1795" w:rsidRPr="006A03F3" w:rsidRDefault="00DF1795" w:rsidP="00DF1795">
      <w:pPr>
        <w:pStyle w:val="Bullet1"/>
      </w:pPr>
      <w:r w:rsidRPr="006A03F3">
        <w:t>Factors that could lead to material differences between the forecast financial statements and the 2019</w:t>
      </w:r>
      <w:r w:rsidR="006A03F3">
        <w:t>/20</w:t>
      </w:r>
      <w:r w:rsidRPr="006A03F3">
        <w:t xml:space="preserve"> actual financial statements include changes to the baseline budget through new initiatives, or technical adjustments.</w:t>
      </w:r>
    </w:p>
    <w:p w14:paraId="1C03FC01" w14:textId="77777777" w:rsidR="00DF1795" w:rsidRPr="0098572E" w:rsidRDefault="00DF1795" w:rsidP="00DF1795">
      <w:pPr>
        <w:pStyle w:val="Heading4"/>
      </w:pPr>
      <w:r w:rsidRPr="0098572E">
        <w:t xml:space="preserve">Authorisation </w:t>
      </w:r>
      <w:r>
        <w:t>s</w:t>
      </w:r>
      <w:r w:rsidRPr="0098572E">
        <w:t>tatement</w:t>
      </w:r>
    </w:p>
    <w:p w14:paraId="5FE77FC3" w14:textId="77777777" w:rsidR="00DF1795" w:rsidRPr="006A03F3" w:rsidRDefault="00DF1795" w:rsidP="00DF1795">
      <w:pPr>
        <w:pStyle w:val="BodyText"/>
      </w:pPr>
      <w:r w:rsidRPr="006A03F3">
        <w:t>The forecast figures reported are those for the year ending 30 June 202</w:t>
      </w:r>
      <w:r w:rsidR="006A03F3">
        <w:t>1</w:t>
      </w:r>
      <w:r w:rsidRPr="006A03F3">
        <w:t xml:space="preserve"> included in BEFU 20</w:t>
      </w:r>
      <w:r w:rsidR="006A03F3">
        <w:t>20</w:t>
      </w:r>
      <w:r w:rsidRPr="006A03F3">
        <w:t xml:space="preserve">. These were authorised for issue on </w:t>
      </w:r>
      <w:r w:rsidR="0036131E" w:rsidRPr="0036131E">
        <w:t>18 April 2020</w:t>
      </w:r>
      <w:r w:rsidRPr="006A03F3">
        <w:t xml:space="preserve"> by the Chief Ombudsman, who is responsible for the forecast financial statements as presented. The preparation of these financial statements requires judgements, estimations, and assumptions that affect the application of policies and reported amounts of assets and liabilities, and income and expenses. The estimates and associated assumptions are based on historical experience and various other factors that are believed to be reasonable under the circumstances. Actual financial results achieved for the period covered are likely to vary from the information presented, and the variations may be material. </w:t>
      </w:r>
    </w:p>
    <w:p w14:paraId="4F1D4E08" w14:textId="77777777" w:rsidR="0006518F" w:rsidRDefault="00DF1795" w:rsidP="00DF1795">
      <w:pPr>
        <w:pStyle w:val="BodyText"/>
        <w:sectPr w:rsidR="0006518F" w:rsidSect="001A0640">
          <w:footerReference w:type="default" r:id="rId49"/>
          <w:footerReference w:type="first" r:id="rId50"/>
          <w:endnotePr>
            <w:numFmt w:val="decimal"/>
          </w:endnotePr>
          <w:pgSz w:w="11906" w:h="16838" w:code="9"/>
          <w:pgMar w:top="2438" w:right="1304" w:bottom="1701" w:left="1304" w:header="680" w:footer="680" w:gutter="0"/>
          <w:cols w:space="708"/>
          <w:docGrid w:linePitch="360"/>
        </w:sectPr>
      </w:pPr>
      <w:r w:rsidRPr="006A03F3">
        <w:t>It is not intended that the prospective financial statements will be updated subsequent to presentation.</w:t>
      </w:r>
    </w:p>
    <w:p w14:paraId="769B96F4" w14:textId="77777777" w:rsidR="00DF1795" w:rsidRDefault="00D315BD" w:rsidP="00DF1795">
      <w:pPr>
        <w:pStyle w:val="Heading3"/>
      </w:pPr>
      <w:r>
        <w:t>3</w:t>
      </w:r>
      <w:r w:rsidR="00DF1795" w:rsidRPr="007F5E57">
        <w:t>. Personn</w:t>
      </w:r>
      <w:r w:rsidR="00DF1795">
        <w:t>el costs</w:t>
      </w:r>
    </w:p>
    <w:p w14:paraId="49FB09E6" w14:textId="77777777" w:rsidR="00DF1795" w:rsidRPr="005D0CF1" w:rsidRDefault="00DF1795" w:rsidP="00DF1795">
      <w:pPr>
        <w:pStyle w:val="BodyText"/>
      </w:pPr>
      <w:r w:rsidRPr="005D0CF1">
        <w:t>Salaries and wages are recognised as an expense because employees provide services.</w:t>
      </w:r>
    </w:p>
    <w:tbl>
      <w:tblPr>
        <w:tblStyle w:val="TableGridAnnualReport9"/>
        <w:tblW w:w="9299" w:type="dxa"/>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Personnel costs "/>
      </w:tblPr>
      <w:tblGrid>
        <w:gridCol w:w="1132"/>
        <w:gridCol w:w="3327"/>
        <w:gridCol w:w="1132"/>
        <w:gridCol w:w="1166"/>
        <w:gridCol w:w="1206"/>
        <w:gridCol w:w="1336"/>
      </w:tblGrid>
      <w:tr w:rsidR="00DF1795" w14:paraId="5510AF13" w14:textId="77777777" w:rsidTr="00BE5A3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 w:type="pct"/>
            <w:hideMark/>
          </w:tcPr>
          <w:p w14:paraId="3EB78EC0" w14:textId="2E026A8F" w:rsidR="00DF1795" w:rsidRDefault="00DF1795" w:rsidP="00506E02">
            <w:pPr>
              <w:pStyle w:val="Tableheadingrow1"/>
              <w:jc w:val="right"/>
            </w:pPr>
            <w:r w:rsidRPr="009C4FBB">
              <w:t>30/06/</w:t>
            </w:r>
            <w:r w:rsidR="00B65749">
              <w:t>19</w:t>
            </w:r>
            <w:r w:rsidRPr="009C4FBB">
              <w:br/>
              <w:t>Actual</w:t>
            </w:r>
          </w:p>
          <w:p w14:paraId="2DBECA8A" w14:textId="77777777" w:rsidR="00BE5A31" w:rsidRPr="009C4FBB" w:rsidRDefault="00BE5A31" w:rsidP="00506E02">
            <w:pPr>
              <w:pStyle w:val="Tableheadingrow1"/>
              <w:jc w:val="right"/>
            </w:pPr>
          </w:p>
          <w:p w14:paraId="22EC3F8E" w14:textId="77777777" w:rsidR="00DF1795" w:rsidRDefault="00DF1795" w:rsidP="00506E02">
            <w:pPr>
              <w:pStyle w:val="Tableheadingrow1"/>
              <w:jc w:val="right"/>
            </w:pPr>
          </w:p>
          <w:p w14:paraId="5C4F0253" w14:textId="77777777" w:rsidR="00DF1795" w:rsidRPr="009C4FBB" w:rsidRDefault="00DF1795" w:rsidP="00506E02">
            <w:pPr>
              <w:pStyle w:val="Tableheadingrow1"/>
              <w:jc w:val="right"/>
            </w:pPr>
            <w:r w:rsidRPr="009C4FBB">
              <w:t>$(000)</w:t>
            </w:r>
          </w:p>
        </w:tc>
        <w:tc>
          <w:tcPr>
            <w:tcW w:w="1825" w:type="pct"/>
          </w:tcPr>
          <w:p w14:paraId="5E191EE4" w14:textId="77777777"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537" w:type="pct"/>
            <w:hideMark/>
          </w:tcPr>
          <w:p w14:paraId="04C2EA85" w14:textId="77777777"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9C4FBB">
              <w:t>30/06/</w:t>
            </w:r>
            <w:r w:rsidR="00B65749">
              <w:t>20</w:t>
            </w:r>
            <w:r w:rsidRPr="009C4FBB">
              <w:br/>
              <w:t>Actual</w:t>
            </w:r>
          </w:p>
          <w:p w14:paraId="03F0F8AB" w14:textId="77777777" w:rsidR="00BE5A31" w:rsidRDefault="00BE5A31" w:rsidP="00BE5A31">
            <w:pPr>
              <w:pStyle w:val="Tableheadingrow1"/>
              <w:spacing w:after="0"/>
              <w:jc w:val="right"/>
              <w:cnfStyle w:val="100000000000" w:firstRow="1" w:lastRow="0" w:firstColumn="0" w:lastColumn="0" w:oddVBand="0" w:evenVBand="0" w:oddHBand="0" w:evenHBand="0" w:firstRowFirstColumn="0" w:firstRowLastColumn="0" w:lastRowFirstColumn="0" w:lastRowLastColumn="0"/>
            </w:pPr>
          </w:p>
          <w:p w14:paraId="383A043C" w14:textId="77777777" w:rsidR="00BE5A31" w:rsidRDefault="00BE5A31" w:rsidP="00BE5A31">
            <w:pPr>
              <w:pStyle w:val="Tableheadingrow1"/>
              <w:spacing w:after="0"/>
              <w:jc w:val="right"/>
              <w:cnfStyle w:val="100000000000" w:firstRow="1" w:lastRow="0" w:firstColumn="0" w:lastColumn="0" w:oddVBand="0" w:evenVBand="0" w:oddHBand="0" w:evenHBand="0" w:firstRowFirstColumn="0" w:firstRowLastColumn="0" w:lastRowFirstColumn="0" w:lastRowLastColumn="0"/>
            </w:pPr>
          </w:p>
          <w:p w14:paraId="0A27385C" w14:textId="442E1DCC" w:rsidR="00DF1795" w:rsidRPr="009C4FBB" w:rsidRDefault="00DF1795" w:rsidP="00BE5A31">
            <w:pPr>
              <w:pStyle w:val="Tableheadingrow1"/>
              <w:spacing w:after="0"/>
              <w:jc w:val="right"/>
              <w:cnfStyle w:val="100000000000" w:firstRow="1" w:lastRow="0" w:firstColumn="0" w:lastColumn="0" w:oddVBand="0" w:evenVBand="0" w:oddHBand="0" w:evenHBand="0" w:firstRowFirstColumn="0" w:firstRowLastColumn="0" w:lastRowFirstColumn="0" w:lastRowLastColumn="0"/>
            </w:pPr>
            <w:r w:rsidRPr="009C4FBB">
              <w:t>$(000)</w:t>
            </w:r>
          </w:p>
        </w:tc>
        <w:tc>
          <w:tcPr>
            <w:tcW w:w="627" w:type="pct"/>
          </w:tcPr>
          <w:p w14:paraId="1DA9C889" w14:textId="77777777"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9C4FBB">
              <w:t>30/06/</w:t>
            </w:r>
            <w:r w:rsidR="00B65749">
              <w:t>20</w:t>
            </w:r>
          </w:p>
          <w:p w14:paraId="157F0291" w14:textId="77777777"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9C4FBB">
              <w:t xml:space="preserve">Main </w:t>
            </w:r>
            <w:r>
              <w:t>e</w:t>
            </w:r>
            <w:r w:rsidRPr="009C4FBB">
              <w:t>stimates</w:t>
            </w:r>
          </w:p>
          <w:p w14:paraId="44924380" w14:textId="77777777"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14:paraId="3A3462A3" w14:textId="77777777"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9C4FBB">
              <w:t>$(000)</w:t>
            </w:r>
          </w:p>
        </w:tc>
        <w:tc>
          <w:tcPr>
            <w:tcW w:w="666" w:type="pct"/>
          </w:tcPr>
          <w:p w14:paraId="06B8D897" w14:textId="77777777"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9C4FBB">
              <w:t>30/06/</w:t>
            </w:r>
            <w:r w:rsidR="00B65749">
              <w:t>20</w:t>
            </w:r>
          </w:p>
          <w:p w14:paraId="7C59D65E" w14:textId="77777777"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9C4FBB">
              <w:t xml:space="preserve">Supp. </w:t>
            </w:r>
            <w:r>
              <w:t>e</w:t>
            </w:r>
            <w:r w:rsidRPr="009C4FBB">
              <w:t>stimates</w:t>
            </w:r>
          </w:p>
          <w:p w14:paraId="1D81D939" w14:textId="77777777"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14:paraId="197729F7" w14:textId="77777777"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9C4FBB">
              <w:t>$(000)</w:t>
            </w:r>
          </w:p>
        </w:tc>
        <w:tc>
          <w:tcPr>
            <w:tcW w:w="736" w:type="pct"/>
          </w:tcPr>
          <w:p w14:paraId="0B919C6F" w14:textId="77777777"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w:t>
            </w:r>
            <w:r w:rsidR="00B65749">
              <w:t>21</w:t>
            </w:r>
          </w:p>
          <w:p w14:paraId="6C2B0E89" w14:textId="77777777"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9C4FBB">
              <w:t>Unaudited</w:t>
            </w:r>
          </w:p>
          <w:p w14:paraId="4AD99129" w14:textId="77777777"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f</w:t>
            </w:r>
            <w:r w:rsidRPr="009C4FBB">
              <w:t>orecast</w:t>
            </w:r>
            <w:r>
              <w:t xml:space="preserve"> </w:t>
            </w:r>
            <w:r w:rsidRPr="009C4FBB">
              <w:t xml:space="preserve">  IPSAS</w:t>
            </w:r>
            <w:r>
              <w:t>*</w:t>
            </w:r>
          </w:p>
          <w:p w14:paraId="17A2A13F" w14:textId="77777777" w:rsidR="00DF1795" w:rsidRPr="009C4FBB"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9C4FBB">
              <w:t>$(000)</w:t>
            </w:r>
          </w:p>
        </w:tc>
      </w:tr>
      <w:tr w:rsidR="00B65749" w14:paraId="351A0A2B" w14:textId="77777777" w:rsidTr="00BE5A3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bottom w:val="single" w:sz="4" w:space="0" w:color="FFFFFF" w:themeColor="background1"/>
            </w:tcBorders>
            <w:shd w:val="clear" w:color="auto" w:fill="E9E9E9"/>
          </w:tcPr>
          <w:p w14:paraId="7C1946C9" w14:textId="77777777" w:rsidR="00B65749" w:rsidRPr="00706781" w:rsidRDefault="00B65749" w:rsidP="00B65749">
            <w:pPr>
              <w:pStyle w:val="Tablebodytextnospaceafter"/>
              <w:jc w:val="right"/>
            </w:pPr>
            <w:r>
              <w:rPr>
                <w:rStyle w:val="Emphasis"/>
                <w:b w:val="0"/>
              </w:rPr>
              <w:t>9,798</w:t>
            </w:r>
          </w:p>
        </w:tc>
        <w:tc>
          <w:tcPr>
            <w:tcW w:w="1825" w:type="pct"/>
            <w:tcBorders>
              <w:bottom w:val="single" w:sz="4" w:space="0" w:color="FFFFFF" w:themeColor="background1"/>
            </w:tcBorders>
            <w:hideMark/>
          </w:tcPr>
          <w:p w14:paraId="70BD99E2" w14:textId="77777777" w:rsidR="00B65749" w:rsidRPr="009C4FBB" w:rsidRDefault="00B65749" w:rsidP="00B65749">
            <w:pPr>
              <w:pStyle w:val="Tablebodytextnospaceafter"/>
              <w:cnfStyle w:val="000000100000" w:firstRow="0" w:lastRow="0" w:firstColumn="0" w:lastColumn="0" w:oddVBand="0" w:evenVBand="0" w:oddHBand="1" w:evenHBand="0" w:firstRowFirstColumn="0" w:firstRowLastColumn="0" w:lastRowFirstColumn="0" w:lastRowLastColumn="0"/>
            </w:pPr>
            <w:r w:rsidRPr="009C4FBB">
              <w:t>Salaries and wages</w:t>
            </w:r>
          </w:p>
        </w:tc>
        <w:tc>
          <w:tcPr>
            <w:tcW w:w="537" w:type="pct"/>
          </w:tcPr>
          <w:p w14:paraId="34C55F86" w14:textId="77777777" w:rsidR="00B65749" w:rsidRPr="00C11E2B"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12,265</w:t>
            </w:r>
          </w:p>
        </w:tc>
        <w:tc>
          <w:tcPr>
            <w:tcW w:w="627" w:type="pct"/>
          </w:tcPr>
          <w:p w14:paraId="12EE6B3A" w14:textId="77777777" w:rsidR="00B65749" w:rsidRPr="00B52FF1" w:rsidRDefault="002974C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13</w:t>
            </w:r>
            <w:r w:rsidR="0036131E">
              <w:t>,244</w:t>
            </w:r>
          </w:p>
        </w:tc>
        <w:tc>
          <w:tcPr>
            <w:tcW w:w="666" w:type="pct"/>
          </w:tcPr>
          <w:p w14:paraId="5F9457DA" w14:textId="77777777" w:rsidR="00B65749" w:rsidRPr="0098291A"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highlight w:val="yellow"/>
              </w:rPr>
            </w:pPr>
            <w:r w:rsidRPr="0036131E">
              <w:t>13,244</w:t>
            </w:r>
          </w:p>
        </w:tc>
        <w:tc>
          <w:tcPr>
            <w:tcW w:w="736" w:type="pct"/>
          </w:tcPr>
          <w:p w14:paraId="58FB207C" w14:textId="77777777" w:rsidR="00B65749" w:rsidRPr="00B52FF1"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18,069</w:t>
            </w:r>
          </w:p>
        </w:tc>
      </w:tr>
      <w:tr w:rsidR="00B65749" w14:paraId="1352C4BF" w14:textId="77777777" w:rsidTr="00BE5A31">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tcBorders>
            <w:shd w:val="clear" w:color="auto" w:fill="E9E9E9"/>
            <w:vAlign w:val="bottom"/>
          </w:tcPr>
          <w:p w14:paraId="4304D449" w14:textId="77777777" w:rsidR="00B65749" w:rsidRPr="00706781" w:rsidRDefault="00B65749" w:rsidP="00B65749">
            <w:pPr>
              <w:pStyle w:val="Tablebodytextnospaceafter"/>
              <w:jc w:val="right"/>
            </w:pPr>
            <w:r>
              <w:rPr>
                <w:rStyle w:val="Emphasis"/>
                <w:b w:val="0"/>
              </w:rPr>
              <w:t>395</w:t>
            </w:r>
          </w:p>
        </w:tc>
        <w:tc>
          <w:tcPr>
            <w:tcW w:w="1825" w:type="pct"/>
            <w:tcBorders>
              <w:top w:val="single" w:sz="4" w:space="0" w:color="FFFFFF" w:themeColor="background1"/>
            </w:tcBorders>
            <w:hideMark/>
          </w:tcPr>
          <w:p w14:paraId="2B50C4FE" w14:textId="77777777" w:rsidR="00B65749" w:rsidRPr="009C4FBB" w:rsidRDefault="00B65749" w:rsidP="00B65749">
            <w:pPr>
              <w:pStyle w:val="Tablebodytextnospaceafter"/>
              <w:cnfStyle w:val="000000010000" w:firstRow="0" w:lastRow="0" w:firstColumn="0" w:lastColumn="0" w:oddVBand="0" w:evenVBand="0" w:oddHBand="0" w:evenHBand="1" w:firstRowFirstColumn="0" w:firstRowLastColumn="0" w:lastRowFirstColumn="0" w:lastRowLastColumn="0"/>
            </w:pPr>
            <w:r w:rsidRPr="009C4FBB">
              <w:t>Employer contributions to staff superannuation</w:t>
            </w:r>
          </w:p>
        </w:tc>
        <w:tc>
          <w:tcPr>
            <w:tcW w:w="537" w:type="pct"/>
            <w:vAlign w:val="bottom"/>
          </w:tcPr>
          <w:p w14:paraId="54A22142" w14:textId="77777777" w:rsidR="00B65749" w:rsidRPr="00E92E0C" w:rsidRDefault="00AE2E80"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757</w:t>
            </w:r>
          </w:p>
        </w:tc>
        <w:tc>
          <w:tcPr>
            <w:tcW w:w="627" w:type="pct"/>
            <w:vAlign w:val="bottom"/>
          </w:tcPr>
          <w:p w14:paraId="6AE2CAC6" w14:textId="77777777" w:rsidR="00B65749" w:rsidRPr="00B52FF1"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577</w:t>
            </w:r>
          </w:p>
        </w:tc>
        <w:tc>
          <w:tcPr>
            <w:tcW w:w="666" w:type="pct"/>
            <w:vAlign w:val="bottom"/>
          </w:tcPr>
          <w:p w14:paraId="1989FA0E" w14:textId="77777777" w:rsidR="00B65749" w:rsidRPr="0098291A"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highlight w:val="yellow"/>
              </w:rPr>
            </w:pPr>
            <w:r w:rsidRPr="0036131E">
              <w:t>577</w:t>
            </w:r>
          </w:p>
        </w:tc>
        <w:tc>
          <w:tcPr>
            <w:tcW w:w="736" w:type="pct"/>
            <w:vAlign w:val="bottom"/>
          </w:tcPr>
          <w:p w14:paraId="5D4AA2C2" w14:textId="77777777" w:rsidR="00B65749" w:rsidRPr="00B52FF1"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734</w:t>
            </w:r>
          </w:p>
        </w:tc>
      </w:tr>
      <w:tr w:rsidR="00B65749" w14:paraId="742441AA" w14:textId="77777777" w:rsidTr="00BE5A3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tcBorders>
            <w:shd w:val="clear" w:color="auto" w:fill="E9E9E9"/>
            <w:vAlign w:val="bottom"/>
          </w:tcPr>
          <w:p w14:paraId="695285D0" w14:textId="77777777" w:rsidR="00B65749" w:rsidRPr="00706781" w:rsidRDefault="00B65749" w:rsidP="00B65749">
            <w:pPr>
              <w:pStyle w:val="Tablebodytextnospaceafter"/>
              <w:jc w:val="right"/>
            </w:pPr>
            <w:r>
              <w:rPr>
                <w:rStyle w:val="Emphasis"/>
                <w:b w:val="0"/>
              </w:rPr>
              <w:t>755</w:t>
            </w:r>
          </w:p>
        </w:tc>
        <w:tc>
          <w:tcPr>
            <w:tcW w:w="1825" w:type="pct"/>
            <w:tcBorders>
              <w:bottom w:val="single" w:sz="4" w:space="0" w:color="FFFFFF" w:themeColor="background1"/>
            </w:tcBorders>
          </w:tcPr>
          <w:p w14:paraId="1DE45FC5" w14:textId="77777777" w:rsidR="00B65749" w:rsidRPr="009C4FBB" w:rsidRDefault="00B65749" w:rsidP="00B65749">
            <w:pPr>
              <w:pStyle w:val="Tablebodytextnospaceafter"/>
              <w:cnfStyle w:val="000000100000" w:firstRow="0" w:lastRow="0" w:firstColumn="0" w:lastColumn="0" w:oddVBand="0" w:evenVBand="0" w:oddHBand="1" w:evenHBand="0" w:firstRowFirstColumn="0" w:firstRowLastColumn="0" w:lastRowFirstColumn="0" w:lastRowLastColumn="0"/>
            </w:pPr>
            <w:r w:rsidRPr="009C4FBB">
              <w:t>Other personnel costs</w:t>
            </w:r>
          </w:p>
        </w:tc>
        <w:tc>
          <w:tcPr>
            <w:tcW w:w="537" w:type="pct"/>
            <w:tcBorders>
              <w:bottom w:val="single" w:sz="4" w:space="0" w:color="FFFFFF" w:themeColor="background1"/>
            </w:tcBorders>
            <w:vAlign w:val="bottom"/>
          </w:tcPr>
          <w:p w14:paraId="5D3ACEEC" w14:textId="77777777" w:rsidR="00B65749" w:rsidRPr="00E92E0C" w:rsidRDefault="00AE2E80"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1,207</w:t>
            </w:r>
          </w:p>
        </w:tc>
        <w:tc>
          <w:tcPr>
            <w:tcW w:w="627" w:type="pct"/>
            <w:tcBorders>
              <w:bottom w:val="single" w:sz="4" w:space="0" w:color="FFFFFF" w:themeColor="background1"/>
            </w:tcBorders>
            <w:vAlign w:val="bottom"/>
          </w:tcPr>
          <w:p w14:paraId="34212314" w14:textId="77777777" w:rsidR="00B65749" w:rsidRPr="008F6657"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666" w:type="pct"/>
            <w:tcBorders>
              <w:bottom w:val="single" w:sz="4" w:space="0" w:color="FFFFFF" w:themeColor="background1"/>
            </w:tcBorders>
            <w:vAlign w:val="bottom"/>
          </w:tcPr>
          <w:p w14:paraId="764B8CF4" w14:textId="77777777" w:rsidR="00B65749" w:rsidRPr="009F1576"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736" w:type="pct"/>
            <w:tcBorders>
              <w:bottom w:val="single" w:sz="4" w:space="0" w:color="FFFFFF" w:themeColor="background1"/>
            </w:tcBorders>
            <w:vAlign w:val="bottom"/>
          </w:tcPr>
          <w:p w14:paraId="4B6B72E9" w14:textId="77777777" w:rsidR="00B65749" w:rsidRPr="008F6657"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r>
      <w:tr w:rsidR="00B65749" w14:paraId="45B9B3C8" w14:textId="77777777" w:rsidTr="00BE5A31">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tcBorders>
          </w:tcPr>
          <w:p w14:paraId="2DF7FB9D" w14:textId="77777777" w:rsidR="00B65749" w:rsidRPr="0036131E" w:rsidRDefault="00B65749" w:rsidP="00B65749">
            <w:pPr>
              <w:pStyle w:val="Tablebodytextnospaceafter"/>
              <w:jc w:val="right"/>
              <w:rPr>
                <w:rStyle w:val="Emphasis"/>
                <w:b w:val="0"/>
                <w:u w:val="single"/>
              </w:rPr>
            </w:pPr>
            <w:r w:rsidRPr="0036131E">
              <w:rPr>
                <w:rStyle w:val="Emphasis"/>
                <w:b w:val="0"/>
                <w:u w:val="single"/>
              </w:rPr>
              <w:t>10,948</w:t>
            </w:r>
          </w:p>
        </w:tc>
        <w:tc>
          <w:tcPr>
            <w:tcW w:w="1825" w:type="pct"/>
            <w:tcBorders>
              <w:top w:val="single" w:sz="4" w:space="0" w:color="FFFFFF" w:themeColor="background1"/>
              <w:bottom w:val="single" w:sz="4" w:space="0" w:color="FFFFFF" w:themeColor="background1"/>
            </w:tcBorders>
            <w:shd w:val="clear" w:color="auto" w:fill="BFBFBF"/>
          </w:tcPr>
          <w:p w14:paraId="1D7C7C65" w14:textId="77777777" w:rsidR="00B65749" w:rsidRPr="009C4FBB" w:rsidRDefault="00B65749" w:rsidP="00B65749">
            <w:pPr>
              <w:pStyle w:val="Tablebodytextnospaceafter"/>
              <w:cnfStyle w:val="000000010000" w:firstRow="0" w:lastRow="0" w:firstColumn="0" w:lastColumn="0" w:oddVBand="0" w:evenVBand="0" w:oddHBand="0" w:evenHBand="1" w:firstRowFirstColumn="0" w:firstRowLastColumn="0" w:lastRowFirstColumn="0" w:lastRowLastColumn="0"/>
            </w:pPr>
            <w:r w:rsidRPr="009C4FBB">
              <w:t>Total personnel costs</w:t>
            </w:r>
          </w:p>
        </w:tc>
        <w:tc>
          <w:tcPr>
            <w:tcW w:w="537" w:type="pct"/>
            <w:tcBorders>
              <w:top w:val="single" w:sz="4" w:space="0" w:color="FFFFFF" w:themeColor="background1"/>
              <w:bottom w:val="single" w:sz="4" w:space="0" w:color="FFFFFF" w:themeColor="background1"/>
            </w:tcBorders>
            <w:shd w:val="clear" w:color="auto" w:fill="BFBFBF"/>
          </w:tcPr>
          <w:p w14:paraId="4BBCF7AC" w14:textId="77777777" w:rsidR="00B65749" w:rsidRPr="0036131E"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u w:val="single"/>
              </w:rPr>
            </w:pPr>
            <w:r>
              <w:rPr>
                <w:rStyle w:val="Emphasis"/>
                <w:b w:val="0"/>
                <w:u w:val="single"/>
              </w:rPr>
              <w:t>14,229</w:t>
            </w:r>
          </w:p>
        </w:tc>
        <w:tc>
          <w:tcPr>
            <w:tcW w:w="627" w:type="pct"/>
            <w:tcBorders>
              <w:top w:val="single" w:sz="4" w:space="0" w:color="FFFFFF" w:themeColor="background1"/>
              <w:bottom w:val="single" w:sz="4" w:space="0" w:color="FFFFFF" w:themeColor="background1"/>
            </w:tcBorders>
            <w:shd w:val="clear" w:color="auto" w:fill="BFBFBF"/>
          </w:tcPr>
          <w:p w14:paraId="2B76582E" w14:textId="77777777" w:rsidR="00B65749" w:rsidRPr="008F6657"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13,821</w:t>
            </w:r>
          </w:p>
        </w:tc>
        <w:tc>
          <w:tcPr>
            <w:tcW w:w="666" w:type="pct"/>
            <w:tcBorders>
              <w:top w:val="single" w:sz="4" w:space="0" w:color="FFFFFF" w:themeColor="background1"/>
              <w:bottom w:val="single" w:sz="4" w:space="0" w:color="FFFFFF" w:themeColor="background1"/>
            </w:tcBorders>
            <w:shd w:val="clear" w:color="auto" w:fill="BFBFBF"/>
          </w:tcPr>
          <w:p w14:paraId="76219641" w14:textId="77777777" w:rsidR="00B65749" w:rsidRPr="009F1576"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13,821</w:t>
            </w:r>
          </w:p>
        </w:tc>
        <w:tc>
          <w:tcPr>
            <w:tcW w:w="736" w:type="pct"/>
            <w:tcBorders>
              <w:top w:val="single" w:sz="4" w:space="0" w:color="FFFFFF" w:themeColor="background1"/>
              <w:bottom w:val="single" w:sz="4" w:space="0" w:color="FFFFFF" w:themeColor="background1"/>
            </w:tcBorders>
            <w:shd w:val="clear" w:color="auto" w:fill="BFBFBF"/>
          </w:tcPr>
          <w:p w14:paraId="018E28A3" w14:textId="77777777" w:rsidR="00B65749" w:rsidRPr="008F6657"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18,803</w:t>
            </w:r>
          </w:p>
        </w:tc>
      </w:tr>
    </w:tbl>
    <w:p w14:paraId="0032CCD6" w14:textId="77777777" w:rsidR="00DF1795" w:rsidRDefault="00DF1795" w:rsidP="00DF1795">
      <w:pPr>
        <w:pStyle w:val="Whitespace"/>
      </w:pPr>
    </w:p>
    <w:p w14:paraId="37E8F021" w14:textId="77777777" w:rsidR="00DF1795" w:rsidRDefault="00DF1795" w:rsidP="00DF1795">
      <w:pPr>
        <w:pStyle w:val="BodyText"/>
      </w:pPr>
      <w:r w:rsidRPr="009C4FBB">
        <w:t>Employer contributions to superannuation plans include contributions to KiwiSaver and other cash accumulation plans registered under the S</w:t>
      </w:r>
      <w:r>
        <w:t>uperannuation Schemes Act 1989.</w:t>
      </w:r>
    </w:p>
    <w:p w14:paraId="7E50F947" w14:textId="77777777" w:rsidR="00DF1795" w:rsidRPr="00EE35E8" w:rsidRDefault="00D315BD" w:rsidP="00DF1795">
      <w:pPr>
        <w:pStyle w:val="Heading3"/>
        <w:rPr>
          <w:color w:val="00B050"/>
        </w:rPr>
      </w:pPr>
      <w:r>
        <w:t>4</w:t>
      </w:r>
      <w:r w:rsidR="00DF1795">
        <w:t xml:space="preserve">. </w:t>
      </w:r>
      <w:r w:rsidR="00DF1795" w:rsidRPr="00EE35E8">
        <w:t>Other operating costs</w:t>
      </w:r>
      <w:r w:rsidR="00DF1795" w:rsidRPr="00EE35E8">
        <w:rPr>
          <w:color w:val="00B050"/>
        </w:rPr>
        <w:t xml:space="preserve"> </w:t>
      </w:r>
    </w:p>
    <w:tbl>
      <w:tblPr>
        <w:tblStyle w:val="TableGridAnnualReport10"/>
        <w:tblW w:w="9299" w:type="dxa"/>
        <w:tblInd w:w="0" w:type="dxa"/>
        <w:tblLook w:val="04A0" w:firstRow="1" w:lastRow="0" w:firstColumn="1" w:lastColumn="0" w:noHBand="0" w:noVBand="1"/>
        <w:tblCaption w:val="Other operating costs"/>
      </w:tblPr>
      <w:tblGrid>
        <w:gridCol w:w="1132"/>
        <w:gridCol w:w="3402"/>
        <w:gridCol w:w="1133"/>
        <w:gridCol w:w="1166"/>
        <w:gridCol w:w="1166"/>
        <w:gridCol w:w="1300"/>
      </w:tblGrid>
      <w:tr w:rsidR="00BE5A31" w14:paraId="2002FE88" w14:textId="77777777" w:rsidTr="00BE5A3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 w:type="pct"/>
            <w:hideMark/>
          </w:tcPr>
          <w:p w14:paraId="4BF8ED5B" w14:textId="77777777" w:rsidR="00BE5A31" w:rsidRDefault="00BE5A31" w:rsidP="00BE5A31">
            <w:pPr>
              <w:pStyle w:val="Tableheadingrow1"/>
              <w:jc w:val="right"/>
            </w:pPr>
            <w:r w:rsidRPr="009C4FBB">
              <w:t>30/06/</w:t>
            </w:r>
            <w:r>
              <w:t>19</w:t>
            </w:r>
            <w:r w:rsidRPr="009C4FBB">
              <w:br/>
              <w:t>Actual</w:t>
            </w:r>
          </w:p>
          <w:p w14:paraId="27B6A1BD" w14:textId="77777777" w:rsidR="00BE5A31" w:rsidRPr="009C4FBB" w:rsidRDefault="00BE5A31" w:rsidP="00BE5A31">
            <w:pPr>
              <w:pStyle w:val="Tableheadingrow1"/>
              <w:jc w:val="right"/>
            </w:pPr>
          </w:p>
          <w:p w14:paraId="246795CC" w14:textId="77777777" w:rsidR="00BE5A31" w:rsidRDefault="00BE5A31" w:rsidP="00BE5A31">
            <w:pPr>
              <w:pStyle w:val="Tableheadingrow1"/>
              <w:jc w:val="right"/>
            </w:pPr>
          </w:p>
          <w:p w14:paraId="56E88ADA" w14:textId="34EA672F" w:rsidR="00BE5A31" w:rsidRPr="001360E8" w:rsidRDefault="00BE5A31" w:rsidP="00BE5A31">
            <w:pPr>
              <w:pStyle w:val="Tableheadingrow1"/>
              <w:jc w:val="right"/>
            </w:pPr>
            <w:r w:rsidRPr="009C4FBB">
              <w:t>$(000)</w:t>
            </w:r>
          </w:p>
        </w:tc>
        <w:tc>
          <w:tcPr>
            <w:tcW w:w="1829" w:type="pct"/>
          </w:tcPr>
          <w:p w14:paraId="3223BF2A" w14:textId="77777777" w:rsidR="00BE5A31" w:rsidRPr="001360E8"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609" w:type="pct"/>
            <w:hideMark/>
          </w:tcPr>
          <w:p w14:paraId="20696C4D" w14:textId="7044A2E1" w:rsidR="00BE5A3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30/06/</w:t>
            </w:r>
            <w:r>
              <w:t>20</w:t>
            </w:r>
            <w:r w:rsidRPr="001360E8">
              <w:br/>
              <w:t>Actual</w:t>
            </w:r>
          </w:p>
          <w:p w14:paraId="14298B0D" w14:textId="77777777" w:rsidR="00BE5A31" w:rsidRPr="001360E8"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p>
          <w:p w14:paraId="076C88BD" w14:textId="77777777" w:rsidR="00BE5A3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p>
          <w:p w14:paraId="69C66811" w14:textId="77777777" w:rsidR="00BE5A31" w:rsidRPr="001360E8"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$(000)</w:t>
            </w:r>
          </w:p>
        </w:tc>
        <w:tc>
          <w:tcPr>
            <w:tcW w:w="627" w:type="pct"/>
          </w:tcPr>
          <w:p w14:paraId="7B9330DC" w14:textId="77777777" w:rsidR="00BE5A31" w:rsidRPr="001360E8"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30/06/</w:t>
            </w:r>
            <w:r>
              <w:t>20</w:t>
            </w:r>
          </w:p>
          <w:p w14:paraId="58C65C36" w14:textId="77777777" w:rsidR="00BE5A31" w:rsidRPr="001360E8"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 xml:space="preserve">Main </w:t>
            </w:r>
            <w:r>
              <w:t>e</w:t>
            </w:r>
            <w:r w:rsidRPr="001360E8">
              <w:t>stimates</w:t>
            </w:r>
          </w:p>
          <w:p w14:paraId="4CCC59DC" w14:textId="77777777" w:rsidR="00BE5A3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p>
          <w:p w14:paraId="56A02962" w14:textId="77777777" w:rsidR="00BE5A31" w:rsidRPr="001360E8"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$(000)</w:t>
            </w:r>
          </w:p>
        </w:tc>
        <w:tc>
          <w:tcPr>
            <w:tcW w:w="627" w:type="pct"/>
          </w:tcPr>
          <w:p w14:paraId="596073FC" w14:textId="77777777" w:rsidR="00BE5A31" w:rsidRPr="001360E8"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30/06/</w:t>
            </w:r>
            <w:r>
              <w:t>20</w:t>
            </w:r>
          </w:p>
          <w:p w14:paraId="644E6D27" w14:textId="77777777" w:rsidR="00BE5A31" w:rsidRPr="001360E8"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 xml:space="preserve">Supp. </w:t>
            </w:r>
            <w:r>
              <w:t>e</w:t>
            </w:r>
            <w:r w:rsidRPr="001360E8">
              <w:t>stimates</w:t>
            </w:r>
          </w:p>
          <w:p w14:paraId="2FBE4C82" w14:textId="77777777" w:rsidR="00BE5A3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p>
          <w:p w14:paraId="3289DAD0" w14:textId="77777777" w:rsidR="00BE5A31" w:rsidRPr="001360E8"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$(000)</w:t>
            </w:r>
          </w:p>
        </w:tc>
        <w:tc>
          <w:tcPr>
            <w:tcW w:w="699" w:type="pct"/>
          </w:tcPr>
          <w:p w14:paraId="6D9C3141" w14:textId="77777777" w:rsidR="00BE5A31" w:rsidRPr="001360E8"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t>30/06/21</w:t>
            </w:r>
          </w:p>
          <w:p w14:paraId="1C1A86B2" w14:textId="77777777" w:rsidR="00BE5A31" w:rsidRPr="001360E8"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Unaudited</w:t>
            </w:r>
          </w:p>
          <w:p w14:paraId="40AE2CB6" w14:textId="77777777" w:rsidR="00BE5A31" w:rsidRPr="001360E8"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t>f</w:t>
            </w:r>
            <w:r w:rsidRPr="001360E8">
              <w:t>orecast</w:t>
            </w:r>
            <w:r>
              <w:t xml:space="preserve"> </w:t>
            </w:r>
            <w:r w:rsidRPr="001360E8">
              <w:t xml:space="preserve">  IPSAS</w:t>
            </w:r>
            <w:r>
              <w:t>*</w:t>
            </w:r>
          </w:p>
          <w:p w14:paraId="74F617FB" w14:textId="77777777" w:rsidR="00BE5A31" w:rsidRPr="001360E8"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$(000)</w:t>
            </w:r>
          </w:p>
        </w:tc>
      </w:tr>
      <w:tr w:rsidR="00B65749" w14:paraId="776F3E5F" w14:textId="77777777" w:rsidTr="00BE5A3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shd w:val="clear" w:color="auto" w:fill="E9E9E9"/>
          </w:tcPr>
          <w:p w14:paraId="2DEB751C" w14:textId="77777777" w:rsidR="00B65749" w:rsidRPr="00706781" w:rsidRDefault="00B65749" w:rsidP="00B65749">
            <w:pPr>
              <w:pStyle w:val="Tablebodytextnospaceafter"/>
              <w:jc w:val="right"/>
              <w:rPr>
                <w:highlight w:val="lightGray"/>
              </w:rPr>
            </w:pPr>
            <w:r w:rsidRPr="009E65C9">
              <w:rPr>
                <w:rStyle w:val="Emphasis"/>
                <w:b w:val="0"/>
              </w:rPr>
              <w:t>1,108</w:t>
            </w:r>
          </w:p>
        </w:tc>
        <w:tc>
          <w:tcPr>
            <w:tcW w:w="1829" w:type="pct"/>
            <w:hideMark/>
          </w:tcPr>
          <w:p w14:paraId="3CF87483" w14:textId="77777777" w:rsidR="00B65749" w:rsidRPr="001360E8" w:rsidRDefault="00B65749" w:rsidP="00B65749">
            <w:pPr>
              <w:pStyle w:val="Tablebodytextnospaceafter"/>
              <w:cnfStyle w:val="000000100000" w:firstRow="0" w:lastRow="0" w:firstColumn="0" w:lastColumn="0" w:oddVBand="0" w:evenVBand="0" w:oddHBand="1" w:evenHBand="0" w:firstRowFirstColumn="0" w:firstRowLastColumn="0" w:lastRowFirstColumn="0" w:lastRowLastColumn="0"/>
            </w:pPr>
            <w:r w:rsidRPr="001360E8">
              <w:t>Operating accommodation lease expenses</w:t>
            </w:r>
          </w:p>
        </w:tc>
        <w:tc>
          <w:tcPr>
            <w:tcW w:w="609" w:type="pct"/>
          </w:tcPr>
          <w:p w14:paraId="229A880E" w14:textId="77777777" w:rsidR="00B65749" w:rsidRPr="0036131E"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sidRPr="0036131E">
              <w:rPr>
                <w:rStyle w:val="Emphasis"/>
                <w:b w:val="0"/>
              </w:rPr>
              <w:t>1,375</w:t>
            </w:r>
          </w:p>
        </w:tc>
        <w:tc>
          <w:tcPr>
            <w:tcW w:w="627" w:type="pct"/>
          </w:tcPr>
          <w:p w14:paraId="1D6238FC" w14:textId="77777777" w:rsidR="00B65749" w:rsidRPr="0036131E"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36131E">
              <w:t>1,138</w:t>
            </w:r>
          </w:p>
        </w:tc>
        <w:tc>
          <w:tcPr>
            <w:tcW w:w="627" w:type="pct"/>
          </w:tcPr>
          <w:p w14:paraId="5C30E25A" w14:textId="77777777" w:rsidR="00B65749" w:rsidRPr="0036131E"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36131E">
              <w:t>1,138</w:t>
            </w:r>
          </w:p>
        </w:tc>
        <w:tc>
          <w:tcPr>
            <w:tcW w:w="699" w:type="pct"/>
          </w:tcPr>
          <w:p w14:paraId="5A68897C" w14:textId="77777777" w:rsidR="00B65749" w:rsidRPr="004E39DE"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1,113</w:t>
            </w:r>
          </w:p>
        </w:tc>
      </w:tr>
      <w:tr w:rsidR="00B65749" w14:paraId="5575C153" w14:textId="77777777" w:rsidTr="00BE5A31">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shd w:val="clear" w:color="auto" w:fill="E9E9E9"/>
          </w:tcPr>
          <w:p w14:paraId="01B8CB09" w14:textId="77777777" w:rsidR="00B65749" w:rsidRPr="00706781" w:rsidRDefault="00B65749" w:rsidP="00B65749">
            <w:pPr>
              <w:pStyle w:val="Tablebodytextnospaceafter"/>
              <w:jc w:val="right"/>
            </w:pPr>
            <w:r>
              <w:rPr>
                <w:rStyle w:val="Emphasis"/>
                <w:b w:val="0"/>
              </w:rPr>
              <w:t>106</w:t>
            </w:r>
          </w:p>
        </w:tc>
        <w:tc>
          <w:tcPr>
            <w:tcW w:w="1829" w:type="pct"/>
            <w:hideMark/>
          </w:tcPr>
          <w:p w14:paraId="2951C9F3" w14:textId="77777777" w:rsidR="00B65749" w:rsidRPr="001360E8" w:rsidRDefault="00B65749" w:rsidP="00B65749">
            <w:pPr>
              <w:pStyle w:val="Tablebodytextnospaceafter"/>
              <w:cnfStyle w:val="000000010000" w:firstRow="0" w:lastRow="0" w:firstColumn="0" w:lastColumn="0" w:oddVBand="0" w:evenVBand="0" w:oddHBand="0" w:evenHBand="1" w:firstRowFirstColumn="0" w:firstRowLastColumn="0" w:lastRowFirstColumn="0" w:lastRowLastColumn="0"/>
            </w:pPr>
            <w:r w:rsidRPr="001360E8">
              <w:t>Accommodation costs – other</w:t>
            </w:r>
          </w:p>
        </w:tc>
        <w:tc>
          <w:tcPr>
            <w:tcW w:w="609" w:type="pct"/>
          </w:tcPr>
          <w:p w14:paraId="41BD332A" w14:textId="77777777" w:rsidR="00B65749" w:rsidRPr="00C11E2B"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156</w:t>
            </w:r>
          </w:p>
        </w:tc>
        <w:tc>
          <w:tcPr>
            <w:tcW w:w="627" w:type="pct"/>
          </w:tcPr>
          <w:p w14:paraId="1260B278" w14:textId="77777777" w:rsidR="00B65749" w:rsidRPr="002C28EE"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627" w:type="pct"/>
          </w:tcPr>
          <w:p w14:paraId="22AB61C3" w14:textId="77777777" w:rsidR="00B65749" w:rsidRPr="0072789B"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699" w:type="pct"/>
          </w:tcPr>
          <w:p w14:paraId="23D24A36" w14:textId="77777777" w:rsidR="00B65749" w:rsidRPr="004E39DE"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r>
      <w:tr w:rsidR="00B65749" w14:paraId="3B8A299D" w14:textId="77777777" w:rsidTr="00BE5A3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8" w:space="0" w:color="FFFFFF" w:themeColor="background1"/>
            </w:tcBorders>
            <w:shd w:val="clear" w:color="auto" w:fill="E9E9E9"/>
          </w:tcPr>
          <w:p w14:paraId="2186607A" w14:textId="77777777" w:rsidR="00B65749" w:rsidRPr="00706781" w:rsidRDefault="00B65749" w:rsidP="00B65749">
            <w:pPr>
              <w:pStyle w:val="Tablebodytextnospaceafter"/>
              <w:jc w:val="right"/>
            </w:pPr>
            <w:r>
              <w:rPr>
                <w:rStyle w:val="Emphasis"/>
                <w:b w:val="0"/>
              </w:rPr>
              <w:t>44</w:t>
            </w:r>
          </w:p>
        </w:tc>
        <w:tc>
          <w:tcPr>
            <w:tcW w:w="1829" w:type="pct"/>
            <w:hideMark/>
          </w:tcPr>
          <w:p w14:paraId="3B2FDB32" w14:textId="77777777" w:rsidR="00B65749" w:rsidRPr="001360E8" w:rsidRDefault="00B65749" w:rsidP="00B65749">
            <w:pPr>
              <w:pStyle w:val="Tablebodytextnospaceafter"/>
              <w:cnfStyle w:val="000000100000" w:firstRow="0" w:lastRow="0" w:firstColumn="0" w:lastColumn="0" w:oddVBand="0" w:evenVBand="0" w:oddHBand="1" w:evenHBand="0" w:firstRowFirstColumn="0" w:firstRowLastColumn="0" w:lastRowFirstColumn="0" w:lastRowLastColumn="0"/>
            </w:pPr>
            <w:r w:rsidRPr="001360E8">
              <w:t xml:space="preserve">Audit fees – for audit of financial statements </w:t>
            </w:r>
          </w:p>
        </w:tc>
        <w:tc>
          <w:tcPr>
            <w:tcW w:w="609" w:type="pct"/>
          </w:tcPr>
          <w:p w14:paraId="35F8F3D1" w14:textId="77777777" w:rsidR="00B65749" w:rsidRPr="009F1576"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45</w:t>
            </w:r>
          </w:p>
        </w:tc>
        <w:tc>
          <w:tcPr>
            <w:tcW w:w="627" w:type="pct"/>
          </w:tcPr>
          <w:p w14:paraId="2AAE6CEC" w14:textId="77777777" w:rsidR="00B65749" w:rsidRPr="002C28EE"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35</w:t>
            </w:r>
          </w:p>
        </w:tc>
        <w:tc>
          <w:tcPr>
            <w:tcW w:w="627" w:type="pct"/>
          </w:tcPr>
          <w:p w14:paraId="009564F7" w14:textId="77777777" w:rsidR="00B65749" w:rsidRPr="0072789B"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35</w:t>
            </w:r>
          </w:p>
        </w:tc>
        <w:tc>
          <w:tcPr>
            <w:tcW w:w="699" w:type="pct"/>
          </w:tcPr>
          <w:p w14:paraId="7E4F194A" w14:textId="77777777" w:rsidR="00B65749" w:rsidRPr="004E39DE"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35</w:t>
            </w:r>
          </w:p>
        </w:tc>
      </w:tr>
      <w:tr w:rsidR="00B65749" w14:paraId="4E56E289" w14:textId="77777777" w:rsidTr="00BE5A31">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shd w:val="clear" w:color="auto" w:fill="E9E9E9"/>
          </w:tcPr>
          <w:p w14:paraId="3E6B4979" w14:textId="77777777" w:rsidR="00B65749" w:rsidRPr="00706781" w:rsidRDefault="00B65749" w:rsidP="00B65749">
            <w:pPr>
              <w:pStyle w:val="Tablebodytextnospaceafter"/>
              <w:jc w:val="right"/>
            </w:pPr>
            <w:r>
              <w:rPr>
                <w:rStyle w:val="Emphasis"/>
                <w:b w:val="0"/>
              </w:rPr>
              <w:t>60</w:t>
            </w:r>
          </w:p>
        </w:tc>
        <w:tc>
          <w:tcPr>
            <w:tcW w:w="1829" w:type="pct"/>
            <w:hideMark/>
          </w:tcPr>
          <w:p w14:paraId="34EE6DD7" w14:textId="77777777" w:rsidR="00B65749" w:rsidRPr="001360E8" w:rsidRDefault="00B65749" w:rsidP="00B65749">
            <w:pPr>
              <w:pStyle w:val="Tablebodytextnospaceafter"/>
              <w:cnfStyle w:val="000000010000" w:firstRow="0" w:lastRow="0" w:firstColumn="0" w:lastColumn="0" w:oddVBand="0" w:evenVBand="0" w:oddHBand="0" w:evenHBand="1" w:firstRowFirstColumn="0" w:firstRowLastColumn="0" w:lastRowFirstColumn="0" w:lastRowLastColumn="0"/>
            </w:pPr>
            <w:r w:rsidRPr="001360E8">
              <w:t>Publications, books and statutes</w:t>
            </w:r>
          </w:p>
        </w:tc>
        <w:tc>
          <w:tcPr>
            <w:tcW w:w="609" w:type="pct"/>
          </w:tcPr>
          <w:p w14:paraId="39F8A480" w14:textId="77777777" w:rsidR="00B65749" w:rsidRPr="009F1576"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85</w:t>
            </w:r>
          </w:p>
        </w:tc>
        <w:tc>
          <w:tcPr>
            <w:tcW w:w="627" w:type="pct"/>
          </w:tcPr>
          <w:p w14:paraId="12CBA2B6" w14:textId="77777777" w:rsidR="00B65749" w:rsidRPr="002C28EE"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87</w:t>
            </w:r>
          </w:p>
        </w:tc>
        <w:tc>
          <w:tcPr>
            <w:tcW w:w="627" w:type="pct"/>
          </w:tcPr>
          <w:p w14:paraId="292DDC49" w14:textId="77777777" w:rsidR="00B65749" w:rsidRPr="0072789B"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87</w:t>
            </w:r>
          </w:p>
        </w:tc>
        <w:tc>
          <w:tcPr>
            <w:tcW w:w="699" w:type="pct"/>
          </w:tcPr>
          <w:p w14:paraId="5F68B0E3" w14:textId="77777777" w:rsidR="00B65749" w:rsidRPr="004E39DE"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87</w:t>
            </w:r>
          </w:p>
        </w:tc>
      </w:tr>
      <w:tr w:rsidR="00B65749" w14:paraId="66E26469" w14:textId="77777777" w:rsidTr="00BE5A3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8" w:space="0" w:color="FFFFFF" w:themeColor="background1"/>
            </w:tcBorders>
            <w:shd w:val="clear" w:color="auto" w:fill="E9E9E9"/>
          </w:tcPr>
          <w:p w14:paraId="763D7516" w14:textId="77777777" w:rsidR="00B65749" w:rsidRPr="00706781" w:rsidRDefault="00B65749" w:rsidP="00B65749">
            <w:pPr>
              <w:pStyle w:val="Tablebodytextnospaceafter"/>
              <w:jc w:val="right"/>
            </w:pPr>
            <w:r>
              <w:rPr>
                <w:rStyle w:val="Emphasis"/>
                <w:b w:val="0"/>
              </w:rPr>
              <w:t>429</w:t>
            </w:r>
          </w:p>
        </w:tc>
        <w:tc>
          <w:tcPr>
            <w:tcW w:w="1829" w:type="pct"/>
            <w:tcBorders>
              <w:top w:val="single" w:sz="4" w:space="0" w:color="FFFFFF" w:themeColor="background1"/>
            </w:tcBorders>
            <w:hideMark/>
          </w:tcPr>
          <w:p w14:paraId="2EC1CC99" w14:textId="77777777" w:rsidR="00B65749" w:rsidRPr="001360E8" w:rsidRDefault="00B65749" w:rsidP="00B65749">
            <w:pPr>
              <w:pStyle w:val="Tablebodytextnospaceafter"/>
              <w:cnfStyle w:val="000000100000" w:firstRow="0" w:lastRow="0" w:firstColumn="0" w:lastColumn="0" w:oddVBand="0" w:evenVBand="0" w:oddHBand="1" w:evenHBand="0" w:firstRowFirstColumn="0" w:firstRowLastColumn="0" w:lastRowFirstColumn="0" w:lastRowLastColumn="0"/>
            </w:pPr>
            <w:r w:rsidRPr="001360E8">
              <w:t>Travel</w:t>
            </w:r>
          </w:p>
        </w:tc>
        <w:tc>
          <w:tcPr>
            <w:tcW w:w="609" w:type="pct"/>
          </w:tcPr>
          <w:p w14:paraId="5BD2C9F2" w14:textId="77777777" w:rsidR="00B65749" w:rsidRPr="009F1576"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568</w:t>
            </w:r>
          </w:p>
        </w:tc>
        <w:tc>
          <w:tcPr>
            <w:tcW w:w="627" w:type="pct"/>
          </w:tcPr>
          <w:p w14:paraId="409A23E1" w14:textId="77777777" w:rsidR="00B65749" w:rsidRPr="002C28EE"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391</w:t>
            </w:r>
          </w:p>
        </w:tc>
        <w:tc>
          <w:tcPr>
            <w:tcW w:w="627" w:type="pct"/>
          </w:tcPr>
          <w:p w14:paraId="745F35D8" w14:textId="77777777" w:rsidR="00B65749" w:rsidRPr="0072789B"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391</w:t>
            </w:r>
          </w:p>
        </w:tc>
        <w:tc>
          <w:tcPr>
            <w:tcW w:w="699" w:type="pct"/>
          </w:tcPr>
          <w:p w14:paraId="03A187C6" w14:textId="77777777" w:rsidR="00B65749" w:rsidRPr="004E39DE"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391</w:t>
            </w:r>
          </w:p>
        </w:tc>
      </w:tr>
      <w:tr w:rsidR="00B65749" w14:paraId="1072F62B" w14:textId="77777777" w:rsidTr="00BE5A31">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shd w:val="clear" w:color="auto" w:fill="E9E9E9"/>
          </w:tcPr>
          <w:p w14:paraId="1632F3CD" w14:textId="77777777" w:rsidR="00B65749" w:rsidRPr="00706781" w:rsidRDefault="00B65749" w:rsidP="00B65749">
            <w:pPr>
              <w:pStyle w:val="Tablebodytextnospaceafter"/>
              <w:jc w:val="right"/>
            </w:pPr>
            <w:r>
              <w:rPr>
                <w:rStyle w:val="Emphasis"/>
                <w:b w:val="0"/>
              </w:rPr>
              <w:t>190</w:t>
            </w:r>
          </w:p>
        </w:tc>
        <w:tc>
          <w:tcPr>
            <w:tcW w:w="1829" w:type="pct"/>
            <w:hideMark/>
          </w:tcPr>
          <w:p w14:paraId="3BBFC947" w14:textId="77777777" w:rsidR="00B65749" w:rsidRPr="001360E8" w:rsidRDefault="00B65749" w:rsidP="00B65749">
            <w:pPr>
              <w:pStyle w:val="Tablebodytextnospaceafter"/>
              <w:cnfStyle w:val="000000010000" w:firstRow="0" w:lastRow="0" w:firstColumn="0" w:lastColumn="0" w:oddVBand="0" w:evenVBand="0" w:oddHBand="0" w:evenHBand="1" w:firstRowFirstColumn="0" w:firstRowLastColumn="0" w:lastRowFirstColumn="0" w:lastRowLastColumn="0"/>
            </w:pPr>
            <w:r w:rsidRPr="001360E8">
              <w:t>Communication costs</w:t>
            </w:r>
          </w:p>
        </w:tc>
        <w:tc>
          <w:tcPr>
            <w:tcW w:w="609" w:type="pct"/>
          </w:tcPr>
          <w:p w14:paraId="47997F69" w14:textId="77777777" w:rsidR="00B65749" w:rsidRPr="009F1576"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285</w:t>
            </w:r>
          </w:p>
        </w:tc>
        <w:tc>
          <w:tcPr>
            <w:tcW w:w="627" w:type="pct"/>
          </w:tcPr>
          <w:p w14:paraId="66B9B815" w14:textId="77777777" w:rsidR="00B65749" w:rsidRPr="002C28EE"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160</w:t>
            </w:r>
          </w:p>
        </w:tc>
        <w:tc>
          <w:tcPr>
            <w:tcW w:w="627" w:type="pct"/>
          </w:tcPr>
          <w:p w14:paraId="7DD7EEC4" w14:textId="77777777" w:rsidR="00B65749" w:rsidRPr="0072789B"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160</w:t>
            </w:r>
          </w:p>
        </w:tc>
        <w:tc>
          <w:tcPr>
            <w:tcW w:w="699" w:type="pct"/>
          </w:tcPr>
          <w:p w14:paraId="5FEFE00B" w14:textId="77777777" w:rsidR="00B65749" w:rsidRPr="004E39DE"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160</w:t>
            </w:r>
          </w:p>
        </w:tc>
      </w:tr>
      <w:tr w:rsidR="00B65749" w14:paraId="37AEDF0C" w14:textId="77777777" w:rsidTr="00BE5A3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8" w:space="0" w:color="FFFFFF" w:themeColor="background1"/>
              <w:bottom w:val="single" w:sz="8" w:space="0" w:color="FFFFFF" w:themeColor="background1"/>
            </w:tcBorders>
            <w:shd w:val="clear" w:color="auto" w:fill="E9E9E9"/>
          </w:tcPr>
          <w:p w14:paraId="255A7FE0" w14:textId="77777777" w:rsidR="00B65749" w:rsidRPr="00706781" w:rsidRDefault="00B65749" w:rsidP="00B65749">
            <w:pPr>
              <w:pStyle w:val="Tablebodytextnospaceafter"/>
              <w:jc w:val="right"/>
            </w:pPr>
            <w:r>
              <w:rPr>
                <w:rStyle w:val="Emphasis"/>
                <w:b w:val="0"/>
              </w:rPr>
              <w:t>3,979</w:t>
            </w:r>
          </w:p>
        </w:tc>
        <w:tc>
          <w:tcPr>
            <w:tcW w:w="1829" w:type="pct"/>
            <w:hideMark/>
          </w:tcPr>
          <w:p w14:paraId="1BE88D51" w14:textId="77777777" w:rsidR="00B65749" w:rsidRPr="001360E8" w:rsidRDefault="00B65749" w:rsidP="00B65749">
            <w:pPr>
              <w:pStyle w:val="Tablebodytextnospaceafter"/>
              <w:cnfStyle w:val="000000100000" w:firstRow="0" w:lastRow="0" w:firstColumn="0" w:lastColumn="0" w:oddVBand="0" w:evenVBand="0" w:oddHBand="1" w:evenHBand="0" w:firstRowFirstColumn="0" w:firstRowLastColumn="0" w:lastRowFirstColumn="0" w:lastRowLastColumn="0"/>
            </w:pPr>
            <w:r w:rsidRPr="001360E8">
              <w:t>Other costs</w:t>
            </w:r>
          </w:p>
        </w:tc>
        <w:tc>
          <w:tcPr>
            <w:tcW w:w="609" w:type="pct"/>
          </w:tcPr>
          <w:p w14:paraId="43822734" w14:textId="77777777" w:rsidR="00B65749" w:rsidRPr="009F1576"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4,736</w:t>
            </w:r>
          </w:p>
        </w:tc>
        <w:tc>
          <w:tcPr>
            <w:tcW w:w="627" w:type="pct"/>
          </w:tcPr>
          <w:p w14:paraId="7326DA5E" w14:textId="77777777" w:rsidR="00B65749" w:rsidRPr="002C28EE"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7,059</w:t>
            </w:r>
          </w:p>
        </w:tc>
        <w:tc>
          <w:tcPr>
            <w:tcW w:w="627" w:type="pct"/>
          </w:tcPr>
          <w:p w14:paraId="3494383E" w14:textId="77777777" w:rsidR="00B65749" w:rsidRPr="0098291A"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highlight w:val="yellow"/>
              </w:rPr>
            </w:pPr>
            <w:r w:rsidRPr="0036131E">
              <w:t>7,117</w:t>
            </w:r>
          </w:p>
        </w:tc>
        <w:tc>
          <w:tcPr>
            <w:tcW w:w="699" w:type="pct"/>
          </w:tcPr>
          <w:p w14:paraId="353E722C" w14:textId="77777777" w:rsidR="00B65749" w:rsidRPr="004E39DE"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11,585</w:t>
            </w:r>
          </w:p>
        </w:tc>
      </w:tr>
      <w:tr w:rsidR="00B65749" w:rsidRPr="00FB1B6D" w14:paraId="31405E69" w14:textId="77777777" w:rsidTr="00BE5A31">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tcBorders>
          </w:tcPr>
          <w:p w14:paraId="4AAF99C3" w14:textId="77777777" w:rsidR="00B65749" w:rsidRPr="0036131E" w:rsidRDefault="00B65749" w:rsidP="00B65749">
            <w:pPr>
              <w:pStyle w:val="Tablebodytextnospaceafter"/>
              <w:jc w:val="right"/>
              <w:rPr>
                <w:rStyle w:val="Emphasis"/>
                <w:b w:val="0"/>
                <w:u w:val="single"/>
              </w:rPr>
            </w:pPr>
            <w:r w:rsidRPr="0036131E">
              <w:rPr>
                <w:rStyle w:val="Emphasis"/>
                <w:b w:val="0"/>
                <w:u w:val="single"/>
              </w:rPr>
              <w:t>5,916</w:t>
            </w:r>
          </w:p>
        </w:tc>
        <w:tc>
          <w:tcPr>
            <w:tcW w:w="1829" w:type="pct"/>
            <w:tcBorders>
              <w:bottom w:val="single" w:sz="4" w:space="0" w:color="FFFFFF" w:themeColor="background1"/>
            </w:tcBorders>
            <w:shd w:val="clear" w:color="auto" w:fill="BFBFBF"/>
          </w:tcPr>
          <w:p w14:paraId="4DAAB5D7" w14:textId="77777777" w:rsidR="00B65749" w:rsidRPr="001360E8" w:rsidRDefault="00B65749" w:rsidP="00B65749">
            <w:pPr>
              <w:pStyle w:val="Tablebodytextnospaceafter"/>
              <w:cnfStyle w:val="000000010000" w:firstRow="0" w:lastRow="0" w:firstColumn="0" w:lastColumn="0" w:oddVBand="0" w:evenVBand="0" w:oddHBand="0" w:evenHBand="1" w:firstRowFirstColumn="0" w:firstRowLastColumn="0" w:lastRowFirstColumn="0" w:lastRowLastColumn="0"/>
            </w:pPr>
            <w:r w:rsidRPr="001360E8">
              <w:t>Total other operating costs</w:t>
            </w:r>
          </w:p>
        </w:tc>
        <w:tc>
          <w:tcPr>
            <w:tcW w:w="609" w:type="pct"/>
            <w:tcBorders>
              <w:top w:val="single" w:sz="4" w:space="0" w:color="FFFFFF" w:themeColor="background1"/>
              <w:bottom w:val="single" w:sz="4" w:space="0" w:color="FFFFFF" w:themeColor="background1"/>
            </w:tcBorders>
            <w:shd w:val="clear" w:color="auto" w:fill="BFBFBF"/>
          </w:tcPr>
          <w:p w14:paraId="290ED771" w14:textId="77777777" w:rsidR="00B65749" w:rsidRPr="009F1576"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u w:val="single"/>
              </w:rPr>
            </w:pPr>
            <w:r>
              <w:rPr>
                <w:rStyle w:val="Emphasis"/>
                <w:b w:val="0"/>
                <w:u w:val="single"/>
              </w:rPr>
              <w:t>7,250</w:t>
            </w:r>
          </w:p>
        </w:tc>
        <w:tc>
          <w:tcPr>
            <w:tcW w:w="627" w:type="pct"/>
            <w:tcBorders>
              <w:top w:val="single" w:sz="4" w:space="0" w:color="FFFFFF" w:themeColor="background1"/>
              <w:bottom w:val="single" w:sz="4" w:space="0" w:color="FFFFFF" w:themeColor="background1"/>
            </w:tcBorders>
            <w:shd w:val="clear" w:color="auto" w:fill="BFBFBF"/>
          </w:tcPr>
          <w:p w14:paraId="396BD7D4" w14:textId="77777777" w:rsidR="00B65749" w:rsidRPr="009F1576"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8,870</w:t>
            </w:r>
          </w:p>
        </w:tc>
        <w:tc>
          <w:tcPr>
            <w:tcW w:w="627" w:type="pct"/>
            <w:tcBorders>
              <w:top w:val="single" w:sz="4" w:space="0" w:color="FFFFFF" w:themeColor="background1"/>
              <w:bottom w:val="single" w:sz="4" w:space="0" w:color="FFFFFF" w:themeColor="background1"/>
            </w:tcBorders>
            <w:shd w:val="clear" w:color="auto" w:fill="BFBFBF"/>
          </w:tcPr>
          <w:p w14:paraId="7943A851" w14:textId="77777777" w:rsidR="00B65749" w:rsidRPr="00FA1EC1"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8,928</w:t>
            </w:r>
          </w:p>
        </w:tc>
        <w:tc>
          <w:tcPr>
            <w:tcW w:w="699" w:type="pct"/>
            <w:tcBorders>
              <w:top w:val="single" w:sz="4" w:space="0" w:color="FFFFFF" w:themeColor="background1"/>
              <w:bottom w:val="single" w:sz="4" w:space="0" w:color="FFFFFF" w:themeColor="background1"/>
            </w:tcBorders>
            <w:shd w:val="clear" w:color="auto" w:fill="BFBFBF"/>
          </w:tcPr>
          <w:p w14:paraId="339D367E" w14:textId="77777777" w:rsidR="00B65749" w:rsidRPr="00FB1B6D"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13,371</w:t>
            </w:r>
          </w:p>
        </w:tc>
      </w:tr>
    </w:tbl>
    <w:p w14:paraId="0D72A56F" w14:textId="77777777" w:rsidR="00DF1795" w:rsidRDefault="00DF1795" w:rsidP="00DF1795">
      <w:pPr>
        <w:pStyle w:val="Whitespace"/>
      </w:pPr>
    </w:p>
    <w:p w14:paraId="02414B26" w14:textId="77777777" w:rsidR="00DF1795" w:rsidRDefault="00DF1795" w:rsidP="00DF1795">
      <w:pPr>
        <w:pStyle w:val="BodyText"/>
        <w:rPr>
          <w:color w:val="auto"/>
        </w:rPr>
      </w:pPr>
      <w:r w:rsidRPr="003B0424">
        <w:rPr>
          <w:color w:val="auto"/>
        </w:rPr>
        <w:t xml:space="preserve">Other operating </w:t>
      </w:r>
      <w:r>
        <w:rPr>
          <w:color w:val="auto"/>
        </w:rPr>
        <w:t xml:space="preserve">costs </w:t>
      </w:r>
      <w:r w:rsidRPr="003B0424">
        <w:rPr>
          <w:color w:val="auto"/>
        </w:rPr>
        <w:t>exclude depreciation and capital charge</w:t>
      </w:r>
      <w:r>
        <w:rPr>
          <w:color w:val="auto"/>
        </w:rPr>
        <w:t>s.</w:t>
      </w:r>
    </w:p>
    <w:p w14:paraId="1DECB0A5" w14:textId="77777777" w:rsidR="00DF1795" w:rsidRDefault="00D315BD" w:rsidP="00DF1795">
      <w:pPr>
        <w:pStyle w:val="Heading3"/>
      </w:pPr>
      <w:r>
        <w:t>5</w:t>
      </w:r>
      <w:r w:rsidR="00DF1795" w:rsidRPr="00BE4BB3">
        <w:t>. Depreciation and amortisation</w:t>
      </w:r>
    </w:p>
    <w:tbl>
      <w:tblPr>
        <w:tblStyle w:val="TableGridAnnualReport11"/>
        <w:tblW w:w="4989" w:type="pct"/>
        <w:tblInd w:w="10" w:type="dxa"/>
        <w:tblLook w:val="04A0" w:firstRow="1" w:lastRow="0" w:firstColumn="1" w:lastColumn="0" w:noHBand="0" w:noVBand="1"/>
        <w:tblCaption w:val="Depreciation and amortisation"/>
      </w:tblPr>
      <w:tblGrid>
        <w:gridCol w:w="1132"/>
        <w:gridCol w:w="3011"/>
        <w:gridCol w:w="1132"/>
        <w:gridCol w:w="1273"/>
        <w:gridCol w:w="1275"/>
        <w:gridCol w:w="1455"/>
      </w:tblGrid>
      <w:tr w:rsidR="00BE5A31" w14:paraId="3E7673A3" w14:textId="77777777" w:rsidTr="00BE5A3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0" w:type="pct"/>
            <w:hideMark/>
          </w:tcPr>
          <w:p w14:paraId="241CDBC0" w14:textId="77777777" w:rsidR="00BE5A31" w:rsidRDefault="00BE5A31" w:rsidP="00BE5A31">
            <w:pPr>
              <w:pStyle w:val="Tableheadingrow1"/>
              <w:jc w:val="right"/>
            </w:pPr>
            <w:r w:rsidRPr="009C4FBB">
              <w:t>30/06/</w:t>
            </w:r>
            <w:r>
              <w:t>19</w:t>
            </w:r>
            <w:r w:rsidRPr="009C4FBB">
              <w:br/>
              <w:t>Actual</w:t>
            </w:r>
          </w:p>
          <w:p w14:paraId="02271591" w14:textId="77777777" w:rsidR="00BE5A31" w:rsidRPr="009C4FBB" w:rsidRDefault="00BE5A31" w:rsidP="00BE5A31">
            <w:pPr>
              <w:pStyle w:val="Tableheadingrow1"/>
              <w:jc w:val="right"/>
            </w:pPr>
          </w:p>
          <w:p w14:paraId="307313B9" w14:textId="77777777" w:rsidR="00BE5A31" w:rsidRDefault="00BE5A31" w:rsidP="00BE5A31">
            <w:pPr>
              <w:pStyle w:val="Tableheadingrow1"/>
              <w:jc w:val="right"/>
            </w:pPr>
          </w:p>
          <w:p w14:paraId="371EDAC3" w14:textId="49C874F4" w:rsidR="00BE5A31" w:rsidRPr="00E92FE3" w:rsidRDefault="00BE5A31" w:rsidP="00BE5A31">
            <w:pPr>
              <w:pStyle w:val="Tableheadingrow1"/>
              <w:jc w:val="right"/>
            </w:pPr>
            <w:r w:rsidRPr="009C4FBB">
              <w:t>$(000)</w:t>
            </w:r>
          </w:p>
        </w:tc>
        <w:tc>
          <w:tcPr>
            <w:tcW w:w="1623" w:type="pct"/>
          </w:tcPr>
          <w:p w14:paraId="35BB31CC" w14:textId="77777777" w:rsidR="00BE5A31" w:rsidRPr="00E92FE3"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610" w:type="pct"/>
            <w:hideMark/>
          </w:tcPr>
          <w:p w14:paraId="2E5D1D01" w14:textId="77777777" w:rsidR="00BE5A3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30/06/</w:t>
            </w:r>
            <w:r>
              <w:t>20</w:t>
            </w:r>
            <w:r w:rsidRPr="001360E8">
              <w:br/>
              <w:t>Actual</w:t>
            </w:r>
          </w:p>
          <w:p w14:paraId="452E7D4A" w14:textId="77777777" w:rsidR="00BE5A31" w:rsidRPr="001360E8"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p>
          <w:p w14:paraId="23895621" w14:textId="77777777" w:rsidR="00BE5A3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p>
          <w:p w14:paraId="34C88FE7" w14:textId="66B9E616" w:rsidR="00BE5A31" w:rsidRPr="00E92FE3"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$(000)</w:t>
            </w:r>
          </w:p>
        </w:tc>
        <w:tc>
          <w:tcPr>
            <w:tcW w:w="686" w:type="pct"/>
          </w:tcPr>
          <w:p w14:paraId="0D4561C5" w14:textId="77777777" w:rsidR="00BE5A31" w:rsidRPr="00E92FE3"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E92FE3">
              <w:t>30/06/</w:t>
            </w:r>
            <w:r>
              <w:t>20</w:t>
            </w:r>
          </w:p>
          <w:p w14:paraId="39C475AB" w14:textId="77777777" w:rsidR="00BE5A31" w:rsidRPr="00E92FE3"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E92FE3">
              <w:t xml:space="preserve">Main </w:t>
            </w:r>
            <w:r>
              <w:t>e</w:t>
            </w:r>
            <w:r w:rsidRPr="00E92FE3">
              <w:t>stimates</w:t>
            </w:r>
          </w:p>
          <w:p w14:paraId="40E2F651" w14:textId="77777777" w:rsidR="00BE5A3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p>
          <w:p w14:paraId="5E10490E" w14:textId="77777777" w:rsidR="00BE5A31" w:rsidRPr="00E92FE3"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E92FE3">
              <w:t>$(000)</w:t>
            </w:r>
          </w:p>
        </w:tc>
        <w:tc>
          <w:tcPr>
            <w:tcW w:w="687" w:type="pct"/>
          </w:tcPr>
          <w:p w14:paraId="31CF90CD" w14:textId="77777777" w:rsidR="00BE5A31" w:rsidRPr="00E92FE3"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E92FE3">
              <w:t>30/06/</w:t>
            </w:r>
            <w:r>
              <w:t>20</w:t>
            </w:r>
          </w:p>
          <w:p w14:paraId="02F2E5D6" w14:textId="77777777" w:rsidR="00BE5A31" w:rsidRPr="00E92FE3"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E92FE3">
              <w:t xml:space="preserve">Supp. </w:t>
            </w:r>
            <w:r>
              <w:t>e</w:t>
            </w:r>
            <w:r w:rsidRPr="00E92FE3">
              <w:t>stimates</w:t>
            </w:r>
          </w:p>
          <w:p w14:paraId="3B6802A8" w14:textId="77777777" w:rsidR="00BE5A3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p>
          <w:p w14:paraId="203ABE8D" w14:textId="77777777" w:rsidR="00BE5A31" w:rsidRPr="00E92FE3"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E92FE3">
              <w:t>$(000)</w:t>
            </w:r>
          </w:p>
        </w:tc>
        <w:tc>
          <w:tcPr>
            <w:tcW w:w="784" w:type="pct"/>
          </w:tcPr>
          <w:p w14:paraId="08ACF7B3" w14:textId="77777777" w:rsidR="00BE5A31" w:rsidRPr="00E92FE3"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t>30/06/21</w:t>
            </w:r>
          </w:p>
          <w:p w14:paraId="6EA744A6" w14:textId="77777777" w:rsidR="00BE5A31" w:rsidRPr="00E92FE3"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E92FE3">
              <w:t>Unaudited</w:t>
            </w:r>
          </w:p>
          <w:p w14:paraId="22017E1B" w14:textId="77777777" w:rsidR="00BE5A31" w:rsidRPr="00E92FE3"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t>f</w:t>
            </w:r>
            <w:r w:rsidRPr="00E92FE3">
              <w:t>orecast IPSAS</w:t>
            </w:r>
            <w:r>
              <w:t>*</w:t>
            </w:r>
          </w:p>
          <w:p w14:paraId="2E4F9791" w14:textId="77777777" w:rsidR="00BE5A31" w:rsidRPr="00E92FE3"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E92FE3">
              <w:t>$(000)</w:t>
            </w:r>
          </w:p>
        </w:tc>
      </w:tr>
      <w:tr w:rsidR="00B65749" w14:paraId="0C6F3602" w14:textId="77777777" w:rsidTr="00BE5A3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bottom w:val="single" w:sz="8" w:space="0" w:color="FFFFFF" w:themeColor="background1"/>
            </w:tcBorders>
            <w:shd w:val="clear" w:color="auto" w:fill="E9E9E9"/>
          </w:tcPr>
          <w:p w14:paraId="613F0583" w14:textId="77777777" w:rsidR="00B65749" w:rsidRPr="00384E6C" w:rsidRDefault="00B65749" w:rsidP="00B65749">
            <w:pPr>
              <w:pStyle w:val="Tablebodytextnospaceafter"/>
              <w:jc w:val="right"/>
            </w:pPr>
            <w:r>
              <w:rPr>
                <w:rStyle w:val="Emphasis"/>
                <w:b w:val="0"/>
              </w:rPr>
              <w:t>56</w:t>
            </w:r>
          </w:p>
        </w:tc>
        <w:tc>
          <w:tcPr>
            <w:tcW w:w="1623" w:type="pct"/>
            <w:hideMark/>
          </w:tcPr>
          <w:p w14:paraId="49C34F80" w14:textId="77777777" w:rsidR="00B65749" w:rsidRPr="00E92FE3" w:rsidRDefault="00B65749" w:rsidP="00B65749">
            <w:pPr>
              <w:pStyle w:val="Tablebodytextnospaceafter"/>
              <w:cnfStyle w:val="000000100000" w:firstRow="0" w:lastRow="0" w:firstColumn="0" w:lastColumn="0" w:oddVBand="0" w:evenVBand="0" w:oddHBand="1" w:evenHBand="0" w:firstRowFirstColumn="0" w:firstRowLastColumn="0" w:lastRowFirstColumn="0" w:lastRowLastColumn="0"/>
            </w:pPr>
            <w:r w:rsidRPr="00E92FE3">
              <w:t>Furniture and fittings</w:t>
            </w:r>
          </w:p>
        </w:tc>
        <w:tc>
          <w:tcPr>
            <w:tcW w:w="610" w:type="pct"/>
          </w:tcPr>
          <w:p w14:paraId="64CDC454" w14:textId="77777777" w:rsidR="00B65749" w:rsidRPr="00C11E2B"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61</w:t>
            </w:r>
          </w:p>
        </w:tc>
        <w:tc>
          <w:tcPr>
            <w:tcW w:w="686" w:type="pct"/>
          </w:tcPr>
          <w:p w14:paraId="44F1BAC2" w14:textId="77777777" w:rsidR="00B65749" w:rsidRPr="00FA25BC"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76</w:t>
            </w:r>
          </w:p>
        </w:tc>
        <w:tc>
          <w:tcPr>
            <w:tcW w:w="687" w:type="pct"/>
          </w:tcPr>
          <w:p w14:paraId="08968211" w14:textId="77777777" w:rsidR="00B65749" w:rsidRPr="001F0856"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76</w:t>
            </w:r>
          </w:p>
        </w:tc>
        <w:tc>
          <w:tcPr>
            <w:tcW w:w="784" w:type="pct"/>
          </w:tcPr>
          <w:p w14:paraId="110874A2" w14:textId="77777777" w:rsidR="00B65749" w:rsidRPr="004E39DE" w:rsidRDefault="00E3091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90</w:t>
            </w:r>
          </w:p>
        </w:tc>
      </w:tr>
      <w:tr w:rsidR="00B65749" w14:paraId="6EC8C9BC" w14:textId="77777777" w:rsidTr="00BE5A31">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bottom w:val="single" w:sz="8" w:space="0" w:color="FFFFFF" w:themeColor="background1"/>
            </w:tcBorders>
            <w:shd w:val="clear" w:color="auto" w:fill="E9E9E9"/>
          </w:tcPr>
          <w:p w14:paraId="2177A553" w14:textId="77777777" w:rsidR="00B65749" w:rsidRPr="00384E6C" w:rsidRDefault="00B65749" w:rsidP="00B65749">
            <w:pPr>
              <w:pStyle w:val="Tablebodytextnospaceafter"/>
              <w:jc w:val="right"/>
            </w:pPr>
            <w:r>
              <w:rPr>
                <w:rStyle w:val="Emphasis"/>
                <w:b w:val="0"/>
              </w:rPr>
              <w:t>160</w:t>
            </w:r>
          </w:p>
        </w:tc>
        <w:tc>
          <w:tcPr>
            <w:tcW w:w="1623" w:type="pct"/>
            <w:hideMark/>
          </w:tcPr>
          <w:p w14:paraId="060E1648" w14:textId="77777777" w:rsidR="00B65749" w:rsidRPr="00E92FE3" w:rsidRDefault="00B65749" w:rsidP="00B65749">
            <w:pPr>
              <w:pStyle w:val="Tablebodytextnospaceafter"/>
              <w:cnfStyle w:val="000000010000" w:firstRow="0" w:lastRow="0" w:firstColumn="0" w:lastColumn="0" w:oddVBand="0" w:evenVBand="0" w:oddHBand="0" w:evenHBand="1" w:firstRowFirstColumn="0" w:firstRowLastColumn="0" w:lastRowFirstColumn="0" w:lastRowLastColumn="0"/>
            </w:pPr>
            <w:r w:rsidRPr="00E92FE3">
              <w:t>Plant and equipment and other</w:t>
            </w:r>
          </w:p>
        </w:tc>
        <w:tc>
          <w:tcPr>
            <w:tcW w:w="610" w:type="pct"/>
          </w:tcPr>
          <w:p w14:paraId="65797350" w14:textId="77777777" w:rsidR="00B65749" w:rsidRPr="00C11E2B"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168</w:t>
            </w:r>
          </w:p>
        </w:tc>
        <w:tc>
          <w:tcPr>
            <w:tcW w:w="686" w:type="pct"/>
          </w:tcPr>
          <w:p w14:paraId="7F49B5E0" w14:textId="77777777" w:rsidR="00B65749" w:rsidRPr="00FA25BC"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151</w:t>
            </w:r>
          </w:p>
        </w:tc>
        <w:tc>
          <w:tcPr>
            <w:tcW w:w="687" w:type="pct"/>
          </w:tcPr>
          <w:p w14:paraId="49D34F35" w14:textId="77777777" w:rsidR="00B65749" w:rsidRPr="001F0856"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151</w:t>
            </w:r>
          </w:p>
        </w:tc>
        <w:tc>
          <w:tcPr>
            <w:tcW w:w="784" w:type="pct"/>
          </w:tcPr>
          <w:p w14:paraId="4A926F68" w14:textId="77777777" w:rsidR="00B65749" w:rsidRPr="004E39DE" w:rsidRDefault="00E3091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189</w:t>
            </w:r>
          </w:p>
        </w:tc>
      </w:tr>
      <w:tr w:rsidR="00B65749" w14:paraId="3C750DF1" w14:textId="77777777" w:rsidTr="00BE5A3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bottom w:val="single" w:sz="8" w:space="0" w:color="FFFFFF" w:themeColor="background1"/>
            </w:tcBorders>
            <w:shd w:val="clear" w:color="auto" w:fill="E9E9E9"/>
          </w:tcPr>
          <w:p w14:paraId="27F03326" w14:textId="77777777" w:rsidR="00B65749" w:rsidRPr="00384E6C" w:rsidRDefault="00B65749" w:rsidP="00B65749">
            <w:pPr>
              <w:pStyle w:val="Tablebodytextnospaceafter"/>
              <w:jc w:val="right"/>
            </w:pPr>
            <w:r>
              <w:rPr>
                <w:rStyle w:val="Emphasis"/>
                <w:b w:val="0"/>
              </w:rPr>
              <w:t>205</w:t>
            </w:r>
          </w:p>
        </w:tc>
        <w:tc>
          <w:tcPr>
            <w:tcW w:w="1623" w:type="pct"/>
            <w:hideMark/>
          </w:tcPr>
          <w:p w14:paraId="44E70A67" w14:textId="77777777" w:rsidR="00B65749" w:rsidRPr="00E92FE3" w:rsidRDefault="00B65749" w:rsidP="00B65749">
            <w:pPr>
              <w:pStyle w:val="Tablebodytextnospaceafter"/>
              <w:cnfStyle w:val="000000100000" w:firstRow="0" w:lastRow="0" w:firstColumn="0" w:lastColumn="0" w:oddVBand="0" w:evenVBand="0" w:oddHBand="1" w:evenHBand="0" w:firstRowFirstColumn="0" w:firstRowLastColumn="0" w:lastRowFirstColumn="0" w:lastRowLastColumn="0"/>
            </w:pPr>
            <w:r w:rsidRPr="00E92FE3">
              <w:t>Computer equipment</w:t>
            </w:r>
          </w:p>
        </w:tc>
        <w:tc>
          <w:tcPr>
            <w:tcW w:w="610" w:type="pct"/>
          </w:tcPr>
          <w:p w14:paraId="6E86E3D6" w14:textId="77777777" w:rsidR="00B65749" w:rsidRPr="00C11E2B"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227</w:t>
            </w:r>
          </w:p>
        </w:tc>
        <w:tc>
          <w:tcPr>
            <w:tcW w:w="686" w:type="pct"/>
          </w:tcPr>
          <w:p w14:paraId="47DF8174" w14:textId="77777777" w:rsidR="00B65749" w:rsidRPr="00FA25BC"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475</w:t>
            </w:r>
          </w:p>
        </w:tc>
        <w:tc>
          <w:tcPr>
            <w:tcW w:w="687" w:type="pct"/>
          </w:tcPr>
          <w:p w14:paraId="64760A97" w14:textId="77777777" w:rsidR="00B65749" w:rsidRPr="001F0856"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475</w:t>
            </w:r>
          </w:p>
        </w:tc>
        <w:tc>
          <w:tcPr>
            <w:tcW w:w="784" w:type="pct"/>
          </w:tcPr>
          <w:p w14:paraId="1F813FB0" w14:textId="77777777" w:rsidR="00B65749" w:rsidRPr="004E39DE" w:rsidRDefault="00E3091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563</w:t>
            </w:r>
          </w:p>
        </w:tc>
      </w:tr>
      <w:tr w:rsidR="00B65749" w14:paraId="31E0839F" w14:textId="77777777" w:rsidTr="00BE5A31">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top w:val="single" w:sz="8" w:space="0" w:color="FFFFFF" w:themeColor="background1"/>
              <w:bottom w:val="single" w:sz="4" w:space="0" w:color="FFFFFF" w:themeColor="background1"/>
            </w:tcBorders>
            <w:shd w:val="clear" w:color="auto" w:fill="E9E9E9"/>
          </w:tcPr>
          <w:p w14:paraId="71A4A992" w14:textId="77777777" w:rsidR="00B65749" w:rsidRPr="00384E6C" w:rsidRDefault="00B65749" w:rsidP="00B65749">
            <w:pPr>
              <w:pStyle w:val="Tablebodytextnospaceafter"/>
              <w:jc w:val="right"/>
            </w:pPr>
            <w:r>
              <w:rPr>
                <w:rStyle w:val="Emphasis"/>
                <w:b w:val="0"/>
              </w:rPr>
              <w:t>149</w:t>
            </w:r>
          </w:p>
        </w:tc>
        <w:tc>
          <w:tcPr>
            <w:tcW w:w="1623" w:type="pct"/>
            <w:tcBorders>
              <w:bottom w:val="single" w:sz="4" w:space="0" w:color="FFFFFF" w:themeColor="background1"/>
            </w:tcBorders>
            <w:hideMark/>
          </w:tcPr>
          <w:p w14:paraId="550A29C5" w14:textId="77777777" w:rsidR="00B65749" w:rsidRPr="00E92FE3" w:rsidRDefault="00B65749" w:rsidP="00B65749">
            <w:pPr>
              <w:pStyle w:val="Tablebodytextnospaceafter"/>
              <w:cnfStyle w:val="000000010000" w:firstRow="0" w:lastRow="0" w:firstColumn="0" w:lastColumn="0" w:oddVBand="0" w:evenVBand="0" w:oddHBand="0" w:evenHBand="1" w:firstRowFirstColumn="0" w:firstRowLastColumn="0" w:lastRowFirstColumn="0" w:lastRowLastColumn="0"/>
            </w:pPr>
            <w:r w:rsidRPr="00E92FE3">
              <w:t>Intangible assets – software</w:t>
            </w:r>
          </w:p>
        </w:tc>
        <w:tc>
          <w:tcPr>
            <w:tcW w:w="610" w:type="pct"/>
            <w:tcBorders>
              <w:bottom w:val="single" w:sz="4" w:space="0" w:color="FFFFFF" w:themeColor="background1"/>
            </w:tcBorders>
          </w:tcPr>
          <w:p w14:paraId="01F13B6B" w14:textId="77777777" w:rsidR="00B65749" w:rsidRPr="00C11E2B"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158</w:t>
            </w:r>
          </w:p>
        </w:tc>
        <w:tc>
          <w:tcPr>
            <w:tcW w:w="686" w:type="pct"/>
            <w:tcBorders>
              <w:bottom w:val="single" w:sz="4" w:space="0" w:color="FFFFFF" w:themeColor="background1"/>
            </w:tcBorders>
          </w:tcPr>
          <w:p w14:paraId="1E812AF9" w14:textId="77777777" w:rsidR="00B65749" w:rsidRPr="00FA25BC"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164</w:t>
            </w:r>
          </w:p>
        </w:tc>
        <w:tc>
          <w:tcPr>
            <w:tcW w:w="687" w:type="pct"/>
            <w:tcBorders>
              <w:bottom w:val="single" w:sz="4" w:space="0" w:color="FFFFFF" w:themeColor="background1"/>
            </w:tcBorders>
          </w:tcPr>
          <w:p w14:paraId="5C5A67A7" w14:textId="77777777" w:rsidR="00B65749" w:rsidRPr="001F0856"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164</w:t>
            </w:r>
          </w:p>
        </w:tc>
        <w:tc>
          <w:tcPr>
            <w:tcW w:w="784" w:type="pct"/>
            <w:tcBorders>
              <w:bottom w:val="single" w:sz="4" w:space="0" w:color="FFFFFF" w:themeColor="background1"/>
            </w:tcBorders>
          </w:tcPr>
          <w:p w14:paraId="1347504E" w14:textId="77777777" w:rsidR="00B65749" w:rsidRPr="004E39DE"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249</w:t>
            </w:r>
          </w:p>
        </w:tc>
      </w:tr>
      <w:tr w:rsidR="00B65749" w14:paraId="4B05441D" w14:textId="77777777" w:rsidTr="00BE5A3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top w:val="single" w:sz="4" w:space="0" w:color="FFFFFF" w:themeColor="background1"/>
              <w:bottom w:val="single" w:sz="4" w:space="0" w:color="FFFFFF" w:themeColor="background1"/>
            </w:tcBorders>
          </w:tcPr>
          <w:p w14:paraId="0D2648F3" w14:textId="77777777" w:rsidR="00B65749" w:rsidRPr="0036131E" w:rsidRDefault="00B65749" w:rsidP="00B65749">
            <w:pPr>
              <w:pStyle w:val="Tablebodytextnospaceafter"/>
              <w:jc w:val="right"/>
              <w:rPr>
                <w:rStyle w:val="Emphasis"/>
                <w:b w:val="0"/>
                <w:u w:val="single"/>
              </w:rPr>
            </w:pPr>
            <w:r w:rsidRPr="0036131E">
              <w:rPr>
                <w:rStyle w:val="Emphasis"/>
                <w:b w:val="0"/>
                <w:u w:val="single"/>
              </w:rPr>
              <w:t>570</w:t>
            </w:r>
          </w:p>
        </w:tc>
        <w:tc>
          <w:tcPr>
            <w:tcW w:w="1623" w:type="pct"/>
            <w:tcBorders>
              <w:top w:val="single" w:sz="4" w:space="0" w:color="FFFFFF" w:themeColor="background1"/>
              <w:bottom w:val="single" w:sz="4" w:space="0" w:color="FFFFFF" w:themeColor="background1"/>
            </w:tcBorders>
            <w:shd w:val="clear" w:color="auto" w:fill="BFBFBF"/>
          </w:tcPr>
          <w:p w14:paraId="10C9521F" w14:textId="77777777" w:rsidR="00B65749" w:rsidRPr="00E92FE3" w:rsidRDefault="00B65749" w:rsidP="00B65749">
            <w:pPr>
              <w:pStyle w:val="Tablebodytextnospaceafter"/>
              <w:cnfStyle w:val="000000100000" w:firstRow="0" w:lastRow="0" w:firstColumn="0" w:lastColumn="0" w:oddVBand="0" w:evenVBand="0" w:oddHBand="1" w:evenHBand="0" w:firstRowFirstColumn="0" w:firstRowLastColumn="0" w:lastRowFirstColumn="0" w:lastRowLastColumn="0"/>
            </w:pPr>
            <w:r w:rsidRPr="00E92FE3">
              <w:t>Total depreciation and amortisation</w:t>
            </w:r>
          </w:p>
        </w:tc>
        <w:tc>
          <w:tcPr>
            <w:tcW w:w="610" w:type="pct"/>
            <w:tcBorders>
              <w:top w:val="single" w:sz="4" w:space="0" w:color="FFFFFF" w:themeColor="background1"/>
              <w:bottom w:val="single" w:sz="4" w:space="0" w:color="FFFFFF" w:themeColor="background1"/>
            </w:tcBorders>
            <w:shd w:val="clear" w:color="auto" w:fill="BFBFBF"/>
          </w:tcPr>
          <w:p w14:paraId="16601973" w14:textId="77777777" w:rsidR="00B65749" w:rsidRPr="00C11E2B"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u w:val="single"/>
              </w:rPr>
            </w:pPr>
            <w:r>
              <w:rPr>
                <w:rStyle w:val="Emphasis"/>
                <w:b w:val="0"/>
                <w:u w:val="single"/>
              </w:rPr>
              <w:t>614</w:t>
            </w:r>
          </w:p>
        </w:tc>
        <w:tc>
          <w:tcPr>
            <w:tcW w:w="686" w:type="pct"/>
            <w:tcBorders>
              <w:top w:val="single" w:sz="4" w:space="0" w:color="FFFFFF" w:themeColor="background1"/>
              <w:bottom w:val="single" w:sz="4" w:space="0" w:color="FFFFFF" w:themeColor="background1"/>
            </w:tcBorders>
            <w:shd w:val="clear" w:color="auto" w:fill="BFBFBF"/>
          </w:tcPr>
          <w:p w14:paraId="7FBD0E5D" w14:textId="77777777" w:rsidR="00B65749" w:rsidRPr="00FA25BC"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Pr>
                <w:u w:val="single"/>
              </w:rPr>
              <w:t>866</w:t>
            </w:r>
          </w:p>
        </w:tc>
        <w:tc>
          <w:tcPr>
            <w:tcW w:w="687" w:type="pct"/>
            <w:tcBorders>
              <w:top w:val="single" w:sz="4" w:space="0" w:color="FFFFFF" w:themeColor="background1"/>
              <w:bottom w:val="single" w:sz="4" w:space="0" w:color="FFFFFF" w:themeColor="background1"/>
            </w:tcBorders>
            <w:shd w:val="clear" w:color="auto" w:fill="BFBFBF"/>
          </w:tcPr>
          <w:p w14:paraId="12DD11D4" w14:textId="77777777" w:rsidR="00B65749" w:rsidRPr="001F0856"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Pr>
                <w:u w:val="single"/>
              </w:rPr>
              <w:t>866</w:t>
            </w:r>
          </w:p>
        </w:tc>
        <w:tc>
          <w:tcPr>
            <w:tcW w:w="784" w:type="pct"/>
            <w:tcBorders>
              <w:top w:val="single" w:sz="4" w:space="0" w:color="FFFFFF" w:themeColor="background1"/>
              <w:bottom w:val="single" w:sz="4" w:space="0" w:color="FFFFFF" w:themeColor="background1"/>
              <w:right w:val="single" w:sz="4" w:space="0" w:color="FFFFFF" w:themeColor="background1"/>
            </w:tcBorders>
            <w:shd w:val="clear" w:color="auto" w:fill="BFBFBF"/>
          </w:tcPr>
          <w:p w14:paraId="4601B839" w14:textId="77777777" w:rsidR="00B65749" w:rsidRPr="004E39DE"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Pr>
                <w:u w:val="single"/>
              </w:rPr>
              <w:t>1,091</w:t>
            </w:r>
          </w:p>
        </w:tc>
      </w:tr>
    </w:tbl>
    <w:p w14:paraId="2412EB79" w14:textId="77777777" w:rsidR="00DF1795" w:rsidRPr="00AE30C6" w:rsidRDefault="00DF1795" w:rsidP="00DF1795">
      <w:pPr>
        <w:pStyle w:val="Whitespace"/>
      </w:pPr>
    </w:p>
    <w:p w14:paraId="04E039C2" w14:textId="77777777" w:rsidR="00DF1795" w:rsidRDefault="00D315BD" w:rsidP="00DF1795">
      <w:pPr>
        <w:pStyle w:val="Heading3"/>
      </w:pPr>
      <w:r>
        <w:t>6</w:t>
      </w:r>
      <w:r w:rsidR="00DF1795" w:rsidRPr="003B0424">
        <w:t>. Capital charge</w:t>
      </w:r>
    </w:p>
    <w:p w14:paraId="29146ED1" w14:textId="77777777" w:rsidR="00DF1795" w:rsidRDefault="00DF1795" w:rsidP="00DF1795">
      <w:pPr>
        <w:pStyle w:val="BodyText"/>
      </w:pPr>
      <w:r w:rsidRPr="007E1D36">
        <w:t>The Office of the Ombudsman</w:t>
      </w:r>
      <w:r w:rsidRPr="00E92FE3">
        <w:t xml:space="preserve"> pays a capital charge to the Crown on its taxpayers’ funds as at 30 June and 31 December each year</w:t>
      </w:r>
      <w:r>
        <w:t xml:space="preserve">. The capital charge is recognised as an expense in the financial year to which the charge relates. </w:t>
      </w:r>
    </w:p>
    <w:p w14:paraId="0FEC0944" w14:textId="77777777" w:rsidR="00DF1795" w:rsidRDefault="00DF1795" w:rsidP="00DF1795">
      <w:pPr>
        <w:pStyle w:val="BodyText"/>
      </w:pPr>
      <w:r w:rsidRPr="00E92FE3">
        <w:t xml:space="preserve">The capital charge rate </w:t>
      </w:r>
      <w:r w:rsidRPr="0098291A">
        <w:t xml:space="preserve">was </w:t>
      </w:r>
      <w:r w:rsidRPr="0036131E">
        <w:t>6% for</w:t>
      </w:r>
      <w:r w:rsidRPr="0098291A">
        <w:t xml:space="preserve"> the year</w:t>
      </w:r>
      <w:r>
        <w:t xml:space="preserve"> ended 30 June 20</w:t>
      </w:r>
      <w:r w:rsidR="00B65749">
        <w:t>20</w:t>
      </w:r>
      <w:r>
        <w:t xml:space="preserve"> (Year ended 201</w:t>
      </w:r>
      <w:r w:rsidR="00B65749">
        <w:t>9</w:t>
      </w:r>
      <w:r>
        <w:t>, 6%).</w:t>
      </w:r>
    </w:p>
    <w:p w14:paraId="6D2C3829" w14:textId="77777777" w:rsidR="00DF1795" w:rsidRPr="00BE4BB3" w:rsidRDefault="00D315BD" w:rsidP="00DF1795">
      <w:pPr>
        <w:pStyle w:val="Heading3"/>
      </w:pPr>
      <w:r>
        <w:t>7</w:t>
      </w:r>
      <w:r w:rsidR="00DF1795" w:rsidRPr="003B0424">
        <w:t xml:space="preserve">. </w:t>
      </w:r>
      <w:r w:rsidR="00DF1795">
        <w:t>Other current assets</w:t>
      </w:r>
    </w:p>
    <w:tbl>
      <w:tblPr>
        <w:tblStyle w:val="TableGridAnnualReport14"/>
        <w:tblW w:w="9356" w:type="dxa"/>
        <w:tblInd w:w="108" w:type="dxa"/>
        <w:tblLayout w:type="fixed"/>
        <w:tblLook w:val="04A0" w:firstRow="1" w:lastRow="0" w:firstColumn="1" w:lastColumn="0" w:noHBand="0" w:noVBand="1"/>
        <w:tblCaption w:val="Other current assets"/>
      </w:tblPr>
      <w:tblGrid>
        <w:gridCol w:w="1560"/>
        <w:gridCol w:w="2693"/>
        <w:gridCol w:w="1134"/>
        <w:gridCol w:w="1276"/>
        <w:gridCol w:w="1299"/>
        <w:gridCol w:w="1394"/>
      </w:tblGrid>
      <w:tr w:rsidR="00BE5A31" w14:paraId="0388B3AD" w14:textId="77777777" w:rsidTr="00BE5A3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hideMark/>
          </w:tcPr>
          <w:p w14:paraId="4D4F4FD7" w14:textId="77777777" w:rsidR="00BE5A31" w:rsidRDefault="00BE5A31" w:rsidP="00BE5A31">
            <w:pPr>
              <w:pStyle w:val="Tableheadingrow1"/>
              <w:jc w:val="right"/>
            </w:pPr>
            <w:r w:rsidRPr="009C4FBB">
              <w:t>30/06/</w:t>
            </w:r>
            <w:r>
              <w:t>19</w:t>
            </w:r>
            <w:r w:rsidRPr="009C4FBB">
              <w:br/>
              <w:t>Actual</w:t>
            </w:r>
          </w:p>
          <w:p w14:paraId="76B6D114" w14:textId="77777777" w:rsidR="00BE5A31" w:rsidRPr="009C4FBB" w:rsidRDefault="00BE5A31" w:rsidP="00BE5A31">
            <w:pPr>
              <w:pStyle w:val="Tableheadingrow1"/>
              <w:jc w:val="right"/>
            </w:pPr>
          </w:p>
          <w:p w14:paraId="5E7FF4A2" w14:textId="77777777" w:rsidR="00BE5A31" w:rsidRDefault="00BE5A31" w:rsidP="00BE5A31">
            <w:pPr>
              <w:pStyle w:val="Tableheadingrow1"/>
              <w:jc w:val="right"/>
            </w:pPr>
          </w:p>
          <w:p w14:paraId="24C461CC" w14:textId="6DD8DB2B" w:rsidR="00BE5A31" w:rsidRPr="00661591" w:rsidRDefault="00BE5A31" w:rsidP="00BE5A31">
            <w:pPr>
              <w:pStyle w:val="Tableheadingrow1"/>
              <w:jc w:val="right"/>
            </w:pPr>
            <w:r w:rsidRPr="009C4FBB">
              <w:t>$(000)</w:t>
            </w:r>
          </w:p>
        </w:tc>
        <w:tc>
          <w:tcPr>
            <w:tcW w:w="2693" w:type="dxa"/>
          </w:tcPr>
          <w:p w14:paraId="1CE884FC" w14:textId="77777777" w:rsidR="00BE5A31" w:rsidRPr="0066159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1134" w:type="dxa"/>
            <w:hideMark/>
          </w:tcPr>
          <w:p w14:paraId="7B0B26D7" w14:textId="77777777" w:rsidR="00BE5A3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30/06/</w:t>
            </w:r>
            <w:r>
              <w:t>20</w:t>
            </w:r>
            <w:r w:rsidRPr="001360E8">
              <w:br/>
              <w:t>Actual</w:t>
            </w:r>
          </w:p>
          <w:p w14:paraId="75DE0688" w14:textId="77777777" w:rsidR="00BE5A31" w:rsidRPr="001360E8"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p>
          <w:p w14:paraId="61AD7622" w14:textId="77777777" w:rsidR="00BE5A3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p>
          <w:p w14:paraId="1FE8FF05" w14:textId="5699D163" w:rsidR="00BE5A31" w:rsidRPr="0066159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1360E8">
              <w:t>$(000)</w:t>
            </w:r>
          </w:p>
        </w:tc>
        <w:tc>
          <w:tcPr>
            <w:tcW w:w="1276" w:type="dxa"/>
          </w:tcPr>
          <w:p w14:paraId="488C30F7" w14:textId="77777777" w:rsidR="00BE5A31" w:rsidRPr="0066159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661591">
              <w:t>30/06/</w:t>
            </w:r>
            <w:r>
              <w:t>20</w:t>
            </w:r>
          </w:p>
          <w:p w14:paraId="453F5EE1" w14:textId="77777777" w:rsidR="00BE5A31" w:rsidRPr="0066159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661591">
              <w:t xml:space="preserve">Main </w:t>
            </w:r>
            <w:r>
              <w:t>e</w:t>
            </w:r>
            <w:r w:rsidRPr="00661591">
              <w:t>stimates</w:t>
            </w:r>
          </w:p>
          <w:p w14:paraId="2B27ADD7" w14:textId="77777777" w:rsidR="00BE5A3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p>
          <w:p w14:paraId="2C44CB40" w14:textId="77777777" w:rsidR="00BE5A31" w:rsidRPr="0066159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661591">
              <w:t>$(000)</w:t>
            </w:r>
          </w:p>
        </w:tc>
        <w:tc>
          <w:tcPr>
            <w:tcW w:w="1299" w:type="dxa"/>
          </w:tcPr>
          <w:p w14:paraId="66362E4A" w14:textId="77777777" w:rsidR="00BE5A31" w:rsidRPr="0066159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661591">
              <w:t>30/06/</w:t>
            </w:r>
            <w:r>
              <w:t>20</w:t>
            </w:r>
          </w:p>
          <w:p w14:paraId="479AB722" w14:textId="77777777" w:rsidR="00BE5A31" w:rsidRPr="0066159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661591">
              <w:t xml:space="preserve">Supp. </w:t>
            </w:r>
            <w:r>
              <w:t>e</w:t>
            </w:r>
            <w:r w:rsidRPr="00661591">
              <w:t>stimates</w:t>
            </w:r>
          </w:p>
          <w:p w14:paraId="15705C8F" w14:textId="77777777" w:rsidR="00BE5A3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p>
          <w:p w14:paraId="129B9F30" w14:textId="77777777" w:rsidR="00BE5A31" w:rsidRPr="0066159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661591">
              <w:t>$(000)</w:t>
            </w:r>
          </w:p>
        </w:tc>
        <w:tc>
          <w:tcPr>
            <w:tcW w:w="1394" w:type="dxa"/>
          </w:tcPr>
          <w:p w14:paraId="7736A19E" w14:textId="77777777" w:rsidR="00BE5A31" w:rsidRPr="0066159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t>30/06/21</w:t>
            </w:r>
          </w:p>
          <w:p w14:paraId="05E3188C" w14:textId="77777777" w:rsidR="00BE5A31" w:rsidRPr="0066159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661591">
              <w:t>Unaudited</w:t>
            </w:r>
          </w:p>
          <w:p w14:paraId="743166EF" w14:textId="77777777" w:rsidR="00BE5A31" w:rsidRPr="0066159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t>f</w:t>
            </w:r>
            <w:r w:rsidRPr="00661591">
              <w:t>orecast IPSAS</w:t>
            </w:r>
            <w:r>
              <w:t>*</w:t>
            </w:r>
          </w:p>
          <w:p w14:paraId="2646C1E2" w14:textId="77777777" w:rsidR="00BE5A31" w:rsidRPr="00661591" w:rsidRDefault="00BE5A31" w:rsidP="00BE5A31">
            <w:pPr>
              <w:pStyle w:val="Tableheadingrow1"/>
              <w:jc w:val="right"/>
              <w:cnfStyle w:val="100000000000" w:firstRow="1" w:lastRow="0" w:firstColumn="0" w:lastColumn="0" w:oddVBand="0" w:evenVBand="0" w:oddHBand="0" w:evenHBand="0" w:firstRowFirstColumn="0" w:firstRowLastColumn="0" w:lastRowFirstColumn="0" w:lastRowLastColumn="0"/>
            </w:pPr>
            <w:r w:rsidRPr="00661591">
              <w:t>$(000)</w:t>
            </w:r>
          </w:p>
        </w:tc>
      </w:tr>
      <w:tr w:rsidR="00B65749" w14:paraId="40301A65" w14:textId="77777777" w:rsidTr="00BE5A3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60" w:type="dxa"/>
            <w:tcBorders>
              <w:bottom w:val="single" w:sz="8" w:space="0" w:color="FFFFFF" w:themeColor="background1"/>
            </w:tcBorders>
            <w:shd w:val="clear" w:color="auto" w:fill="E9E9E9"/>
          </w:tcPr>
          <w:p w14:paraId="2E61ACA5" w14:textId="77777777" w:rsidR="00B65749" w:rsidRPr="00384E6C" w:rsidRDefault="00B65749" w:rsidP="00B65749">
            <w:pPr>
              <w:pStyle w:val="Tablebodytextnospaceafter"/>
              <w:jc w:val="right"/>
            </w:pPr>
            <w:r>
              <w:rPr>
                <w:rStyle w:val="Emphasis"/>
              </w:rPr>
              <w:t>-</w:t>
            </w:r>
          </w:p>
        </w:tc>
        <w:tc>
          <w:tcPr>
            <w:tcW w:w="2693" w:type="dxa"/>
            <w:hideMark/>
          </w:tcPr>
          <w:p w14:paraId="742903A4" w14:textId="77777777" w:rsidR="00B65749" w:rsidRPr="00661591" w:rsidRDefault="00B65749" w:rsidP="00B65749">
            <w:pPr>
              <w:pStyle w:val="Tablebodytextnospaceafter"/>
              <w:cnfStyle w:val="000000100000" w:firstRow="0" w:lastRow="0" w:firstColumn="0" w:lastColumn="0" w:oddVBand="0" w:evenVBand="0" w:oddHBand="1" w:evenHBand="0" w:firstRowFirstColumn="0" w:firstRowLastColumn="0" w:lastRowFirstColumn="0" w:lastRowLastColumn="0"/>
            </w:pPr>
            <w:r w:rsidRPr="00661591">
              <w:t>Receivables</w:t>
            </w:r>
          </w:p>
        </w:tc>
        <w:tc>
          <w:tcPr>
            <w:tcW w:w="1134" w:type="dxa"/>
          </w:tcPr>
          <w:p w14:paraId="647D9247" w14:textId="77777777" w:rsidR="00B65749" w:rsidRPr="0036131E"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24</w:t>
            </w:r>
          </w:p>
        </w:tc>
        <w:tc>
          <w:tcPr>
            <w:tcW w:w="1276" w:type="dxa"/>
          </w:tcPr>
          <w:p w14:paraId="4061969E" w14:textId="77777777" w:rsidR="00B65749" w:rsidRPr="00420EF1" w:rsidRDefault="00B6574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20EF1">
              <w:t>-</w:t>
            </w:r>
          </w:p>
        </w:tc>
        <w:tc>
          <w:tcPr>
            <w:tcW w:w="1299" w:type="dxa"/>
          </w:tcPr>
          <w:p w14:paraId="7ADC09A8" w14:textId="77777777" w:rsidR="00B65749" w:rsidRPr="00420EF1" w:rsidRDefault="00B6574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20EF1">
              <w:t>-</w:t>
            </w:r>
          </w:p>
        </w:tc>
        <w:tc>
          <w:tcPr>
            <w:tcW w:w="1394" w:type="dxa"/>
          </w:tcPr>
          <w:p w14:paraId="666B5F33" w14:textId="77777777" w:rsidR="00B65749" w:rsidRPr="00420EF1" w:rsidRDefault="00B6574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20EF1">
              <w:t>-</w:t>
            </w:r>
          </w:p>
        </w:tc>
      </w:tr>
      <w:tr w:rsidR="00B65749" w14:paraId="08065254" w14:textId="77777777" w:rsidTr="00BE5A31">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FFFFFF" w:themeColor="background1"/>
              <w:bottom w:val="single" w:sz="4" w:space="0" w:color="FFFFFF" w:themeColor="background1"/>
            </w:tcBorders>
            <w:shd w:val="clear" w:color="auto" w:fill="E9E9E9"/>
          </w:tcPr>
          <w:p w14:paraId="107159A1" w14:textId="77777777" w:rsidR="00B65749" w:rsidRPr="00384E6C" w:rsidRDefault="00B65749" w:rsidP="00B65749">
            <w:pPr>
              <w:pStyle w:val="Tablebodytextnospaceafter"/>
              <w:jc w:val="right"/>
            </w:pPr>
            <w:r>
              <w:rPr>
                <w:rStyle w:val="Emphasis"/>
                <w:b w:val="0"/>
              </w:rPr>
              <w:t>191</w:t>
            </w:r>
          </w:p>
        </w:tc>
        <w:tc>
          <w:tcPr>
            <w:tcW w:w="2693" w:type="dxa"/>
            <w:tcBorders>
              <w:bottom w:val="single" w:sz="4" w:space="0" w:color="FFFFFF" w:themeColor="background1"/>
            </w:tcBorders>
            <w:hideMark/>
          </w:tcPr>
          <w:p w14:paraId="67882D28" w14:textId="77777777" w:rsidR="00B65749" w:rsidRPr="00661591" w:rsidRDefault="00B65749" w:rsidP="00B65749">
            <w:pPr>
              <w:pStyle w:val="Tablebodytextnospaceafter"/>
              <w:cnfStyle w:val="000000010000" w:firstRow="0" w:lastRow="0" w:firstColumn="0" w:lastColumn="0" w:oddVBand="0" w:evenVBand="0" w:oddHBand="0" w:evenHBand="1" w:firstRowFirstColumn="0" w:firstRowLastColumn="0" w:lastRowFirstColumn="0" w:lastRowLastColumn="0"/>
            </w:pPr>
            <w:r w:rsidRPr="00661591">
              <w:t xml:space="preserve">Prepayments </w:t>
            </w:r>
          </w:p>
        </w:tc>
        <w:tc>
          <w:tcPr>
            <w:tcW w:w="1134" w:type="dxa"/>
            <w:tcBorders>
              <w:bottom w:val="single" w:sz="4" w:space="0" w:color="FFFFFF" w:themeColor="background1"/>
            </w:tcBorders>
          </w:tcPr>
          <w:p w14:paraId="6E395628" w14:textId="77777777" w:rsidR="00B65749" w:rsidRPr="00C11E2B"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118</w:t>
            </w:r>
          </w:p>
        </w:tc>
        <w:tc>
          <w:tcPr>
            <w:tcW w:w="1276" w:type="dxa"/>
            <w:tcBorders>
              <w:bottom w:val="single" w:sz="4" w:space="0" w:color="FFFFFF" w:themeColor="background1"/>
            </w:tcBorders>
          </w:tcPr>
          <w:p w14:paraId="28AB3BB0" w14:textId="77777777" w:rsidR="00B65749" w:rsidRPr="00B52FF1" w:rsidRDefault="00B6574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B52FF1">
              <w:t>24</w:t>
            </w:r>
          </w:p>
        </w:tc>
        <w:tc>
          <w:tcPr>
            <w:tcW w:w="1299" w:type="dxa"/>
            <w:tcBorders>
              <w:bottom w:val="single" w:sz="4" w:space="0" w:color="FFFFFF" w:themeColor="background1"/>
            </w:tcBorders>
          </w:tcPr>
          <w:p w14:paraId="4C1D8BDB" w14:textId="77777777" w:rsidR="00B65749" w:rsidRPr="001F0856" w:rsidRDefault="00B6574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1F0856">
              <w:t>24</w:t>
            </w:r>
          </w:p>
        </w:tc>
        <w:tc>
          <w:tcPr>
            <w:tcW w:w="1394" w:type="dxa"/>
            <w:tcBorders>
              <w:bottom w:val="single" w:sz="4" w:space="0" w:color="FFFFFF" w:themeColor="background1"/>
            </w:tcBorders>
          </w:tcPr>
          <w:p w14:paraId="248B1DE3" w14:textId="77777777" w:rsidR="00B65749" w:rsidRPr="004E39DE" w:rsidRDefault="00B6574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E39DE">
              <w:t>24</w:t>
            </w:r>
          </w:p>
        </w:tc>
      </w:tr>
      <w:tr w:rsidR="00B65749" w14:paraId="0ED36DB5" w14:textId="77777777" w:rsidTr="00BE5A3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FFFFFF" w:themeColor="background1"/>
              <w:bottom w:val="single" w:sz="4" w:space="0" w:color="FFFFFF" w:themeColor="background1"/>
            </w:tcBorders>
          </w:tcPr>
          <w:p w14:paraId="75911137" w14:textId="77777777" w:rsidR="00B65749" w:rsidRPr="0036131E" w:rsidRDefault="00B65749" w:rsidP="00B65749">
            <w:pPr>
              <w:pStyle w:val="Tablebodytextnospaceafter"/>
              <w:jc w:val="right"/>
              <w:rPr>
                <w:rStyle w:val="Emphasis"/>
                <w:b w:val="0"/>
                <w:u w:val="single"/>
              </w:rPr>
            </w:pPr>
            <w:r w:rsidRPr="0036131E">
              <w:rPr>
                <w:rStyle w:val="Emphasis"/>
                <w:b w:val="0"/>
                <w:u w:val="single"/>
              </w:rPr>
              <w:t>191</w:t>
            </w:r>
          </w:p>
        </w:tc>
        <w:tc>
          <w:tcPr>
            <w:tcW w:w="2693" w:type="dxa"/>
            <w:tcBorders>
              <w:top w:val="single" w:sz="4" w:space="0" w:color="FFFFFF" w:themeColor="background1"/>
              <w:bottom w:val="single" w:sz="4" w:space="0" w:color="FFFFFF" w:themeColor="background1"/>
            </w:tcBorders>
            <w:shd w:val="clear" w:color="auto" w:fill="BFBFBF"/>
          </w:tcPr>
          <w:p w14:paraId="594E6DBB" w14:textId="77777777" w:rsidR="00B65749" w:rsidRPr="00661591" w:rsidRDefault="00B65749" w:rsidP="00B65749">
            <w:pPr>
              <w:pStyle w:val="Tablebodytextnospaceafter"/>
              <w:cnfStyle w:val="000000100000" w:firstRow="0" w:lastRow="0" w:firstColumn="0" w:lastColumn="0" w:oddVBand="0" w:evenVBand="0" w:oddHBand="1" w:evenHBand="0" w:firstRowFirstColumn="0" w:firstRowLastColumn="0" w:lastRowFirstColumn="0" w:lastRowLastColumn="0"/>
            </w:pPr>
            <w:r w:rsidRPr="00661591">
              <w:t>Total receivables</w:t>
            </w:r>
          </w:p>
        </w:tc>
        <w:tc>
          <w:tcPr>
            <w:tcW w:w="1134" w:type="dxa"/>
            <w:tcBorders>
              <w:top w:val="single" w:sz="4" w:space="0" w:color="FFFFFF" w:themeColor="background1"/>
              <w:bottom w:val="single" w:sz="4" w:space="0" w:color="FFFFFF" w:themeColor="background1"/>
            </w:tcBorders>
            <w:shd w:val="clear" w:color="auto" w:fill="BFBFBF"/>
          </w:tcPr>
          <w:p w14:paraId="30D4776D" w14:textId="77777777" w:rsidR="00B65749" w:rsidRPr="00C11E2B"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u w:val="single"/>
              </w:rPr>
            </w:pPr>
            <w:r>
              <w:rPr>
                <w:rStyle w:val="Emphasis"/>
                <w:b w:val="0"/>
                <w:u w:val="single"/>
              </w:rPr>
              <w:t>142</w:t>
            </w:r>
          </w:p>
        </w:tc>
        <w:tc>
          <w:tcPr>
            <w:tcW w:w="1276" w:type="dxa"/>
            <w:tcBorders>
              <w:top w:val="single" w:sz="4" w:space="0" w:color="FFFFFF" w:themeColor="background1"/>
              <w:bottom w:val="single" w:sz="4" w:space="0" w:color="FFFFFF" w:themeColor="background1"/>
            </w:tcBorders>
            <w:shd w:val="clear" w:color="auto" w:fill="BFBFBF"/>
          </w:tcPr>
          <w:p w14:paraId="61F657ED" w14:textId="77777777" w:rsidR="00B65749" w:rsidRPr="0036131E" w:rsidRDefault="00B6574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u w:val="single"/>
              </w:rPr>
            </w:pPr>
            <w:r w:rsidRPr="0036131E">
              <w:rPr>
                <w:rStyle w:val="Emphasis"/>
                <w:b w:val="0"/>
                <w:u w:val="single"/>
              </w:rPr>
              <w:t>24</w:t>
            </w:r>
          </w:p>
        </w:tc>
        <w:tc>
          <w:tcPr>
            <w:tcW w:w="1299" w:type="dxa"/>
            <w:tcBorders>
              <w:top w:val="single" w:sz="4" w:space="0" w:color="FFFFFF" w:themeColor="background1"/>
              <w:bottom w:val="single" w:sz="4" w:space="0" w:color="FFFFFF" w:themeColor="background1"/>
            </w:tcBorders>
            <w:shd w:val="clear" w:color="auto" w:fill="BFBFBF"/>
          </w:tcPr>
          <w:p w14:paraId="42981C4E" w14:textId="77777777" w:rsidR="00B65749" w:rsidRPr="0036131E" w:rsidRDefault="00B6574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u w:val="single"/>
              </w:rPr>
            </w:pPr>
            <w:r w:rsidRPr="0036131E">
              <w:rPr>
                <w:rStyle w:val="Emphasis"/>
                <w:b w:val="0"/>
                <w:u w:val="single"/>
              </w:rPr>
              <w:t>24</w:t>
            </w:r>
          </w:p>
        </w:tc>
        <w:tc>
          <w:tcPr>
            <w:tcW w:w="1394" w:type="dxa"/>
            <w:tcBorders>
              <w:top w:val="single" w:sz="4" w:space="0" w:color="FFFFFF" w:themeColor="background1"/>
              <w:bottom w:val="single" w:sz="4" w:space="0" w:color="FFFFFF" w:themeColor="background1"/>
            </w:tcBorders>
            <w:shd w:val="clear" w:color="auto" w:fill="BFBFBF"/>
          </w:tcPr>
          <w:p w14:paraId="6082A3D1" w14:textId="77777777" w:rsidR="00B65749" w:rsidRPr="0036131E" w:rsidRDefault="00B6574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u w:val="single"/>
              </w:rPr>
            </w:pPr>
            <w:r w:rsidRPr="0036131E">
              <w:rPr>
                <w:rStyle w:val="Emphasis"/>
                <w:b w:val="0"/>
                <w:u w:val="single"/>
              </w:rPr>
              <w:t>24</w:t>
            </w:r>
          </w:p>
        </w:tc>
      </w:tr>
    </w:tbl>
    <w:p w14:paraId="602477FE" w14:textId="77777777" w:rsidR="00DF1795" w:rsidRDefault="00DF1795" w:rsidP="00DF1795">
      <w:pPr>
        <w:pStyle w:val="Whitespace"/>
      </w:pPr>
    </w:p>
    <w:p w14:paraId="721C30CC" w14:textId="77777777" w:rsidR="00DF1795" w:rsidRDefault="00D315BD" w:rsidP="00DF1795">
      <w:pPr>
        <w:pStyle w:val="Heading3"/>
      </w:pPr>
      <w:r>
        <w:t>8</w:t>
      </w:r>
      <w:r w:rsidR="00DF1795">
        <w:t xml:space="preserve">. </w:t>
      </w:r>
      <w:r w:rsidR="00DF1795" w:rsidRPr="00BE4BB3">
        <w:t>Property, plant</w:t>
      </w:r>
      <w:r w:rsidR="006D7187" w:rsidRPr="005213AA">
        <w:t>,</w:t>
      </w:r>
      <w:r w:rsidR="00DF1795" w:rsidRPr="00BE4BB3">
        <w:t xml:space="preserve"> and equipment</w:t>
      </w:r>
    </w:p>
    <w:p w14:paraId="3E890708" w14:textId="77777777" w:rsidR="00B65749" w:rsidRPr="00B65749" w:rsidRDefault="00B65749" w:rsidP="00B65749">
      <w:pPr>
        <w:pStyle w:val="BodyText"/>
      </w:pPr>
      <w:r w:rsidRPr="00BE4BB3">
        <w:t>Movements for each class of property, plant</w:t>
      </w:r>
      <w:r>
        <w:t>,</w:t>
      </w:r>
      <w:r w:rsidRPr="00BE4BB3">
        <w:t xml:space="preserve"> and equipment are set out below.</w:t>
      </w:r>
    </w:p>
    <w:tbl>
      <w:tblPr>
        <w:tblStyle w:val="TableGridAnnualReport13"/>
        <w:tblpPr w:leftFromText="180" w:rightFromText="180" w:vertAnchor="text" w:horzAnchor="margin" w:tblpY="385"/>
        <w:tblW w:w="9346" w:type="dxa"/>
        <w:tblInd w:w="0" w:type="dxa"/>
        <w:tblLayout w:type="fixed"/>
        <w:tblLook w:val="04A0" w:firstRow="1" w:lastRow="0" w:firstColumn="1" w:lastColumn="0" w:noHBand="0" w:noVBand="1"/>
        <w:tblCaption w:val="2020 Property, plant and equipment"/>
      </w:tblPr>
      <w:tblGrid>
        <w:gridCol w:w="2684"/>
        <w:gridCol w:w="1557"/>
        <w:gridCol w:w="1703"/>
        <w:gridCol w:w="1417"/>
        <w:gridCol w:w="1134"/>
        <w:gridCol w:w="851"/>
      </w:tblGrid>
      <w:tr w:rsidR="00B65749" w14:paraId="61200DB0" w14:textId="77777777" w:rsidTr="00222C7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4" w:type="dxa"/>
            <w:hideMark/>
          </w:tcPr>
          <w:p w14:paraId="29DFA0BD" w14:textId="77777777" w:rsidR="00B65749" w:rsidRPr="00E3221E" w:rsidRDefault="00B65749" w:rsidP="00B65749">
            <w:pPr>
              <w:pStyle w:val="Tableheadingrow1"/>
            </w:pPr>
            <w:r w:rsidRPr="00E3221E">
              <w:t>20</w:t>
            </w:r>
            <w:r>
              <w:t>20</w:t>
            </w:r>
          </w:p>
        </w:tc>
        <w:tc>
          <w:tcPr>
            <w:tcW w:w="1557" w:type="dxa"/>
            <w:vAlign w:val="center"/>
            <w:hideMark/>
          </w:tcPr>
          <w:p w14:paraId="504863A5" w14:textId="77777777" w:rsidR="00B22764" w:rsidRDefault="00B65749" w:rsidP="00B65749">
            <w:pPr>
              <w:pStyle w:val="Tableheadingrow1"/>
              <w:cnfStyle w:val="100000000000" w:firstRow="1" w:lastRow="0" w:firstColumn="0" w:lastColumn="0" w:oddVBand="0" w:evenVBand="0" w:oddHBand="0" w:evenHBand="0" w:firstRowFirstColumn="0" w:firstRowLastColumn="0" w:lastRowFirstColumn="0" w:lastRowLastColumn="0"/>
            </w:pPr>
            <w:r w:rsidRPr="00E3221E">
              <w:t xml:space="preserve">Plant &amp; </w:t>
            </w:r>
            <w:r>
              <w:t>e</w:t>
            </w:r>
            <w:r w:rsidRPr="00E3221E">
              <w:t>quipment</w:t>
            </w:r>
            <w:r w:rsidRPr="00E3221E">
              <w:br/>
            </w:r>
          </w:p>
          <w:p w14:paraId="6CED57B7" w14:textId="577BA938" w:rsidR="00B65749" w:rsidRPr="00E3221E" w:rsidRDefault="00B65749" w:rsidP="00B22764">
            <w:pPr>
              <w:pStyle w:val="Tableheadingrow1"/>
              <w:cnfStyle w:val="100000000000" w:firstRow="1" w:lastRow="0" w:firstColumn="0" w:lastColumn="0" w:oddVBand="0" w:evenVBand="0" w:oddHBand="0" w:evenHBand="0" w:firstRowFirstColumn="0" w:firstRowLastColumn="0" w:lastRowFirstColumn="0" w:lastRowLastColumn="0"/>
            </w:pPr>
            <w:r w:rsidRPr="00E3221E">
              <w:t>$(000)</w:t>
            </w:r>
          </w:p>
        </w:tc>
        <w:tc>
          <w:tcPr>
            <w:tcW w:w="1703" w:type="dxa"/>
            <w:vAlign w:val="center"/>
            <w:hideMark/>
          </w:tcPr>
          <w:p w14:paraId="491A1FF0" w14:textId="77777777" w:rsidR="00B22764" w:rsidRDefault="00B65749" w:rsidP="00B65749">
            <w:pPr>
              <w:pStyle w:val="Tableheadingrow1"/>
              <w:cnfStyle w:val="100000000000" w:firstRow="1" w:lastRow="0" w:firstColumn="0" w:lastColumn="0" w:oddVBand="0" w:evenVBand="0" w:oddHBand="0" w:evenHBand="0" w:firstRowFirstColumn="0" w:firstRowLastColumn="0" w:lastRowFirstColumn="0" w:lastRowLastColumn="0"/>
            </w:pPr>
            <w:r w:rsidRPr="00E3221E">
              <w:t>Leasehold improvements</w:t>
            </w:r>
            <w:r w:rsidRPr="00E3221E">
              <w:br/>
            </w:r>
          </w:p>
          <w:p w14:paraId="20B215FE" w14:textId="78628E10" w:rsidR="00B65749" w:rsidRPr="00E3221E" w:rsidRDefault="00B65749" w:rsidP="00B22764">
            <w:pPr>
              <w:pStyle w:val="Tableheadingrow1"/>
              <w:cnfStyle w:val="100000000000" w:firstRow="1" w:lastRow="0" w:firstColumn="0" w:lastColumn="0" w:oddVBand="0" w:evenVBand="0" w:oddHBand="0" w:evenHBand="0" w:firstRowFirstColumn="0" w:firstRowLastColumn="0" w:lastRowFirstColumn="0" w:lastRowLastColumn="0"/>
            </w:pPr>
            <w:r w:rsidRPr="00E3221E">
              <w:t>$(000)</w:t>
            </w:r>
          </w:p>
        </w:tc>
        <w:tc>
          <w:tcPr>
            <w:tcW w:w="1417" w:type="dxa"/>
            <w:vAlign w:val="center"/>
            <w:hideMark/>
          </w:tcPr>
          <w:p w14:paraId="232A72FC" w14:textId="77777777" w:rsidR="00B22764" w:rsidRDefault="00B65749" w:rsidP="00B65749">
            <w:pPr>
              <w:pStyle w:val="Tableheadingrow1"/>
              <w:cnfStyle w:val="100000000000" w:firstRow="1" w:lastRow="0" w:firstColumn="0" w:lastColumn="0" w:oddVBand="0" w:evenVBand="0" w:oddHBand="0" w:evenHBand="0" w:firstRowFirstColumn="0" w:firstRowLastColumn="0" w:lastRowFirstColumn="0" w:lastRowLastColumn="0"/>
            </w:pPr>
            <w:r w:rsidRPr="00E3221E">
              <w:t xml:space="preserve">IT </w:t>
            </w:r>
            <w:r>
              <w:t>e</w:t>
            </w:r>
            <w:r w:rsidRPr="00E3221E">
              <w:t>quipment</w:t>
            </w:r>
            <w:r w:rsidRPr="00E3221E">
              <w:br/>
            </w:r>
          </w:p>
          <w:p w14:paraId="56A082C2" w14:textId="6CE0E6CA" w:rsidR="00B65749" w:rsidRPr="00E3221E" w:rsidRDefault="00B65749" w:rsidP="00B22764">
            <w:pPr>
              <w:pStyle w:val="Tableheadingrow1"/>
              <w:cnfStyle w:val="100000000000" w:firstRow="1" w:lastRow="0" w:firstColumn="0" w:lastColumn="0" w:oddVBand="0" w:evenVBand="0" w:oddHBand="0" w:evenHBand="0" w:firstRowFirstColumn="0" w:firstRowLastColumn="0" w:lastRowFirstColumn="0" w:lastRowLastColumn="0"/>
            </w:pPr>
            <w:r w:rsidRPr="00E3221E">
              <w:t>$(000)</w:t>
            </w:r>
            <w:r w:rsidR="003E53A9" w:rsidRPr="00315E21">
              <w:rPr>
                <w:vertAlign w:val="superscript"/>
              </w:rPr>
              <w:t>#</w:t>
            </w:r>
          </w:p>
        </w:tc>
        <w:tc>
          <w:tcPr>
            <w:tcW w:w="1134" w:type="dxa"/>
            <w:vAlign w:val="center"/>
            <w:hideMark/>
          </w:tcPr>
          <w:p w14:paraId="7A947EA4" w14:textId="77777777" w:rsidR="00B22764" w:rsidRDefault="00B65749" w:rsidP="00B65749">
            <w:pPr>
              <w:pStyle w:val="Tableheadingrow1"/>
              <w:cnfStyle w:val="100000000000" w:firstRow="1" w:lastRow="0" w:firstColumn="0" w:lastColumn="0" w:oddVBand="0" w:evenVBand="0" w:oddHBand="0" w:evenHBand="0" w:firstRowFirstColumn="0" w:firstRowLastColumn="0" w:lastRowFirstColumn="0" w:lastRowLastColumn="0"/>
            </w:pPr>
            <w:r w:rsidRPr="00E3221E">
              <w:t xml:space="preserve">Furniture &amp; </w:t>
            </w:r>
            <w:r>
              <w:t>f</w:t>
            </w:r>
            <w:r w:rsidRPr="00E3221E">
              <w:t>ittings</w:t>
            </w:r>
            <w:r w:rsidRPr="00E3221E">
              <w:br/>
            </w:r>
          </w:p>
          <w:p w14:paraId="66C51E5F" w14:textId="4026CA33" w:rsidR="00BE5A31" w:rsidRPr="00E3221E" w:rsidRDefault="00B65749" w:rsidP="00B22764">
            <w:pPr>
              <w:pStyle w:val="Tableheadingrow1"/>
              <w:cnfStyle w:val="100000000000" w:firstRow="1" w:lastRow="0" w:firstColumn="0" w:lastColumn="0" w:oddVBand="0" w:evenVBand="0" w:oddHBand="0" w:evenHBand="0" w:firstRowFirstColumn="0" w:firstRowLastColumn="0" w:lastRowFirstColumn="0" w:lastRowLastColumn="0"/>
            </w:pPr>
            <w:r w:rsidRPr="00E3221E">
              <w:t>$(000)</w:t>
            </w:r>
          </w:p>
        </w:tc>
        <w:tc>
          <w:tcPr>
            <w:tcW w:w="851" w:type="dxa"/>
            <w:hideMark/>
          </w:tcPr>
          <w:p w14:paraId="1C6DCA7C" w14:textId="77777777" w:rsidR="00B22764" w:rsidRDefault="00B65749" w:rsidP="00BE5A31">
            <w:pPr>
              <w:pStyle w:val="Tableheadingrow1"/>
              <w:cnfStyle w:val="100000000000" w:firstRow="1" w:lastRow="0" w:firstColumn="0" w:lastColumn="0" w:oddVBand="0" w:evenVBand="0" w:oddHBand="0" w:evenHBand="0" w:firstRowFirstColumn="0" w:firstRowLastColumn="0" w:lastRowFirstColumn="0" w:lastRowLastColumn="0"/>
            </w:pPr>
            <w:r w:rsidRPr="00E3221E">
              <w:t>Total</w:t>
            </w:r>
            <w:r w:rsidRPr="00E3221E">
              <w:br/>
            </w:r>
            <w:r w:rsidR="00BE5A31">
              <w:br/>
            </w:r>
          </w:p>
          <w:p w14:paraId="16309710" w14:textId="61A1EF7F" w:rsidR="00B65749" w:rsidRPr="00E3221E" w:rsidRDefault="00B65749" w:rsidP="00BE5A31">
            <w:pPr>
              <w:pStyle w:val="Tableheadingrow1"/>
              <w:cnfStyle w:val="100000000000" w:firstRow="1" w:lastRow="0" w:firstColumn="0" w:lastColumn="0" w:oddVBand="0" w:evenVBand="0" w:oddHBand="0" w:evenHBand="0" w:firstRowFirstColumn="0" w:firstRowLastColumn="0" w:lastRowFirstColumn="0" w:lastRowLastColumn="0"/>
            </w:pPr>
            <w:r w:rsidRPr="00E3221E">
              <w:t>$(000)</w:t>
            </w:r>
          </w:p>
        </w:tc>
      </w:tr>
      <w:tr w:rsidR="00F13C6F" w14:paraId="6BBA35E8" w14:textId="77777777" w:rsidTr="00222C74">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FFFFFF" w:themeColor="background1"/>
            </w:tcBorders>
            <w:shd w:val="clear" w:color="000000" w:fill="BFBFBF"/>
            <w:hideMark/>
          </w:tcPr>
          <w:p w14:paraId="0D190FE9" w14:textId="77777777" w:rsidR="00F13C6F" w:rsidRPr="007717B5" w:rsidRDefault="00F13C6F" w:rsidP="00B65749">
            <w:pPr>
              <w:pStyle w:val="Tablebodytextnospaceafter"/>
              <w:rPr>
                <w:rStyle w:val="Emphasis"/>
              </w:rPr>
            </w:pPr>
            <w:r w:rsidRPr="007717B5">
              <w:rPr>
                <w:rStyle w:val="Emphasis"/>
              </w:rPr>
              <w:t xml:space="preserve">Cost </w:t>
            </w:r>
          </w:p>
        </w:tc>
        <w:tc>
          <w:tcPr>
            <w:tcW w:w="1557" w:type="dxa"/>
            <w:shd w:val="clear" w:color="000000" w:fill="BFBFBF"/>
          </w:tcPr>
          <w:p w14:paraId="15841DB6" w14:textId="77777777" w:rsidR="00F13C6F" w:rsidRPr="007717B5" w:rsidRDefault="00F13C6F" w:rsidP="00B65749">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703" w:type="dxa"/>
            <w:shd w:val="clear" w:color="000000" w:fill="BFBFBF"/>
          </w:tcPr>
          <w:p w14:paraId="08748E36" w14:textId="77777777" w:rsidR="00F13C6F" w:rsidRPr="007717B5" w:rsidRDefault="00F13C6F" w:rsidP="00B65749">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417" w:type="dxa"/>
            <w:shd w:val="clear" w:color="000000" w:fill="BFBFBF"/>
          </w:tcPr>
          <w:p w14:paraId="7A805ED8" w14:textId="77777777" w:rsidR="00F13C6F" w:rsidRPr="007717B5" w:rsidRDefault="00F13C6F" w:rsidP="00B65749">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134" w:type="dxa"/>
            <w:shd w:val="clear" w:color="000000" w:fill="BFBFBF"/>
          </w:tcPr>
          <w:p w14:paraId="29C36B46" w14:textId="77777777" w:rsidR="00F13C6F" w:rsidRPr="007717B5" w:rsidRDefault="00F13C6F" w:rsidP="00B65749">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851" w:type="dxa"/>
            <w:shd w:val="clear" w:color="000000" w:fill="BFBFBF"/>
          </w:tcPr>
          <w:p w14:paraId="25BA00B7" w14:textId="409E1F06" w:rsidR="00F13C6F" w:rsidRPr="007717B5" w:rsidRDefault="00F13C6F" w:rsidP="00B65749">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r>
      <w:tr w:rsidR="00B65749" w14:paraId="7731DEA3" w14:textId="77777777" w:rsidTr="00222C74">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684" w:type="dxa"/>
            <w:tcBorders>
              <w:top w:val="single" w:sz="4" w:space="0" w:color="FFFFFF" w:themeColor="background1"/>
              <w:bottom w:val="single" w:sz="8" w:space="0" w:color="FFFFFF" w:themeColor="background1"/>
            </w:tcBorders>
            <w:shd w:val="clear" w:color="auto" w:fill="E9E9E9"/>
            <w:hideMark/>
          </w:tcPr>
          <w:p w14:paraId="61B305C8" w14:textId="77777777" w:rsidR="00B65749" w:rsidRPr="00E3221E" w:rsidRDefault="00B65749" w:rsidP="00B65749">
            <w:pPr>
              <w:pStyle w:val="Tablebodytextnospaceafter"/>
            </w:pPr>
            <w:r w:rsidRPr="00E3221E">
              <w:t>Balance at 30 June 201</w:t>
            </w:r>
            <w:r>
              <w:t>9</w:t>
            </w:r>
          </w:p>
        </w:tc>
        <w:tc>
          <w:tcPr>
            <w:tcW w:w="1557" w:type="dxa"/>
          </w:tcPr>
          <w:p w14:paraId="2BF1B747" w14:textId="77777777" w:rsidR="00B65749" w:rsidRPr="00E3221E"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252</w:t>
            </w:r>
          </w:p>
        </w:tc>
        <w:tc>
          <w:tcPr>
            <w:tcW w:w="1703" w:type="dxa"/>
          </w:tcPr>
          <w:p w14:paraId="7310EEAA" w14:textId="77777777" w:rsidR="00B65749" w:rsidRPr="00E3221E"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1,510</w:t>
            </w:r>
          </w:p>
        </w:tc>
        <w:tc>
          <w:tcPr>
            <w:tcW w:w="1417" w:type="dxa"/>
          </w:tcPr>
          <w:p w14:paraId="6BA0E1B9" w14:textId="77777777" w:rsidR="00B65749" w:rsidRPr="00E3221E"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1,458</w:t>
            </w:r>
          </w:p>
        </w:tc>
        <w:tc>
          <w:tcPr>
            <w:tcW w:w="1134" w:type="dxa"/>
          </w:tcPr>
          <w:p w14:paraId="16005AB0" w14:textId="77777777" w:rsidR="00B65749" w:rsidRPr="00E3221E"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675</w:t>
            </w:r>
          </w:p>
        </w:tc>
        <w:tc>
          <w:tcPr>
            <w:tcW w:w="851" w:type="dxa"/>
          </w:tcPr>
          <w:p w14:paraId="26A3DBBE" w14:textId="77777777" w:rsidR="00B65749" w:rsidRPr="00E3221E"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3,895</w:t>
            </w:r>
          </w:p>
        </w:tc>
      </w:tr>
      <w:tr w:rsidR="00B65749" w14:paraId="05FF1EC0"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84" w:type="dxa"/>
            <w:tcBorders>
              <w:bottom w:val="single" w:sz="8" w:space="0" w:color="FFFFFF" w:themeColor="background1"/>
            </w:tcBorders>
            <w:shd w:val="clear" w:color="auto" w:fill="E9E9E9"/>
            <w:hideMark/>
          </w:tcPr>
          <w:p w14:paraId="4F371284" w14:textId="77777777" w:rsidR="00B65749" w:rsidRPr="00E3221E" w:rsidRDefault="00B65749" w:rsidP="00B65749">
            <w:pPr>
              <w:pStyle w:val="Tablebodytextnospaceafter"/>
            </w:pPr>
            <w:r w:rsidRPr="00E3221E">
              <w:t>Additions</w:t>
            </w:r>
          </w:p>
        </w:tc>
        <w:tc>
          <w:tcPr>
            <w:tcW w:w="1557" w:type="dxa"/>
          </w:tcPr>
          <w:p w14:paraId="0ECE432C" w14:textId="77777777" w:rsidR="00B65749" w:rsidRPr="004D5646"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45</w:t>
            </w:r>
          </w:p>
        </w:tc>
        <w:tc>
          <w:tcPr>
            <w:tcW w:w="1703" w:type="dxa"/>
          </w:tcPr>
          <w:p w14:paraId="19F3B412" w14:textId="77777777" w:rsidR="00B65749" w:rsidRPr="004D5646"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1417" w:type="dxa"/>
          </w:tcPr>
          <w:p w14:paraId="354FDC26" w14:textId="77777777" w:rsidR="00B65749" w:rsidRPr="004D5646"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721</w:t>
            </w:r>
          </w:p>
        </w:tc>
        <w:tc>
          <w:tcPr>
            <w:tcW w:w="1134" w:type="dxa"/>
          </w:tcPr>
          <w:p w14:paraId="53BD6DD4" w14:textId="77777777" w:rsidR="00B65749" w:rsidRPr="004D5646"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94</w:t>
            </w:r>
          </w:p>
        </w:tc>
        <w:tc>
          <w:tcPr>
            <w:tcW w:w="851" w:type="dxa"/>
          </w:tcPr>
          <w:p w14:paraId="252B378F" w14:textId="77777777" w:rsidR="00B65749" w:rsidRPr="004D5646"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860</w:t>
            </w:r>
          </w:p>
        </w:tc>
      </w:tr>
      <w:tr w:rsidR="00B65749" w14:paraId="540BF5D5"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84" w:type="dxa"/>
            <w:tcBorders>
              <w:bottom w:val="single" w:sz="4" w:space="0" w:color="FFFFFF" w:themeColor="background1"/>
            </w:tcBorders>
            <w:shd w:val="clear" w:color="auto" w:fill="E9E9E9"/>
            <w:hideMark/>
          </w:tcPr>
          <w:p w14:paraId="274B6F43" w14:textId="77777777" w:rsidR="00B65749" w:rsidRPr="00E3221E" w:rsidRDefault="00B65749" w:rsidP="00B65749">
            <w:pPr>
              <w:pStyle w:val="Tablebodytextnospaceafter"/>
            </w:pPr>
            <w:r w:rsidRPr="00E3221E">
              <w:t>Disposals</w:t>
            </w:r>
          </w:p>
        </w:tc>
        <w:tc>
          <w:tcPr>
            <w:tcW w:w="1557" w:type="dxa"/>
          </w:tcPr>
          <w:p w14:paraId="13F82A12" w14:textId="77777777" w:rsidR="00B65749" w:rsidRPr="004D5646"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1703" w:type="dxa"/>
          </w:tcPr>
          <w:p w14:paraId="3272A804" w14:textId="77777777" w:rsidR="00B65749" w:rsidRPr="004D5646"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1417" w:type="dxa"/>
          </w:tcPr>
          <w:p w14:paraId="73A4731F" w14:textId="77777777" w:rsidR="00B65749" w:rsidRPr="004D5646"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1134" w:type="dxa"/>
          </w:tcPr>
          <w:p w14:paraId="06E16C05" w14:textId="77777777" w:rsidR="00B65749" w:rsidRPr="004D5646"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851" w:type="dxa"/>
          </w:tcPr>
          <w:p w14:paraId="10F9A3C2" w14:textId="77777777" w:rsidR="00B65749" w:rsidRPr="004D5646"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r>
      <w:tr w:rsidR="00B65749" w14:paraId="252A0DE1"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84" w:type="dxa"/>
            <w:tcBorders>
              <w:top w:val="single" w:sz="4" w:space="0" w:color="FFFFFF" w:themeColor="background1"/>
              <w:bottom w:val="single" w:sz="4" w:space="0" w:color="FFFFFF" w:themeColor="background1"/>
            </w:tcBorders>
            <w:hideMark/>
          </w:tcPr>
          <w:p w14:paraId="69E2DA99" w14:textId="77777777" w:rsidR="00B65749" w:rsidRPr="007717B5" w:rsidRDefault="00B65749" w:rsidP="00B65749">
            <w:pPr>
              <w:pStyle w:val="Tablebodytextnospaceafter"/>
              <w:rPr>
                <w:rStyle w:val="Emphasis"/>
              </w:rPr>
            </w:pPr>
            <w:r w:rsidRPr="007717B5">
              <w:rPr>
                <w:rStyle w:val="Emphasis"/>
              </w:rPr>
              <w:t>Balance at 30 June 20</w:t>
            </w:r>
            <w:r>
              <w:rPr>
                <w:rStyle w:val="Emphasis"/>
              </w:rPr>
              <w:t>20</w:t>
            </w:r>
          </w:p>
        </w:tc>
        <w:tc>
          <w:tcPr>
            <w:tcW w:w="1557" w:type="dxa"/>
            <w:shd w:val="clear" w:color="auto" w:fill="BFBFBF"/>
          </w:tcPr>
          <w:p w14:paraId="3EE900D7" w14:textId="77777777" w:rsidR="00B65749" w:rsidRPr="0036131E"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297</w:t>
            </w:r>
          </w:p>
        </w:tc>
        <w:tc>
          <w:tcPr>
            <w:tcW w:w="1703" w:type="dxa"/>
            <w:shd w:val="clear" w:color="auto" w:fill="BFBFBF"/>
          </w:tcPr>
          <w:p w14:paraId="0BD2091B" w14:textId="77777777" w:rsidR="00B65749" w:rsidRPr="00E92E0C"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1,510</w:t>
            </w:r>
          </w:p>
        </w:tc>
        <w:tc>
          <w:tcPr>
            <w:tcW w:w="1417" w:type="dxa"/>
            <w:shd w:val="clear" w:color="auto" w:fill="BFBFBF"/>
          </w:tcPr>
          <w:p w14:paraId="13B411D9" w14:textId="77777777" w:rsidR="00B65749" w:rsidRPr="00E92E0C"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2,179</w:t>
            </w:r>
          </w:p>
        </w:tc>
        <w:tc>
          <w:tcPr>
            <w:tcW w:w="1134" w:type="dxa"/>
            <w:shd w:val="clear" w:color="auto" w:fill="BFBFBF"/>
          </w:tcPr>
          <w:p w14:paraId="7E1D7EC8" w14:textId="77777777" w:rsidR="00B65749" w:rsidRPr="00E92E0C"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769</w:t>
            </w:r>
          </w:p>
        </w:tc>
        <w:tc>
          <w:tcPr>
            <w:tcW w:w="851" w:type="dxa"/>
            <w:shd w:val="clear" w:color="auto" w:fill="BFBFBF"/>
          </w:tcPr>
          <w:p w14:paraId="4C95AD66" w14:textId="77777777" w:rsidR="00B65749" w:rsidRPr="00E92E0C"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4,755</w:t>
            </w:r>
          </w:p>
        </w:tc>
      </w:tr>
      <w:tr w:rsidR="00F13C6F" w14:paraId="4DA1AA6F"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84" w:type="dxa"/>
            <w:shd w:val="clear" w:color="000000" w:fill="BFBFBF"/>
            <w:hideMark/>
          </w:tcPr>
          <w:p w14:paraId="255DE9FC" w14:textId="77777777" w:rsidR="00F13C6F" w:rsidRPr="007717B5" w:rsidRDefault="00F13C6F" w:rsidP="00B65749">
            <w:pPr>
              <w:pStyle w:val="Tablebodytextnospaceafter"/>
              <w:rPr>
                <w:rStyle w:val="Emphasis"/>
              </w:rPr>
            </w:pPr>
            <w:r w:rsidRPr="007717B5">
              <w:rPr>
                <w:rStyle w:val="Emphasis"/>
              </w:rPr>
              <w:t>Accumulated depreciation and impairment losses</w:t>
            </w:r>
          </w:p>
        </w:tc>
        <w:tc>
          <w:tcPr>
            <w:tcW w:w="1557" w:type="dxa"/>
            <w:shd w:val="clear" w:color="000000" w:fill="BFBFBF"/>
          </w:tcPr>
          <w:p w14:paraId="1EE630B5" w14:textId="77777777" w:rsidR="00F13C6F" w:rsidRPr="007717B5" w:rsidRDefault="00F13C6F" w:rsidP="00B65749">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1703" w:type="dxa"/>
            <w:shd w:val="clear" w:color="000000" w:fill="BFBFBF"/>
          </w:tcPr>
          <w:p w14:paraId="7FE74027" w14:textId="77777777" w:rsidR="00F13C6F" w:rsidRPr="007717B5" w:rsidRDefault="00F13C6F" w:rsidP="00B65749">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1417" w:type="dxa"/>
            <w:shd w:val="clear" w:color="000000" w:fill="BFBFBF"/>
          </w:tcPr>
          <w:p w14:paraId="65952568" w14:textId="77777777" w:rsidR="00F13C6F" w:rsidRPr="007717B5" w:rsidRDefault="00F13C6F" w:rsidP="00B65749">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1134" w:type="dxa"/>
            <w:shd w:val="clear" w:color="000000" w:fill="BFBFBF"/>
          </w:tcPr>
          <w:p w14:paraId="25C8EFC2" w14:textId="77777777" w:rsidR="00F13C6F" w:rsidRPr="007717B5" w:rsidRDefault="00F13C6F" w:rsidP="00B65749">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851" w:type="dxa"/>
            <w:shd w:val="clear" w:color="000000" w:fill="BFBFBF"/>
          </w:tcPr>
          <w:p w14:paraId="596332D3" w14:textId="7510ECEB" w:rsidR="00F13C6F" w:rsidRPr="007717B5" w:rsidRDefault="00F13C6F" w:rsidP="00B65749">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r>
      <w:tr w:rsidR="00B65749" w14:paraId="216D9E00"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84" w:type="dxa"/>
            <w:tcBorders>
              <w:top w:val="single" w:sz="4" w:space="0" w:color="FFFFFF" w:themeColor="background1"/>
              <w:bottom w:val="single" w:sz="8" w:space="0" w:color="FFFFFF" w:themeColor="background1"/>
            </w:tcBorders>
            <w:shd w:val="clear" w:color="auto" w:fill="E9E9E9"/>
            <w:hideMark/>
          </w:tcPr>
          <w:p w14:paraId="4E143FBC" w14:textId="77777777" w:rsidR="00B65749" w:rsidRPr="00E3221E" w:rsidRDefault="00B65749" w:rsidP="00B65749">
            <w:pPr>
              <w:pStyle w:val="Tablebodytextnospaceafter"/>
            </w:pPr>
            <w:r w:rsidRPr="00E3221E">
              <w:t>Balance at 30 June 20</w:t>
            </w:r>
            <w:r>
              <w:t>19</w:t>
            </w:r>
          </w:p>
        </w:tc>
        <w:tc>
          <w:tcPr>
            <w:tcW w:w="1557" w:type="dxa"/>
          </w:tcPr>
          <w:p w14:paraId="79DE0036" w14:textId="77777777" w:rsidR="00B65749" w:rsidRPr="00E3221E"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186</w:t>
            </w:r>
          </w:p>
        </w:tc>
        <w:tc>
          <w:tcPr>
            <w:tcW w:w="1703" w:type="dxa"/>
          </w:tcPr>
          <w:p w14:paraId="54BB0D8E" w14:textId="77777777" w:rsidR="00B65749" w:rsidRPr="00E3221E"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644</w:t>
            </w:r>
          </w:p>
        </w:tc>
        <w:tc>
          <w:tcPr>
            <w:tcW w:w="1417" w:type="dxa"/>
          </w:tcPr>
          <w:p w14:paraId="2703D6D5" w14:textId="77777777" w:rsidR="00B65749" w:rsidRPr="00E3221E"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1,070</w:t>
            </w:r>
          </w:p>
        </w:tc>
        <w:tc>
          <w:tcPr>
            <w:tcW w:w="1134" w:type="dxa"/>
          </w:tcPr>
          <w:p w14:paraId="59555F7A" w14:textId="77777777" w:rsidR="00B65749" w:rsidRPr="00E3221E"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323</w:t>
            </w:r>
          </w:p>
        </w:tc>
        <w:tc>
          <w:tcPr>
            <w:tcW w:w="851" w:type="dxa"/>
          </w:tcPr>
          <w:p w14:paraId="3B3CAAB4" w14:textId="77777777" w:rsidR="00B65749" w:rsidRPr="00E3221E"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2,223</w:t>
            </w:r>
          </w:p>
        </w:tc>
      </w:tr>
      <w:tr w:rsidR="00B65749" w14:paraId="47A4A840"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84" w:type="dxa"/>
            <w:tcBorders>
              <w:bottom w:val="single" w:sz="8" w:space="0" w:color="FFFFFF" w:themeColor="background1"/>
            </w:tcBorders>
            <w:shd w:val="clear" w:color="auto" w:fill="E9E9E9"/>
            <w:hideMark/>
          </w:tcPr>
          <w:p w14:paraId="05531AFA" w14:textId="77777777" w:rsidR="00B65749" w:rsidRPr="00E3221E" w:rsidRDefault="00B65749" w:rsidP="00B65749">
            <w:pPr>
              <w:pStyle w:val="Tablebodytextnospaceafter"/>
            </w:pPr>
            <w:r w:rsidRPr="00E3221E">
              <w:t>Depreciation</w:t>
            </w:r>
          </w:p>
        </w:tc>
        <w:tc>
          <w:tcPr>
            <w:tcW w:w="1557" w:type="dxa"/>
          </w:tcPr>
          <w:p w14:paraId="603EAC67" w14:textId="77777777" w:rsidR="00B65749" w:rsidRPr="004D5646"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20</w:t>
            </w:r>
          </w:p>
        </w:tc>
        <w:tc>
          <w:tcPr>
            <w:tcW w:w="1703" w:type="dxa"/>
          </w:tcPr>
          <w:p w14:paraId="5F68E579" w14:textId="77777777" w:rsidR="00B65749" w:rsidRPr="004D5646"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148</w:t>
            </w:r>
          </w:p>
        </w:tc>
        <w:tc>
          <w:tcPr>
            <w:tcW w:w="1417" w:type="dxa"/>
          </w:tcPr>
          <w:p w14:paraId="56384F0A" w14:textId="77777777" w:rsidR="00B65749" w:rsidRPr="004D5646"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227</w:t>
            </w:r>
          </w:p>
        </w:tc>
        <w:tc>
          <w:tcPr>
            <w:tcW w:w="1134" w:type="dxa"/>
          </w:tcPr>
          <w:p w14:paraId="493D04AE" w14:textId="77777777" w:rsidR="00B65749" w:rsidRPr="004D5646"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61</w:t>
            </w:r>
          </w:p>
        </w:tc>
        <w:tc>
          <w:tcPr>
            <w:tcW w:w="851" w:type="dxa"/>
          </w:tcPr>
          <w:p w14:paraId="44E95D14" w14:textId="77777777" w:rsidR="00B65749" w:rsidRPr="004D5646"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456</w:t>
            </w:r>
          </w:p>
        </w:tc>
      </w:tr>
      <w:tr w:rsidR="00B65749" w14:paraId="7A95D2B8"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84" w:type="dxa"/>
            <w:tcBorders>
              <w:bottom w:val="single" w:sz="8" w:space="0" w:color="FFFFFF" w:themeColor="background1"/>
            </w:tcBorders>
            <w:shd w:val="clear" w:color="auto" w:fill="E9E9E9"/>
            <w:hideMark/>
          </w:tcPr>
          <w:p w14:paraId="12D76CE1" w14:textId="77777777" w:rsidR="00B65749" w:rsidRPr="00E3221E" w:rsidRDefault="00B65749" w:rsidP="00B65749">
            <w:pPr>
              <w:pStyle w:val="Tablebodytextnospaceafter"/>
            </w:pPr>
            <w:r w:rsidRPr="00E3221E">
              <w:t>Accumulated dep</w:t>
            </w:r>
            <w:r>
              <w:t>reciatio</w:t>
            </w:r>
            <w:r w:rsidRPr="00E3221E">
              <w:t>n on disposals</w:t>
            </w:r>
          </w:p>
        </w:tc>
        <w:tc>
          <w:tcPr>
            <w:tcW w:w="1557" w:type="dxa"/>
          </w:tcPr>
          <w:p w14:paraId="6D78AE1B" w14:textId="77777777" w:rsidR="00B65749" w:rsidRPr="004D5646"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1703" w:type="dxa"/>
          </w:tcPr>
          <w:p w14:paraId="49BC2EC1" w14:textId="77777777" w:rsidR="00B65749" w:rsidRPr="004D5646"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1417" w:type="dxa"/>
          </w:tcPr>
          <w:p w14:paraId="535A8026" w14:textId="77777777" w:rsidR="00B65749" w:rsidRPr="004D5646"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1134" w:type="dxa"/>
          </w:tcPr>
          <w:p w14:paraId="51F30A12" w14:textId="77777777" w:rsidR="00B65749" w:rsidRPr="004D5646"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851" w:type="dxa"/>
          </w:tcPr>
          <w:p w14:paraId="73D62D54" w14:textId="77777777" w:rsidR="00B65749" w:rsidRPr="004D5646"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r>
      <w:tr w:rsidR="00B65749" w14:paraId="50EA792A"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84" w:type="dxa"/>
            <w:tcBorders>
              <w:bottom w:val="single" w:sz="8" w:space="0" w:color="FFFFFF" w:themeColor="background1"/>
            </w:tcBorders>
            <w:hideMark/>
          </w:tcPr>
          <w:p w14:paraId="60C1C990" w14:textId="77777777" w:rsidR="00B65749" w:rsidRPr="007717B5" w:rsidRDefault="00B65749" w:rsidP="00B65749">
            <w:pPr>
              <w:pStyle w:val="Tablebodytextnospaceafter"/>
              <w:rPr>
                <w:rStyle w:val="Emphasis"/>
              </w:rPr>
            </w:pPr>
            <w:r>
              <w:rPr>
                <w:rStyle w:val="Emphasis"/>
              </w:rPr>
              <w:t>Balance at 30 June 2020</w:t>
            </w:r>
          </w:p>
        </w:tc>
        <w:tc>
          <w:tcPr>
            <w:tcW w:w="1557" w:type="dxa"/>
            <w:shd w:val="clear" w:color="auto" w:fill="BFBFBF"/>
          </w:tcPr>
          <w:p w14:paraId="055E88BC" w14:textId="77777777" w:rsidR="00B65749" w:rsidRPr="00E92E0C"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Pr>
                <w:b/>
              </w:rPr>
              <w:t>206</w:t>
            </w:r>
          </w:p>
        </w:tc>
        <w:tc>
          <w:tcPr>
            <w:tcW w:w="1703" w:type="dxa"/>
            <w:shd w:val="clear" w:color="auto" w:fill="BFBFBF"/>
          </w:tcPr>
          <w:p w14:paraId="16B04B99" w14:textId="77777777" w:rsidR="00B65749" w:rsidRPr="00E92E0C"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Pr>
                <w:b/>
              </w:rPr>
              <w:t>792</w:t>
            </w:r>
          </w:p>
        </w:tc>
        <w:tc>
          <w:tcPr>
            <w:tcW w:w="1417" w:type="dxa"/>
            <w:shd w:val="clear" w:color="auto" w:fill="BFBFBF"/>
          </w:tcPr>
          <w:p w14:paraId="0450E203" w14:textId="77777777" w:rsidR="00B65749" w:rsidRPr="00E92E0C"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Pr>
                <w:b/>
              </w:rPr>
              <w:t>1,297</w:t>
            </w:r>
          </w:p>
        </w:tc>
        <w:tc>
          <w:tcPr>
            <w:tcW w:w="1134" w:type="dxa"/>
            <w:shd w:val="clear" w:color="auto" w:fill="BFBFBF"/>
          </w:tcPr>
          <w:p w14:paraId="2DFB2DC3" w14:textId="77777777" w:rsidR="00B65749" w:rsidRPr="00E92E0C"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Pr>
                <w:b/>
              </w:rPr>
              <w:t>384</w:t>
            </w:r>
          </w:p>
        </w:tc>
        <w:tc>
          <w:tcPr>
            <w:tcW w:w="851" w:type="dxa"/>
            <w:shd w:val="clear" w:color="auto" w:fill="BFBFBF"/>
          </w:tcPr>
          <w:p w14:paraId="18174CD0" w14:textId="77777777" w:rsidR="00B65749" w:rsidRPr="00E92E0C"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Pr>
                <w:b/>
              </w:rPr>
              <w:t>2,679</w:t>
            </w:r>
          </w:p>
        </w:tc>
      </w:tr>
      <w:tr w:rsidR="00B65749" w14:paraId="239C7827"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84" w:type="dxa"/>
            <w:tcBorders>
              <w:bottom w:val="single" w:sz="8" w:space="0" w:color="FFFFFF" w:themeColor="background1"/>
            </w:tcBorders>
            <w:shd w:val="clear" w:color="000000" w:fill="E9E9E9"/>
            <w:hideMark/>
          </w:tcPr>
          <w:p w14:paraId="4E37238A" w14:textId="77777777" w:rsidR="00B65749" w:rsidRPr="00E3221E" w:rsidRDefault="00B65749" w:rsidP="00B65749">
            <w:pPr>
              <w:pStyle w:val="Tablebodytextnospaceafter"/>
            </w:pPr>
            <w:r w:rsidRPr="00E3221E">
              <w:t>Carrying amounts:</w:t>
            </w:r>
          </w:p>
        </w:tc>
        <w:tc>
          <w:tcPr>
            <w:tcW w:w="1557" w:type="dxa"/>
            <w:shd w:val="clear" w:color="000000" w:fill="E9E9E9"/>
          </w:tcPr>
          <w:p w14:paraId="345B3276" w14:textId="77777777" w:rsidR="00B65749" w:rsidRPr="00E3221E" w:rsidRDefault="00B6574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1703" w:type="dxa"/>
            <w:shd w:val="clear" w:color="000000" w:fill="E9E9E9"/>
          </w:tcPr>
          <w:p w14:paraId="29AB9DBA" w14:textId="77777777" w:rsidR="00B65749" w:rsidRPr="00E3221E" w:rsidRDefault="00B6574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1417" w:type="dxa"/>
            <w:shd w:val="clear" w:color="000000" w:fill="E9E9E9"/>
          </w:tcPr>
          <w:p w14:paraId="37CEBFA3" w14:textId="77777777" w:rsidR="00B65749" w:rsidRPr="00E3221E" w:rsidRDefault="00B6574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1134" w:type="dxa"/>
            <w:shd w:val="clear" w:color="000000" w:fill="E9E9E9"/>
          </w:tcPr>
          <w:p w14:paraId="119AAC9B" w14:textId="77777777" w:rsidR="00B65749" w:rsidRPr="00E3221E" w:rsidRDefault="00B6574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851" w:type="dxa"/>
            <w:shd w:val="clear" w:color="000000" w:fill="E9E9E9"/>
          </w:tcPr>
          <w:p w14:paraId="75DC685C" w14:textId="77777777" w:rsidR="00B65749" w:rsidRPr="00E3221E" w:rsidRDefault="00B6574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p>
        </w:tc>
      </w:tr>
      <w:tr w:rsidR="00B65749" w14:paraId="50FE75B3"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84" w:type="dxa"/>
            <w:tcBorders>
              <w:bottom w:val="single" w:sz="8" w:space="0" w:color="FFFFFF" w:themeColor="background1"/>
            </w:tcBorders>
            <w:shd w:val="clear" w:color="auto" w:fill="E9E9E9"/>
            <w:hideMark/>
          </w:tcPr>
          <w:p w14:paraId="44BA24D8" w14:textId="77777777" w:rsidR="00B65749" w:rsidRPr="00E3221E" w:rsidRDefault="00B65749" w:rsidP="00B65749">
            <w:pPr>
              <w:pStyle w:val="Tablebodytextnospaceafter"/>
            </w:pPr>
            <w:r w:rsidRPr="00E3221E">
              <w:t>At 30 June 201</w:t>
            </w:r>
            <w:r>
              <w:t>9</w:t>
            </w:r>
          </w:p>
        </w:tc>
        <w:tc>
          <w:tcPr>
            <w:tcW w:w="1557" w:type="dxa"/>
          </w:tcPr>
          <w:p w14:paraId="3424408C" w14:textId="77777777" w:rsidR="00B65749" w:rsidRPr="00E3221E"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66</w:t>
            </w:r>
          </w:p>
        </w:tc>
        <w:tc>
          <w:tcPr>
            <w:tcW w:w="1703" w:type="dxa"/>
          </w:tcPr>
          <w:p w14:paraId="6DCCF8AC" w14:textId="77777777" w:rsidR="00B65749" w:rsidRPr="00E3221E"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866</w:t>
            </w:r>
          </w:p>
        </w:tc>
        <w:tc>
          <w:tcPr>
            <w:tcW w:w="1417" w:type="dxa"/>
          </w:tcPr>
          <w:p w14:paraId="6B6CD911" w14:textId="77777777" w:rsidR="00B65749" w:rsidRPr="00E3221E"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388</w:t>
            </w:r>
          </w:p>
        </w:tc>
        <w:tc>
          <w:tcPr>
            <w:tcW w:w="1134" w:type="dxa"/>
          </w:tcPr>
          <w:p w14:paraId="49D0414F" w14:textId="77777777" w:rsidR="00B65749" w:rsidRPr="00E3221E"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352</w:t>
            </w:r>
          </w:p>
        </w:tc>
        <w:tc>
          <w:tcPr>
            <w:tcW w:w="851" w:type="dxa"/>
          </w:tcPr>
          <w:p w14:paraId="55664F56" w14:textId="77777777" w:rsidR="00B65749" w:rsidRPr="00E3221E" w:rsidRDefault="0036131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1,672</w:t>
            </w:r>
          </w:p>
        </w:tc>
      </w:tr>
      <w:tr w:rsidR="00B65749" w14:paraId="687D835C"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84" w:type="dxa"/>
            <w:hideMark/>
          </w:tcPr>
          <w:p w14:paraId="4CF63D9A" w14:textId="77777777" w:rsidR="00B65749" w:rsidRPr="007717B5" w:rsidRDefault="00B65749" w:rsidP="00B65749">
            <w:pPr>
              <w:pStyle w:val="Tablebodytextnospaceafter"/>
              <w:rPr>
                <w:rStyle w:val="Emphasis"/>
              </w:rPr>
            </w:pPr>
            <w:r w:rsidRPr="007717B5">
              <w:rPr>
                <w:rStyle w:val="Emphasis"/>
              </w:rPr>
              <w:t>At 30 June 20</w:t>
            </w:r>
            <w:r>
              <w:rPr>
                <w:rStyle w:val="Emphasis"/>
              </w:rPr>
              <w:t>20</w:t>
            </w:r>
          </w:p>
        </w:tc>
        <w:tc>
          <w:tcPr>
            <w:tcW w:w="1557" w:type="dxa"/>
            <w:shd w:val="clear" w:color="auto" w:fill="BFBFBF"/>
          </w:tcPr>
          <w:p w14:paraId="1DA6142A" w14:textId="77777777" w:rsidR="00B65749" w:rsidRPr="00E92E0C"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Pr>
                <w:b/>
              </w:rPr>
              <w:t>91</w:t>
            </w:r>
          </w:p>
        </w:tc>
        <w:tc>
          <w:tcPr>
            <w:tcW w:w="1703" w:type="dxa"/>
            <w:shd w:val="clear" w:color="auto" w:fill="BFBFBF"/>
          </w:tcPr>
          <w:p w14:paraId="07605339" w14:textId="77777777" w:rsidR="00B65749" w:rsidRPr="00E92E0C"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Pr>
                <w:b/>
              </w:rPr>
              <w:t>718</w:t>
            </w:r>
          </w:p>
        </w:tc>
        <w:tc>
          <w:tcPr>
            <w:tcW w:w="1417" w:type="dxa"/>
            <w:shd w:val="clear" w:color="auto" w:fill="BFBFBF"/>
          </w:tcPr>
          <w:p w14:paraId="15655B85" w14:textId="77777777" w:rsidR="00B65749" w:rsidRPr="00E92E0C"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Pr>
                <w:b/>
              </w:rPr>
              <w:t>882</w:t>
            </w:r>
          </w:p>
        </w:tc>
        <w:tc>
          <w:tcPr>
            <w:tcW w:w="1134" w:type="dxa"/>
            <w:shd w:val="clear" w:color="auto" w:fill="BFBFBF"/>
          </w:tcPr>
          <w:p w14:paraId="6C74BE6D" w14:textId="77777777" w:rsidR="00B65749" w:rsidRPr="00E92E0C"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Pr>
                <w:b/>
              </w:rPr>
              <w:t>385</w:t>
            </w:r>
          </w:p>
        </w:tc>
        <w:tc>
          <w:tcPr>
            <w:tcW w:w="851" w:type="dxa"/>
            <w:shd w:val="clear" w:color="auto" w:fill="BFBFBF"/>
          </w:tcPr>
          <w:p w14:paraId="55BA55E1" w14:textId="77777777" w:rsidR="00B65749" w:rsidRPr="00E92E0C" w:rsidRDefault="0036131E"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Pr>
                <w:b/>
              </w:rPr>
              <w:t>2,076</w:t>
            </w:r>
          </w:p>
        </w:tc>
      </w:tr>
    </w:tbl>
    <w:p w14:paraId="32254C78" w14:textId="77777777" w:rsidR="00DF1795" w:rsidRDefault="00DF1795" w:rsidP="00DF1795">
      <w:pPr>
        <w:pStyle w:val="BodyText"/>
      </w:pPr>
    </w:p>
    <w:tbl>
      <w:tblPr>
        <w:tblStyle w:val="TableGridAnnualReport13"/>
        <w:tblW w:w="9346" w:type="dxa"/>
        <w:tblInd w:w="0" w:type="dxa"/>
        <w:tblLayout w:type="fixed"/>
        <w:tblLook w:val="04A0" w:firstRow="1" w:lastRow="0" w:firstColumn="1" w:lastColumn="0" w:noHBand="0" w:noVBand="1"/>
        <w:tblCaption w:val="2019 Property, plant and equipment"/>
      </w:tblPr>
      <w:tblGrid>
        <w:gridCol w:w="2684"/>
        <w:gridCol w:w="1557"/>
        <w:gridCol w:w="1703"/>
        <w:gridCol w:w="1417"/>
        <w:gridCol w:w="1134"/>
        <w:gridCol w:w="851"/>
      </w:tblGrid>
      <w:tr w:rsidR="00B22764" w:rsidRPr="00E3221E" w14:paraId="0971F822" w14:textId="77777777" w:rsidTr="00222C7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4" w:type="dxa"/>
            <w:hideMark/>
          </w:tcPr>
          <w:p w14:paraId="5BF36E96" w14:textId="77777777" w:rsidR="00B22764" w:rsidRPr="00E3221E" w:rsidRDefault="00B22764" w:rsidP="00B22764">
            <w:pPr>
              <w:pStyle w:val="Tableheadingrow1"/>
            </w:pPr>
            <w:r w:rsidRPr="00E3221E">
              <w:t>201</w:t>
            </w:r>
            <w:r>
              <w:t>9</w:t>
            </w:r>
          </w:p>
        </w:tc>
        <w:tc>
          <w:tcPr>
            <w:tcW w:w="1557" w:type="dxa"/>
            <w:vAlign w:val="center"/>
            <w:hideMark/>
          </w:tcPr>
          <w:p w14:paraId="056F3FB6" w14:textId="77777777" w:rsidR="00B22764" w:rsidRDefault="00B22764" w:rsidP="00B22764">
            <w:pPr>
              <w:pStyle w:val="Tableheadingrow1"/>
              <w:cnfStyle w:val="100000000000" w:firstRow="1" w:lastRow="0" w:firstColumn="0" w:lastColumn="0" w:oddVBand="0" w:evenVBand="0" w:oddHBand="0" w:evenHBand="0" w:firstRowFirstColumn="0" w:firstRowLastColumn="0" w:lastRowFirstColumn="0" w:lastRowLastColumn="0"/>
            </w:pPr>
            <w:r w:rsidRPr="00E3221E">
              <w:t xml:space="preserve">Plant &amp; </w:t>
            </w:r>
            <w:r>
              <w:t>e</w:t>
            </w:r>
            <w:r w:rsidRPr="00E3221E">
              <w:t>quipment</w:t>
            </w:r>
            <w:r w:rsidRPr="00E3221E">
              <w:br/>
            </w:r>
          </w:p>
          <w:p w14:paraId="3114D82F" w14:textId="17EBD268" w:rsidR="00B22764" w:rsidRPr="00E3221E" w:rsidRDefault="00B22764" w:rsidP="00B22764">
            <w:pPr>
              <w:pStyle w:val="Tableheadingrow1"/>
              <w:cnfStyle w:val="100000000000" w:firstRow="1" w:lastRow="0" w:firstColumn="0" w:lastColumn="0" w:oddVBand="0" w:evenVBand="0" w:oddHBand="0" w:evenHBand="0" w:firstRowFirstColumn="0" w:firstRowLastColumn="0" w:lastRowFirstColumn="0" w:lastRowLastColumn="0"/>
            </w:pPr>
            <w:r w:rsidRPr="00E3221E">
              <w:t>$(000)</w:t>
            </w:r>
          </w:p>
        </w:tc>
        <w:tc>
          <w:tcPr>
            <w:tcW w:w="1703" w:type="dxa"/>
            <w:vAlign w:val="center"/>
            <w:hideMark/>
          </w:tcPr>
          <w:p w14:paraId="4CF3967A" w14:textId="77777777" w:rsidR="00B22764" w:rsidRDefault="00B22764" w:rsidP="00B22764">
            <w:pPr>
              <w:pStyle w:val="Tableheadingrow1"/>
              <w:cnfStyle w:val="100000000000" w:firstRow="1" w:lastRow="0" w:firstColumn="0" w:lastColumn="0" w:oddVBand="0" w:evenVBand="0" w:oddHBand="0" w:evenHBand="0" w:firstRowFirstColumn="0" w:firstRowLastColumn="0" w:lastRowFirstColumn="0" w:lastRowLastColumn="0"/>
            </w:pPr>
            <w:r w:rsidRPr="00E3221E">
              <w:t>Leasehold improvements</w:t>
            </w:r>
            <w:r w:rsidRPr="00E3221E">
              <w:br/>
            </w:r>
          </w:p>
          <w:p w14:paraId="76379B4B" w14:textId="37E0B717" w:rsidR="00B22764" w:rsidRPr="00E3221E" w:rsidRDefault="00B22764" w:rsidP="00B22764">
            <w:pPr>
              <w:pStyle w:val="Tableheadingrow1"/>
              <w:cnfStyle w:val="100000000000" w:firstRow="1" w:lastRow="0" w:firstColumn="0" w:lastColumn="0" w:oddVBand="0" w:evenVBand="0" w:oddHBand="0" w:evenHBand="0" w:firstRowFirstColumn="0" w:firstRowLastColumn="0" w:lastRowFirstColumn="0" w:lastRowLastColumn="0"/>
            </w:pPr>
            <w:r w:rsidRPr="00E3221E">
              <w:t>$(000)</w:t>
            </w:r>
          </w:p>
        </w:tc>
        <w:tc>
          <w:tcPr>
            <w:tcW w:w="1417" w:type="dxa"/>
            <w:vAlign w:val="center"/>
            <w:hideMark/>
          </w:tcPr>
          <w:p w14:paraId="2732249C" w14:textId="77777777" w:rsidR="00B22764" w:rsidRDefault="00B22764" w:rsidP="00B22764">
            <w:pPr>
              <w:pStyle w:val="Tableheadingrow1"/>
              <w:cnfStyle w:val="100000000000" w:firstRow="1" w:lastRow="0" w:firstColumn="0" w:lastColumn="0" w:oddVBand="0" w:evenVBand="0" w:oddHBand="0" w:evenHBand="0" w:firstRowFirstColumn="0" w:firstRowLastColumn="0" w:lastRowFirstColumn="0" w:lastRowLastColumn="0"/>
            </w:pPr>
            <w:r w:rsidRPr="00E3221E">
              <w:t xml:space="preserve">IT </w:t>
            </w:r>
            <w:r>
              <w:t>e</w:t>
            </w:r>
            <w:r w:rsidRPr="00E3221E">
              <w:t>quipment</w:t>
            </w:r>
            <w:r w:rsidRPr="00E3221E">
              <w:br/>
            </w:r>
          </w:p>
          <w:p w14:paraId="1059C638" w14:textId="2DBAC735" w:rsidR="00B22764" w:rsidRPr="00E3221E" w:rsidRDefault="00B22764" w:rsidP="00B22764">
            <w:pPr>
              <w:pStyle w:val="Tableheadingrow1"/>
              <w:cnfStyle w:val="100000000000" w:firstRow="1" w:lastRow="0" w:firstColumn="0" w:lastColumn="0" w:oddVBand="0" w:evenVBand="0" w:oddHBand="0" w:evenHBand="0" w:firstRowFirstColumn="0" w:firstRowLastColumn="0" w:lastRowFirstColumn="0" w:lastRowLastColumn="0"/>
            </w:pPr>
            <w:r w:rsidRPr="00E3221E">
              <w:t>$(000)</w:t>
            </w:r>
          </w:p>
        </w:tc>
        <w:tc>
          <w:tcPr>
            <w:tcW w:w="1134" w:type="dxa"/>
            <w:vAlign w:val="center"/>
            <w:hideMark/>
          </w:tcPr>
          <w:p w14:paraId="22FEAB84" w14:textId="77777777" w:rsidR="00B22764" w:rsidRDefault="00B22764" w:rsidP="00B22764">
            <w:pPr>
              <w:pStyle w:val="Tableheadingrow1"/>
              <w:cnfStyle w:val="100000000000" w:firstRow="1" w:lastRow="0" w:firstColumn="0" w:lastColumn="0" w:oddVBand="0" w:evenVBand="0" w:oddHBand="0" w:evenHBand="0" w:firstRowFirstColumn="0" w:firstRowLastColumn="0" w:lastRowFirstColumn="0" w:lastRowLastColumn="0"/>
            </w:pPr>
            <w:r w:rsidRPr="00E3221E">
              <w:t xml:space="preserve">Furniture &amp; </w:t>
            </w:r>
            <w:r>
              <w:t>f</w:t>
            </w:r>
            <w:r w:rsidRPr="00E3221E">
              <w:t>ittings</w:t>
            </w:r>
            <w:r w:rsidRPr="00E3221E">
              <w:br/>
            </w:r>
          </w:p>
          <w:p w14:paraId="5F16116F" w14:textId="1F06AA3E" w:rsidR="00B22764" w:rsidRPr="00E3221E" w:rsidRDefault="00B22764" w:rsidP="00B22764">
            <w:pPr>
              <w:pStyle w:val="Tableheadingrow1"/>
              <w:cnfStyle w:val="100000000000" w:firstRow="1" w:lastRow="0" w:firstColumn="0" w:lastColumn="0" w:oddVBand="0" w:evenVBand="0" w:oddHBand="0" w:evenHBand="0" w:firstRowFirstColumn="0" w:firstRowLastColumn="0" w:lastRowFirstColumn="0" w:lastRowLastColumn="0"/>
            </w:pPr>
            <w:r w:rsidRPr="00E3221E">
              <w:t>$(000)</w:t>
            </w:r>
          </w:p>
        </w:tc>
        <w:tc>
          <w:tcPr>
            <w:tcW w:w="851" w:type="dxa"/>
            <w:hideMark/>
          </w:tcPr>
          <w:p w14:paraId="54224A2C" w14:textId="77777777" w:rsidR="00B22764" w:rsidRDefault="00B22764" w:rsidP="00B22764">
            <w:pPr>
              <w:pStyle w:val="Tableheadingrow1"/>
              <w:cnfStyle w:val="100000000000" w:firstRow="1" w:lastRow="0" w:firstColumn="0" w:lastColumn="0" w:oddVBand="0" w:evenVBand="0" w:oddHBand="0" w:evenHBand="0" w:firstRowFirstColumn="0" w:firstRowLastColumn="0" w:lastRowFirstColumn="0" w:lastRowLastColumn="0"/>
            </w:pPr>
            <w:r w:rsidRPr="00E3221E">
              <w:t>Total</w:t>
            </w:r>
            <w:r w:rsidRPr="00E3221E">
              <w:br/>
            </w:r>
            <w:r>
              <w:br/>
            </w:r>
          </w:p>
          <w:p w14:paraId="76BB45CE" w14:textId="42844A88" w:rsidR="00B22764" w:rsidRPr="00E3221E" w:rsidRDefault="00B22764" w:rsidP="00B22764">
            <w:pPr>
              <w:pStyle w:val="Tableheadingrow1"/>
              <w:cnfStyle w:val="100000000000" w:firstRow="1" w:lastRow="0" w:firstColumn="0" w:lastColumn="0" w:oddVBand="0" w:evenVBand="0" w:oddHBand="0" w:evenHBand="0" w:firstRowFirstColumn="0" w:firstRowLastColumn="0" w:lastRowFirstColumn="0" w:lastRowLastColumn="0"/>
            </w:pPr>
            <w:r w:rsidRPr="00E3221E">
              <w:t>$(000)</w:t>
            </w:r>
          </w:p>
        </w:tc>
      </w:tr>
      <w:tr w:rsidR="00F13C6F" w:rsidRPr="007717B5" w14:paraId="2DAEF2CA" w14:textId="77777777" w:rsidTr="00222C74">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FFFFFF" w:themeColor="background1"/>
            </w:tcBorders>
            <w:shd w:val="clear" w:color="000000" w:fill="BFBFBF"/>
            <w:hideMark/>
          </w:tcPr>
          <w:p w14:paraId="12323FEF" w14:textId="77777777" w:rsidR="00F13C6F" w:rsidRPr="007717B5" w:rsidRDefault="00F13C6F" w:rsidP="00506E02">
            <w:pPr>
              <w:pStyle w:val="Tablebodytextnospaceafter"/>
              <w:rPr>
                <w:rStyle w:val="Emphasis"/>
              </w:rPr>
            </w:pPr>
            <w:r w:rsidRPr="007717B5">
              <w:rPr>
                <w:rStyle w:val="Emphasis"/>
              </w:rPr>
              <w:t xml:space="preserve">Cost </w:t>
            </w:r>
          </w:p>
        </w:tc>
        <w:tc>
          <w:tcPr>
            <w:tcW w:w="1557" w:type="dxa"/>
            <w:shd w:val="clear" w:color="000000" w:fill="BFBFBF"/>
          </w:tcPr>
          <w:p w14:paraId="2CCB6B33" w14:textId="77777777" w:rsidR="00F13C6F" w:rsidRPr="007717B5" w:rsidRDefault="00F13C6F"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703" w:type="dxa"/>
            <w:shd w:val="clear" w:color="000000" w:fill="BFBFBF"/>
          </w:tcPr>
          <w:p w14:paraId="12DC3FEC" w14:textId="77777777" w:rsidR="00F13C6F" w:rsidRPr="007717B5" w:rsidRDefault="00F13C6F"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417" w:type="dxa"/>
            <w:shd w:val="clear" w:color="000000" w:fill="BFBFBF"/>
          </w:tcPr>
          <w:p w14:paraId="268D03A6" w14:textId="77777777" w:rsidR="00F13C6F" w:rsidRPr="007717B5" w:rsidRDefault="00F13C6F"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134" w:type="dxa"/>
            <w:shd w:val="clear" w:color="000000" w:fill="BFBFBF"/>
          </w:tcPr>
          <w:p w14:paraId="0AD1B2A7" w14:textId="77777777" w:rsidR="00F13C6F" w:rsidRPr="007717B5" w:rsidRDefault="00F13C6F"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851" w:type="dxa"/>
            <w:shd w:val="clear" w:color="000000" w:fill="BFBFBF"/>
          </w:tcPr>
          <w:p w14:paraId="7448F369" w14:textId="795A245F" w:rsidR="00F13C6F" w:rsidRPr="007717B5" w:rsidRDefault="00F13C6F"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r>
      <w:tr w:rsidR="00DF1795" w:rsidRPr="00E3221E" w14:paraId="35C17337" w14:textId="77777777" w:rsidTr="00222C74">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684" w:type="dxa"/>
            <w:tcBorders>
              <w:top w:val="single" w:sz="4" w:space="0" w:color="FFFFFF" w:themeColor="background1"/>
              <w:bottom w:val="single" w:sz="8" w:space="0" w:color="FFFFFF" w:themeColor="background1"/>
            </w:tcBorders>
            <w:shd w:val="clear" w:color="auto" w:fill="E9E9E9"/>
            <w:hideMark/>
          </w:tcPr>
          <w:p w14:paraId="2BA4FBBC" w14:textId="77777777" w:rsidR="00DF1795" w:rsidRPr="00E3221E" w:rsidRDefault="00DF1795" w:rsidP="00506E02">
            <w:pPr>
              <w:pStyle w:val="Tablebodytextnospaceafter"/>
            </w:pPr>
            <w:r w:rsidRPr="00E3221E">
              <w:t>Balance at 30 June 201</w:t>
            </w:r>
            <w:r>
              <w:t>8</w:t>
            </w:r>
          </w:p>
        </w:tc>
        <w:tc>
          <w:tcPr>
            <w:tcW w:w="1557" w:type="dxa"/>
            <w:hideMark/>
          </w:tcPr>
          <w:p w14:paraId="735A38A8" w14:textId="77777777"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199</w:t>
            </w:r>
          </w:p>
        </w:tc>
        <w:tc>
          <w:tcPr>
            <w:tcW w:w="1703" w:type="dxa"/>
            <w:hideMark/>
          </w:tcPr>
          <w:p w14:paraId="673C6B4E" w14:textId="77777777"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1,510</w:t>
            </w:r>
          </w:p>
        </w:tc>
        <w:tc>
          <w:tcPr>
            <w:tcW w:w="1417" w:type="dxa"/>
            <w:hideMark/>
          </w:tcPr>
          <w:p w14:paraId="13ED8D4B" w14:textId="77777777"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1,200</w:t>
            </w:r>
          </w:p>
        </w:tc>
        <w:tc>
          <w:tcPr>
            <w:tcW w:w="1134" w:type="dxa"/>
            <w:hideMark/>
          </w:tcPr>
          <w:p w14:paraId="1B5236B0" w14:textId="77777777"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625</w:t>
            </w:r>
          </w:p>
        </w:tc>
        <w:tc>
          <w:tcPr>
            <w:tcW w:w="851" w:type="dxa"/>
            <w:hideMark/>
          </w:tcPr>
          <w:p w14:paraId="3C08B982" w14:textId="77777777"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3,534</w:t>
            </w:r>
          </w:p>
        </w:tc>
      </w:tr>
      <w:tr w:rsidR="00DF1795" w:rsidRPr="004D5646" w14:paraId="503EBA41"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84" w:type="dxa"/>
            <w:tcBorders>
              <w:bottom w:val="single" w:sz="8" w:space="0" w:color="FFFFFF" w:themeColor="background1"/>
            </w:tcBorders>
            <w:shd w:val="clear" w:color="auto" w:fill="E9E9E9"/>
            <w:hideMark/>
          </w:tcPr>
          <w:p w14:paraId="596DC74A" w14:textId="77777777" w:rsidR="00DF1795" w:rsidRPr="00E3221E" w:rsidRDefault="00DF1795" w:rsidP="00506E02">
            <w:pPr>
              <w:pStyle w:val="Tablebodytextnospaceafter"/>
            </w:pPr>
            <w:r w:rsidRPr="00E3221E">
              <w:t>Additions</w:t>
            </w:r>
          </w:p>
        </w:tc>
        <w:tc>
          <w:tcPr>
            <w:tcW w:w="1557" w:type="dxa"/>
          </w:tcPr>
          <w:p w14:paraId="63835891" w14:textId="77777777"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53</w:t>
            </w:r>
          </w:p>
        </w:tc>
        <w:tc>
          <w:tcPr>
            <w:tcW w:w="1703" w:type="dxa"/>
          </w:tcPr>
          <w:p w14:paraId="40E9A817" w14:textId="77777777"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1417" w:type="dxa"/>
          </w:tcPr>
          <w:p w14:paraId="5EE24608" w14:textId="77777777"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258</w:t>
            </w:r>
          </w:p>
        </w:tc>
        <w:tc>
          <w:tcPr>
            <w:tcW w:w="1134" w:type="dxa"/>
          </w:tcPr>
          <w:p w14:paraId="29A58C48" w14:textId="77777777"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50</w:t>
            </w:r>
          </w:p>
        </w:tc>
        <w:tc>
          <w:tcPr>
            <w:tcW w:w="851" w:type="dxa"/>
          </w:tcPr>
          <w:p w14:paraId="4F0364CC" w14:textId="77777777"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361</w:t>
            </w:r>
          </w:p>
        </w:tc>
      </w:tr>
      <w:tr w:rsidR="00DF1795" w:rsidRPr="004D5646" w14:paraId="682A932E"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84" w:type="dxa"/>
            <w:tcBorders>
              <w:bottom w:val="single" w:sz="4" w:space="0" w:color="FFFFFF" w:themeColor="background1"/>
            </w:tcBorders>
            <w:shd w:val="clear" w:color="auto" w:fill="E9E9E9"/>
            <w:hideMark/>
          </w:tcPr>
          <w:p w14:paraId="117C28C8" w14:textId="77777777" w:rsidR="00DF1795" w:rsidRPr="00E3221E" w:rsidRDefault="00DF1795" w:rsidP="00506E02">
            <w:pPr>
              <w:pStyle w:val="Tablebodytextnospaceafter"/>
            </w:pPr>
            <w:r w:rsidRPr="00E3221E">
              <w:t>Disposals</w:t>
            </w:r>
          </w:p>
        </w:tc>
        <w:tc>
          <w:tcPr>
            <w:tcW w:w="1557" w:type="dxa"/>
            <w:hideMark/>
          </w:tcPr>
          <w:p w14:paraId="633539F9" w14:textId="77777777"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D5646">
              <w:t>-</w:t>
            </w:r>
          </w:p>
        </w:tc>
        <w:tc>
          <w:tcPr>
            <w:tcW w:w="1703" w:type="dxa"/>
            <w:hideMark/>
          </w:tcPr>
          <w:p w14:paraId="0BFE03F1" w14:textId="77777777"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D5646">
              <w:t>-</w:t>
            </w:r>
          </w:p>
        </w:tc>
        <w:tc>
          <w:tcPr>
            <w:tcW w:w="1417" w:type="dxa"/>
            <w:hideMark/>
          </w:tcPr>
          <w:p w14:paraId="2AE9D90B" w14:textId="77777777"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D5646">
              <w:t>-</w:t>
            </w:r>
          </w:p>
        </w:tc>
        <w:tc>
          <w:tcPr>
            <w:tcW w:w="1134" w:type="dxa"/>
            <w:hideMark/>
          </w:tcPr>
          <w:p w14:paraId="68384014" w14:textId="77777777"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D5646">
              <w:t>-</w:t>
            </w:r>
          </w:p>
        </w:tc>
        <w:tc>
          <w:tcPr>
            <w:tcW w:w="851" w:type="dxa"/>
            <w:hideMark/>
          </w:tcPr>
          <w:p w14:paraId="50FF2B3D" w14:textId="77777777"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4D5646">
              <w:t>-</w:t>
            </w:r>
          </w:p>
        </w:tc>
      </w:tr>
      <w:tr w:rsidR="00DF1795" w:rsidRPr="00E92E0C" w14:paraId="22DC917B"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84" w:type="dxa"/>
            <w:tcBorders>
              <w:top w:val="single" w:sz="4" w:space="0" w:color="FFFFFF" w:themeColor="background1"/>
              <w:bottom w:val="single" w:sz="4" w:space="0" w:color="FFFFFF" w:themeColor="background1"/>
            </w:tcBorders>
            <w:hideMark/>
          </w:tcPr>
          <w:p w14:paraId="445D4B9D" w14:textId="77777777" w:rsidR="00DF1795" w:rsidRPr="007717B5" w:rsidRDefault="00DF1795" w:rsidP="00506E02">
            <w:pPr>
              <w:pStyle w:val="Tablebodytextnospaceafter"/>
              <w:rPr>
                <w:rStyle w:val="Emphasis"/>
              </w:rPr>
            </w:pPr>
            <w:r w:rsidRPr="007717B5">
              <w:rPr>
                <w:rStyle w:val="Emphasis"/>
              </w:rPr>
              <w:t>Balance at 30 June 201</w:t>
            </w:r>
            <w:r>
              <w:rPr>
                <w:rStyle w:val="Emphasis"/>
              </w:rPr>
              <w:t>9</w:t>
            </w:r>
          </w:p>
        </w:tc>
        <w:tc>
          <w:tcPr>
            <w:tcW w:w="1557" w:type="dxa"/>
            <w:shd w:val="clear" w:color="auto" w:fill="BFBFBF"/>
          </w:tcPr>
          <w:p w14:paraId="4A2AA232" w14:textId="77777777" w:rsidR="00DF1795" w:rsidRPr="002B792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2B792C">
              <w:rPr>
                <w:rStyle w:val="Emphasis"/>
              </w:rPr>
              <w:t>252</w:t>
            </w:r>
          </w:p>
        </w:tc>
        <w:tc>
          <w:tcPr>
            <w:tcW w:w="1703" w:type="dxa"/>
            <w:shd w:val="clear" w:color="auto" w:fill="BFBFBF"/>
          </w:tcPr>
          <w:p w14:paraId="609D4209" w14:textId="77777777" w:rsidR="00DF1795" w:rsidRPr="002B792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2B792C">
              <w:rPr>
                <w:rStyle w:val="Emphasis"/>
              </w:rPr>
              <w:t>1,510</w:t>
            </w:r>
          </w:p>
        </w:tc>
        <w:tc>
          <w:tcPr>
            <w:tcW w:w="1417" w:type="dxa"/>
            <w:shd w:val="clear" w:color="auto" w:fill="BFBFBF"/>
          </w:tcPr>
          <w:p w14:paraId="0BFB465D" w14:textId="77777777" w:rsidR="00DF1795" w:rsidRPr="002B792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2B792C">
              <w:rPr>
                <w:rStyle w:val="Emphasis"/>
              </w:rPr>
              <w:t>1,458</w:t>
            </w:r>
          </w:p>
        </w:tc>
        <w:tc>
          <w:tcPr>
            <w:tcW w:w="1134" w:type="dxa"/>
            <w:shd w:val="clear" w:color="auto" w:fill="BFBFBF"/>
          </w:tcPr>
          <w:p w14:paraId="41C71143" w14:textId="77777777" w:rsidR="00DF1795" w:rsidRPr="002B792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2B792C">
              <w:rPr>
                <w:rStyle w:val="Emphasis"/>
              </w:rPr>
              <w:t>675</w:t>
            </w:r>
          </w:p>
        </w:tc>
        <w:tc>
          <w:tcPr>
            <w:tcW w:w="851" w:type="dxa"/>
            <w:shd w:val="clear" w:color="auto" w:fill="BFBFBF"/>
            <w:hideMark/>
          </w:tcPr>
          <w:p w14:paraId="0CEE0904" w14:textId="77777777" w:rsidR="00DF1795" w:rsidRPr="002B792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2B792C">
              <w:rPr>
                <w:rStyle w:val="Emphasis"/>
              </w:rPr>
              <w:t>3,895</w:t>
            </w:r>
          </w:p>
        </w:tc>
      </w:tr>
      <w:tr w:rsidR="00F13C6F" w:rsidRPr="007717B5" w14:paraId="7DAB5B65"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84" w:type="dxa"/>
            <w:shd w:val="clear" w:color="000000" w:fill="BFBFBF"/>
            <w:hideMark/>
          </w:tcPr>
          <w:p w14:paraId="415BCA37" w14:textId="77777777" w:rsidR="00F13C6F" w:rsidRPr="007717B5" w:rsidRDefault="00F13C6F" w:rsidP="00506E02">
            <w:pPr>
              <w:pStyle w:val="Tablebodytextnospaceafter"/>
              <w:rPr>
                <w:rStyle w:val="Emphasis"/>
              </w:rPr>
            </w:pPr>
            <w:r w:rsidRPr="007717B5">
              <w:rPr>
                <w:rStyle w:val="Emphasis"/>
              </w:rPr>
              <w:t>Accumulated depreciation and impairment losses</w:t>
            </w:r>
          </w:p>
        </w:tc>
        <w:tc>
          <w:tcPr>
            <w:tcW w:w="1557" w:type="dxa"/>
            <w:shd w:val="clear" w:color="000000" w:fill="BFBFBF"/>
          </w:tcPr>
          <w:p w14:paraId="7969813C" w14:textId="77777777" w:rsidR="00F13C6F" w:rsidRPr="007717B5" w:rsidRDefault="00F13C6F"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1703" w:type="dxa"/>
            <w:shd w:val="clear" w:color="000000" w:fill="BFBFBF"/>
          </w:tcPr>
          <w:p w14:paraId="5F8FD228" w14:textId="77777777" w:rsidR="00F13C6F" w:rsidRPr="007717B5" w:rsidRDefault="00F13C6F"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1417" w:type="dxa"/>
            <w:shd w:val="clear" w:color="000000" w:fill="BFBFBF"/>
          </w:tcPr>
          <w:p w14:paraId="2B7E3002" w14:textId="77777777" w:rsidR="00F13C6F" w:rsidRPr="007717B5" w:rsidRDefault="00F13C6F"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1134" w:type="dxa"/>
            <w:shd w:val="clear" w:color="000000" w:fill="BFBFBF"/>
          </w:tcPr>
          <w:p w14:paraId="230490A6" w14:textId="77777777" w:rsidR="00F13C6F" w:rsidRPr="007717B5" w:rsidRDefault="00F13C6F"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851" w:type="dxa"/>
            <w:shd w:val="clear" w:color="000000" w:fill="BFBFBF"/>
          </w:tcPr>
          <w:p w14:paraId="02C5E9EA" w14:textId="4582AE0C" w:rsidR="00F13C6F" w:rsidRPr="007717B5" w:rsidRDefault="00F13C6F"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r>
      <w:tr w:rsidR="00DF1795" w:rsidRPr="00E3221E" w14:paraId="24129A38"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84" w:type="dxa"/>
            <w:tcBorders>
              <w:top w:val="single" w:sz="4" w:space="0" w:color="FFFFFF" w:themeColor="background1"/>
              <w:bottom w:val="single" w:sz="8" w:space="0" w:color="FFFFFF" w:themeColor="background1"/>
            </w:tcBorders>
            <w:shd w:val="clear" w:color="auto" w:fill="E9E9E9"/>
            <w:hideMark/>
          </w:tcPr>
          <w:p w14:paraId="31DE2409" w14:textId="77777777" w:rsidR="00DF1795" w:rsidRPr="00E3221E" w:rsidRDefault="00DF1795" w:rsidP="00506E02">
            <w:pPr>
              <w:pStyle w:val="Tablebodytextnospaceafter"/>
            </w:pPr>
            <w:r w:rsidRPr="00E3221E">
              <w:t>Balance at 30 June 201</w:t>
            </w:r>
            <w:r>
              <w:t>8</w:t>
            </w:r>
          </w:p>
        </w:tc>
        <w:tc>
          <w:tcPr>
            <w:tcW w:w="1557" w:type="dxa"/>
          </w:tcPr>
          <w:p w14:paraId="32193EDE" w14:textId="77777777"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174</w:t>
            </w:r>
          </w:p>
        </w:tc>
        <w:tc>
          <w:tcPr>
            <w:tcW w:w="1703" w:type="dxa"/>
          </w:tcPr>
          <w:p w14:paraId="0D8D9D13" w14:textId="77777777"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496</w:t>
            </w:r>
          </w:p>
        </w:tc>
        <w:tc>
          <w:tcPr>
            <w:tcW w:w="1417" w:type="dxa"/>
          </w:tcPr>
          <w:p w14:paraId="0CCF8DE4" w14:textId="77777777"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865</w:t>
            </w:r>
          </w:p>
        </w:tc>
        <w:tc>
          <w:tcPr>
            <w:tcW w:w="1134" w:type="dxa"/>
          </w:tcPr>
          <w:p w14:paraId="118308D9" w14:textId="77777777"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268</w:t>
            </w:r>
          </w:p>
        </w:tc>
        <w:tc>
          <w:tcPr>
            <w:tcW w:w="851" w:type="dxa"/>
          </w:tcPr>
          <w:p w14:paraId="6AF715F7" w14:textId="77777777"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1,803</w:t>
            </w:r>
          </w:p>
        </w:tc>
      </w:tr>
      <w:tr w:rsidR="00DF1795" w:rsidRPr="004D5646" w14:paraId="6E5D8CBE"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84" w:type="dxa"/>
            <w:tcBorders>
              <w:bottom w:val="single" w:sz="8" w:space="0" w:color="FFFFFF" w:themeColor="background1"/>
            </w:tcBorders>
            <w:shd w:val="clear" w:color="auto" w:fill="E9E9E9"/>
            <w:hideMark/>
          </w:tcPr>
          <w:p w14:paraId="78B328FD" w14:textId="77777777" w:rsidR="00DF1795" w:rsidRPr="00E3221E" w:rsidRDefault="00DF1795" w:rsidP="00506E02">
            <w:pPr>
              <w:pStyle w:val="Tablebodytextnospaceafter"/>
            </w:pPr>
            <w:r w:rsidRPr="00E3221E">
              <w:t>Depreciation</w:t>
            </w:r>
          </w:p>
        </w:tc>
        <w:tc>
          <w:tcPr>
            <w:tcW w:w="1557" w:type="dxa"/>
          </w:tcPr>
          <w:p w14:paraId="0C38592A" w14:textId="77777777"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12</w:t>
            </w:r>
          </w:p>
        </w:tc>
        <w:tc>
          <w:tcPr>
            <w:tcW w:w="1703" w:type="dxa"/>
          </w:tcPr>
          <w:p w14:paraId="68C15F6C" w14:textId="77777777"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148</w:t>
            </w:r>
          </w:p>
        </w:tc>
        <w:tc>
          <w:tcPr>
            <w:tcW w:w="1417" w:type="dxa"/>
          </w:tcPr>
          <w:p w14:paraId="5D7690CB" w14:textId="77777777"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205</w:t>
            </w:r>
          </w:p>
        </w:tc>
        <w:tc>
          <w:tcPr>
            <w:tcW w:w="1134" w:type="dxa"/>
          </w:tcPr>
          <w:p w14:paraId="289D9E6E" w14:textId="77777777"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55</w:t>
            </w:r>
          </w:p>
        </w:tc>
        <w:tc>
          <w:tcPr>
            <w:tcW w:w="851" w:type="dxa"/>
          </w:tcPr>
          <w:p w14:paraId="41D39DE7" w14:textId="77777777" w:rsidR="00DF1795" w:rsidRPr="004D5646"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420</w:t>
            </w:r>
          </w:p>
        </w:tc>
      </w:tr>
      <w:tr w:rsidR="00DF1795" w:rsidRPr="004D5646" w14:paraId="2FF034D5"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84" w:type="dxa"/>
            <w:tcBorders>
              <w:bottom w:val="single" w:sz="8" w:space="0" w:color="FFFFFF" w:themeColor="background1"/>
            </w:tcBorders>
            <w:shd w:val="clear" w:color="auto" w:fill="E9E9E9"/>
            <w:hideMark/>
          </w:tcPr>
          <w:p w14:paraId="15ED4F76" w14:textId="77777777" w:rsidR="00DF1795" w:rsidRPr="00E3221E" w:rsidRDefault="00DF1795" w:rsidP="00506E02">
            <w:pPr>
              <w:pStyle w:val="Tablebodytextnospaceafter"/>
            </w:pPr>
            <w:r w:rsidRPr="00E3221E">
              <w:t>Accumulated dep</w:t>
            </w:r>
            <w:r>
              <w:t>reciatio</w:t>
            </w:r>
            <w:r w:rsidRPr="00E3221E">
              <w:t>n on disposals</w:t>
            </w:r>
          </w:p>
        </w:tc>
        <w:tc>
          <w:tcPr>
            <w:tcW w:w="1557" w:type="dxa"/>
            <w:hideMark/>
          </w:tcPr>
          <w:p w14:paraId="4C0E0DDA" w14:textId="77777777"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D5646">
              <w:t>-</w:t>
            </w:r>
          </w:p>
        </w:tc>
        <w:tc>
          <w:tcPr>
            <w:tcW w:w="1703" w:type="dxa"/>
            <w:hideMark/>
          </w:tcPr>
          <w:p w14:paraId="52362F93" w14:textId="77777777"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D5646">
              <w:t>-</w:t>
            </w:r>
          </w:p>
        </w:tc>
        <w:tc>
          <w:tcPr>
            <w:tcW w:w="1417" w:type="dxa"/>
            <w:hideMark/>
          </w:tcPr>
          <w:p w14:paraId="03CBE9E8" w14:textId="77777777"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D5646">
              <w:t>-</w:t>
            </w:r>
          </w:p>
        </w:tc>
        <w:tc>
          <w:tcPr>
            <w:tcW w:w="1134" w:type="dxa"/>
            <w:hideMark/>
          </w:tcPr>
          <w:p w14:paraId="40D9120B" w14:textId="77777777"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D5646">
              <w:t>-</w:t>
            </w:r>
          </w:p>
        </w:tc>
        <w:tc>
          <w:tcPr>
            <w:tcW w:w="851" w:type="dxa"/>
            <w:hideMark/>
          </w:tcPr>
          <w:p w14:paraId="629602A4" w14:textId="77777777" w:rsidR="00DF1795" w:rsidRPr="004D5646"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4D5646">
              <w:t>-</w:t>
            </w:r>
          </w:p>
        </w:tc>
      </w:tr>
      <w:tr w:rsidR="00DF1795" w:rsidRPr="00E92E0C" w14:paraId="3943576B"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84" w:type="dxa"/>
            <w:tcBorders>
              <w:bottom w:val="single" w:sz="8" w:space="0" w:color="FFFFFF" w:themeColor="background1"/>
            </w:tcBorders>
            <w:hideMark/>
          </w:tcPr>
          <w:p w14:paraId="2D278E65" w14:textId="77777777" w:rsidR="00DF1795" w:rsidRPr="007717B5" w:rsidRDefault="00DF1795" w:rsidP="00506E02">
            <w:pPr>
              <w:pStyle w:val="Tablebodytextnospaceafter"/>
              <w:rPr>
                <w:rStyle w:val="Emphasis"/>
              </w:rPr>
            </w:pPr>
            <w:r w:rsidRPr="007717B5">
              <w:rPr>
                <w:rStyle w:val="Emphasis"/>
              </w:rPr>
              <w:t>Balance at 30 June 201</w:t>
            </w:r>
            <w:r>
              <w:rPr>
                <w:rStyle w:val="Emphasis"/>
              </w:rPr>
              <w:t>9</w:t>
            </w:r>
          </w:p>
        </w:tc>
        <w:tc>
          <w:tcPr>
            <w:tcW w:w="1557" w:type="dxa"/>
            <w:shd w:val="clear" w:color="auto" w:fill="BFBFBF"/>
          </w:tcPr>
          <w:p w14:paraId="618E8950" w14:textId="77777777" w:rsidR="00DF1795" w:rsidRPr="00B52FF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sidRPr="00B52FF1">
              <w:rPr>
                <w:b/>
              </w:rPr>
              <w:t>186</w:t>
            </w:r>
          </w:p>
        </w:tc>
        <w:tc>
          <w:tcPr>
            <w:tcW w:w="1703" w:type="dxa"/>
            <w:shd w:val="clear" w:color="auto" w:fill="BFBFBF"/>
          </w:tcPr>
          <w:p w14:paraId="3436ACFC" w14:textId="77777777" w:rsidR="00DF1795" w:rsidRPr="00B52FF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sidRPr="00B52FF1">
              <w:rPr>
                <w:b/>
              </w:rPr>
              <w:t>644</w:t>
            </w:r>
          </w:p>
        </w:tc>
        <w:tc>
          <w:tcPr>
            <w:tcW w:w="1417" w:type="dxa"/>
            <w:shd w:val="clear" w:color="auto" w:fill="BFBFBF"/>
          </w:tcPr>
          <w:p w14:paraId="3097211B" w14:textId="77777777" w:rsidR="00DF1795" w:rsidRPr="00B52FF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sidRPr="00B52FF1">
              <w:rPr>
                <w:b/>
              </w:rPr>
              <w:t>1,070</w:t>
            </w:r>
          </w:p>
        </w:tc>
        <w:tc>
          <w:tcPr>
            <w:tcW w:w="1134" w:type="dxa"/>
            <w:shd w:val="clear" w:color="auto" w:fill="BFBFBF"/>
          </w:tcPr>
          <w:p w14:paraId="30DDCF51" w14:textId="77777777" w:rsidR="00DF1795" w:rsidRPr="00B52FF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sidRPr="00B52FF1">
              <w:rPr>
                <w:b/>
              </w:rPr>
              <w:t>323</w:t>
            </w:r>
          </w:p>
        </w:tc>
        <w:tc>
          <w:tcPr>
            <w:tcW w:w="851" w:type="dxa"/>
            <w:shd w:val="clear" w:color="auto" w:fill="BFBFBF"/>
          </w:tcPr>
          <w:p w14:paraId="48672D58" w14:textId="77777777" w:rsidR="00DF1795" w:rsidRPr="00B52FF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b/>
              </w:rPr>
            </w:pPr>
            <w:r w:rsidRPr="00B52FF1">
              <w:rPr>
                <w:b/>
              </w:rPr>
              <w:t>2,223</w:t>
            </w:r>
          </w:p>
        </w:tc>
      </w:tr>
      <w:tr w:rsidR="00DF1795" w:rsidRPr="00E3221E" w14:paraId="55267D13"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84" w:type="dxa"/>
            <w:tcBorders>
              <w:bottom w:val="single" w:sz="8" w:space="0" w:color="FFFFFF" w:themeColor="background1"/>
            </w:tcBorders>
            <w:shd w:val="clear" w:color="000000" w:fill="E9E9E9"/>
            <w:hideMark/>
          </w:tcPr>
          <w:p w14:paraId="677D8487" w14:textId="77777777" w:rsidR="00DF1795" w:rsidRPr="00E3221E" w:rsidRDefault="00DF1795" w:rsidP="00506E02">
            <w:pPr>
              <w:pStyle w:val="Tablebodytextnospaceafter"/>
            </w:pPr>
            <w:r w:rsidRPr="00E3221E">
              <w:t>Carrying amounts:</w:t>
            </w:r>
          </w:p>
        </w:tc>
        <w:tc>
          <w:tcPr>
            <w:tcW w:w="1557" w:type="dxa"/>
            <w:shd w:val="clear" w:color="000000" w:fill="E9E9E9"/>
            <w:hideMark/>
          </w:tcPr>
          <w:p w14:paraId="55521505" w14:textId="77777777"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1703" w:type="dxa"/>
            <w:shd w:val="clear" w:color="000000" w:fill="E9E9E9"/>
            <w:hideMark/>
          </w:tcPr>
          <w:p w14:paraId="48FD42D3" w14:textId="77777777"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1417" w:type="dxa"/>
            <w:shd w:val="clear" w:color="000000" w:fill="E9E9E9"/>
            <w:hideMark/>
          </w:tcPr>
          <w:p w14:paraId="36F9629C" w14:textId="77777777"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1134" w:type="dxa"/>
            <w:shd w:val="clear" w:color="000000" w:fill="E9E9E9"/>
            <w:hideMark/>
          </w:tcPr>
          <w:p w14:paraId="1848B8DD" w14:textId="77777777"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851" w:type="dxa"/>
            <w:shd w:val="clear" w:color="000000" w:fill="E9E9E9"/>
            <w:hideMark/>
          </w:tcPr>
          <w:p w14:paraId="38E8C6FC" w14:textId="77777777" w:rsidR="00DF1795" w:rsidRPr="00E3221E"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r>
      <w:tr w:rsidR="00DF1795" w:rsidRPr="00E3221E" w14:paraId="46EB2537"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84" w:type="dxa"/>
            <w:tcBorders>
              <w:bottom w:val="single" w:sz="8" w:space="0" w:color="FFFFFF" w:themeColor="background1"/>
            </w:tcBorders>
            <w:shd w:val="clear" w:color="auto" w:fill="E9E9E9"/>
            <w:hideMark/>
          </w:tcPr>
          <w:p w14:paraId="40991F57" w14:textId="77777777" w:rsidR="00DF1795" w:rsidRPr="00E3221E" w:rsidRDefault="00DF1795" w:rsidP="00506E02">
            <w:pPr>
              <w:pStyle w:val="Tablebodytextnospaceafter"/>
            </w:pPr>
            <w:r w:rsidRPr="00E3221E">
              <w:t>At 30 June 201</w:t>
            </w:r>
            <w:r>
              <w:t>8</w:t>
            </w:r>
          </w:p>
        </w:tc>
        <w:tc>
          <w:tcPr>
            <w:tcW w:w="1557" w:type="dxa"/>
          </w:tcPr>
          <w:p w14:paraId="4D54137D" w14:textId="77777777"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25</w:t>
            </w:r>
          </w:p>
        </w:tc>
        <w:tc>
          <w:tcPr>
            <w:tcW w:w="1703" w:type="dxa"/>
          </w:tcPr>
          <w:p w14:paraId="2D7C75CF" w14:textId="77777777"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1,014</w:t>
            </w:r>
          </w:p>
        </w:tc>
        <w:tc>
          <w:tcPr>
            <w:tcW w:w="1417" w:type="dxa"/>
          </w:tcPr>
          <w:p w14:paraId="1AC0400C" w14:textId="77777777"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335</w:t>
            </w:r>
          </w:p>
        </w:tc>
        <w:tc>
          <w:tcPr>
            <w:tcW w:w="1134" w:type="dxa"/>
          </w:tcPr>
          <w:p w14:paraId="5C65C886" w14:textId="77777777"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357</w:t>
            </w:r>
          </w:p>
        </w:tc>
        <w:tc>
          <w:tcPr>
            <w:tcW w:w="851" w:type="dxa"/>
          </w:tcPr>
          <w:p w14:paraId="47CAB769" w14:textId="77777777" w:rsidR="00DF1795" w:rsidRPr="00E3221E"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1,731</w:t>
            </w:r>
          </w:p>
        </w:tc>
      </w:tr>
      <w:tr w:rsidR="00DF1795" w:rsidRPr="00E92E0C" w14:paraId="409757B9"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84" w:type="dxa"/>
            <w:hideMark/>
          </w:tcPr>
          <w:p w14:paraId="45FF824D" w14:textId="77777777" w:rsidR="00DF1795" w:rsidRPr="007717B5" w:rsidRDefault="00DF1795" w:rsidP="00506E02">
            <w:pPr>
              <w:pStyle w:val="Tablebodytextnospaceafter"/>
              <w:rPr>
                <w:rStyle w:val="Emphasis"/>
              </w:rPr>
            </w:pPr>
            <w:r w:rsidRPr="007717B5">
              <w:rPr>
                <w:rStyle w:val="Emphasis"/>
              </w:rPr>
              <w:t>At 30 June 201</w:t>
            </w:r>
            <w:r>
              <w:rPr>
                <w:rStyle w:val="Emphasis"/>
              </w:rPr>
              <w:t>9</w:t>
            </w:r>
          </w:p>
        </w:tc>
        <w:tc>
          <w:tcPr>
            <w:tcW w:w="1557" w:type="dxa"/>
            <w:shd w:val="clear" w:color="auto" w:fill="BFBFBF"/>
          </w:tcPr>
          <w:p w14:paraId="76369D36" w14:textId="77777777"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Pr>
                <w:b/>
              </w:rPr>
              <w:t>66</w:t>
            </w:r>
          </w:p>
        </w:tc>
        <w:tc>
          <w:tcPr>
            <w:tcW w:w="1703" w:type="dxa"/>
            <w:shd w:val="clear" w:color="auto" w:fill="BFBFBF"/>
          </w:tcPr>
          <w:p w14:paraId="283A0745" w14:textId="77777777"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Pr>
                <w:b/>
              </w:rPr>
              <w:t>866</w:t>
            </w:r>
          </w:p>
        </w:tc>
        <w:tc>
          <w:tcPr>
            <w:tcW w:w="1417" w:type="dxa"/>
            <w:shd w:val="clear" w:color="auto" w:fill="BFBFBF"/>
          </w:tcPr>
          <w:p w14:paraId="5535B636" w14:textId="77777777"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Pr>
                <w:b/>
              </w:rPr>
              <w:t>388</w:t>
            </w:r>
          </w:p>
        </w:tc>
        <w:tc>
          <w:tcPr>
            <w:tcW w:w="1134" w:type="dxa"/>
            <w:shd w:val="clear" w:color="auto" w:fill="BFBFBF"/>
          </w:tcPr>
          <w:p w14:paraId="089C0EC9" w14:textId="77777777"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Pr>
                <w:b/>
              </w:rPr>
              <w:t>352</w:t>
            </w:r>
          </w:p>
        </w:tc>
        <w:tc>
          <w:tcPr>
            <w:tcW w:w="851" w:type="dxa"/>
            <w:shd w:val="clear" w:color="auto" w:fill="BFBFBF"/>
          </w:tcPr>
          <w:p w14:paraId="65EFEE56" w14:textId="77777777"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b/>
              </w:rPr>
            </w:pPr>
            <w:r>
              <w:rPr>
                <w:b/>
              </w:rPr>
              <w:t>1,672</w:t>
            </w:r>
          </w:p>
        </w:tc>
      </w:tr>
    </w:tbl>
    <w:p w14:paraId="090D1F10" w14:textId="77777777" w:rsidR="00DF1795" w:rsidRDefault="00DF1795" w:rsidP="00DF1795">
      <w:pPr>
        <w:pStyle w:val="Whitespace"/>
      </w:pPr>
    </w:p>
    <w:p w14:paraId="576D6DE5" w14:textId="77777777" w:rsidR="00DF1795" w:rsidRPr="00BE4BB3" w:rsidRDefault="003E53A9" w:rsidP="00A055D4">
      <w:pPr>
        <w:pStyle w:val="BodyText"/>
      </w:pPr>
      <w:r w:rsidRPr="00315E21">
        <w:rPr>
          <w:vertAlign w:val="superscript"/>
        </w:rPr>
        <w:t>#</w:t>
      </w:r>
      <w:r>
        <w:rPr>
          <w:vertAlign w:val="superscript"/>
        </w:rPr>
        <w:t xml:space="preserve"> </w:t>
      </w:r>
      <w:r w:rsidR="00A055D4">
        <w:t>The Office made early purchas</w:t>
      </w:r>
      <w:r w:rsidR="00B86C33">
        <w:t>es of mobile devices due to the need</w:t>
      </w:r>
      <w:r w:rsidR="00A055D4">
        <w:t xml:space="preserve"> to roll out mobile devices for remote working during the COVID-19 lockdown.</w:t>
      </w:r>
    </w:p>
    <w:p w14:paraId="1C1DD62A" w14:textId="2C42069D" w:rsidR="00DF1795" w:rsidRDefault="00D315BD" w:rsidP="00DF1795">
      <w:pPr>
        <w:pStyle w:val="Heading3"/>
      </w:pPr>
      <w:r>
        <w:t>9</w:t>
      </w:r>
      <w:r w:rsidR="00DF1795" w:rsidRPr="00BE4BB3">
        <w:t>. Intangible assets</w:t>
      </w:r>
    </w:p>
    <w:tbl>
      <w:tblPr>
        <w:tblStyle w:val="TableGridAnnualReport15"/>
        <w:tblpPr w:leftFromText="180" w:rightFromText="180" w:vertAnchor="text" w:horzAnchor="margin" w:tblpXSpec="center" w:tblpY="539"/>
        <w:tblW w:w="9204" w:type="dxa"/>
        <w:tblInd w:w="0" w:type="dxa"/>
        <w:tblLayout w:type="fixed"/>
        <w:tblLook w:val="04A0" w:firstRow="1" w:lastRow="0" w:firstColumn="1" w:lastColumn="0" w:noHBand="0" w:noVBand="1"/>
        <w:tblCaption w:val="2017 Intangible assets"/>
      </w:tblPr>
      <w:tblGrid>
        <w:gridCol w:w="3126"/>
        <w:gridCol w:w="1519"/>
        <w:gridCol w:w="1520"/>
        <w:gridCol w:w="1519"/>
        <w:gridCol w:w="1520"/>
      </w:tblGrid>
      <w:tr w:rsidR="00F841E7" w14:paraId="5DACD74F" w14:textId="77777777" w:rsidTr="00B22764">
        <w:trPr>
          <w:cnfStyle w:val="100000000000" w:firstRow="1" w:lastRow="0" w:firstColumn="0" w:lastColumn="0" w:oddVBand="0" w:evenVBand="0" w:oddHBand="0" w:evenHBand="0" w:firstRowFirstColumn="0" w:firstRowLastColumn="0" w:lastRowFirstColumn="0" w:lastRowLastColumn="0"/>
          <w:trHeight w:val="680"/>
          <w:tblHeader/>
        </w:trPr>
        <w:tc>
          <w:tcPr>
            <w:cnfStyle w:val="001000000000" w:firstRow="0" w:lastRow="0" w:firstColumn="1" w:lastColumn="0" w:oddVBand="0" w:evenVBand="0" w:oddHBand="0" w:evenHBand="0" w:firstRowFirstColumn="0" w:firstRowLastColumn="0" w:lastRowFirstColumn="0" w:lastRowLastColumn="0"/>
            <w:tcW w:w="3126" w:type="dxa"/>
            <w:hideMark/>
          </w:tcPr>
          <w:p w14:paraId="3FADD948" w14:textId="77777777" w:rsidR="00F841E7" w:rsidRPr="007717B5" w:rsidRDefault="00F841E7" w:rsidP="00F841E7">
            <w:pPr>
              <w:pStyle w:val="Tableheadingrow1"/>
            </w:pPr>
            <w:r w:rsidRPr="007717B5">
              <w:t>20</w:t>
            </w:r>
            <w:r>
              <w:t>20</w:t>
            </w:r>
          </w:p>
        </w:tc>
        <w:tc>
          <w:tcPr>
            <w:tcW w:w="1519" w:type="dxa"/>
            <w:hideMark/>
          </w:tcPr>
          <w:p w14:paraId="0B7578B3" w14:textId="77777777" w:rsidR="00F841E7" w:rsidRDefault="00F841E7" w:rsidP="00F841E7">
            <w:pPr>
              <w:pStyle w:val="Tableheadingrow1"/>
              <w:jc w:val="right"/>
              <w:cnfStyle w:val="100000000000" w:firstRow="1" w:lastRow="0" w:firstColumn="0" w:lastColumn="0" w:oddVBand="0" w:evenVBand="0" w:oddHBand="0" w:evenHBand="0" w:firstRowFirstColumn="0" w:firstRowLastColumn="0" w:lastRowFirstColumn="0" w:lastRowLastColumn="0"/>
            </w:pPr>
            <w:r w:rsidRPr="007717B5">
              <w:t>Acquired</w:t>
            </w:r>
            <w:r w:rsidRPr="007717B5">
              <w:br/>
            </w:r>
            <w:r>
              <w:t>s</w:t>
            </w:r>
            <w:r w:rsidRPr="007717B5">
              <w:t>oftware</w:t>
            </w:r>
            <w:r w:rsidRPr="007717B5">
              <w:br/>
            </w:r>
          </w:p>
          <w:p w14:paraId="34A420D4" w14:textId="77777777" w:rsidR="00F841E7" w:rsidRPr="007717B5" w:rsidRDefault="00F841E7" w:rsidP="00F841E7">
            <w:pPr>
              <w:pStyle w:val="Tableheadingrow1"/>
              <w:jc w:val="right"/>
              <w:cnfStyle w:val="100000000000" w:firstRow="1" w:lastRow="0" w:firstColumn="0" w:lastColumn="0" w:oddVBand="0" w:evenVBand="0" w:oddHBand="0" w:evenHBand="0" w:firstRowFirstColumn="0" w:firstRowLastColumn="0" w:lastRowFirstColumn="0" w:lastRowLastColumn="0"/>
            </w:pPr>
            <w:r w:rsidRPr="007717B5">
              <w:t>$(000)</w:t>
            </w:r>
          </w:p>
        </w:tc>
        <w:tc>
          <w:tcPr>
            <w:tcW w:w="1520" w:type="dxa"/>
            <w:hideMark/>
          </w:tcPr>
          <w:p w14:paraId="178C2887" w14:textId="77777777" w:rsidR="00F841E7" w:rsidRDefault="00F841E7" w:rsidP="00F841E7">
            <w:pPr>
              <w:pStyle w:val="Tableheadingrow1"/>
              <w:jc w:val="right"/>
              <w:cnfStyle w:val="100000000000" w:firstRow="1" w:lastRow="0" w:firstColumn="0" w:lastColumn="0" w:oddVBand="0" w:evenVBand="0" w:oddHBand="0" w:evenHBand="0" w:firstRowFirstColumn="0" w:firstRowLastColumn="0" w:lastRowFirstColumn="0" w:lastRowLastColumn="0"/>
            </w:pPr>
            <w:r>
              <w:t>Internally generated software</w:t>
            </w:r>
          </w:p>
          <w:p w14:paraId="76FB8FC4" w14:textId="77777777" w:rsidR="00F841E7" w:rsidRPr="007717B5" w:rsidRDefault="00F841E7" w:rsidP="003E53A9">
            <w:pPr>
              <w:pStyle w:val="Tableheadingrow1"/>
              <w:jc w:val="right"/>
              <w:cnfStyle w:val="100000000000" w:firstRow="1" w:lastRow="0" w:firstColumn="0" w:lastColumn="0" w:oddVBand="0" w:evenVBand="0" w:oddHBand="0" w:evenHBand="0" w:firstRowFirstColumn="0" w:firstRowLastColumn="0" w:lastRowFirstColumn="0" w:lastRowLastColumn="0"/>
            </w:pPr>
            <w:r w:rsidRPr="007717B5">
              <w:t>$(000)</w:t>
            </w:r>
            <w:r w:rsidR="00B86C33" w:rsidRPr="00315E21">
              <w:rPr>
                <w:vertAlign w:val="superscript"/>
              </w:rPr>
              <w:t>#</w:t>
            </w:r>
          </w:p>
        </w:tc>
        <w:tc>
          <w:tcPr>
            <w:tcW w:w="1519" w:type="dxa"/>
          </w:tcPr>
          <w:p w14:paraId="18B13188" w14:textId="4BDFB400" w:rsidR="00F841E7" w:rsidRDefault="00F841E7" w:rsidP="00F841E7">
            <w:pPr>
              <w:pStyle w:val="Tableheadingrow1"/>
              <w:jc w:val="right"/>
              <w:cnfStyle w:val="100000000000" w:firstRow="1" w:lastRow="0" w:firstColumn="0" w:lastColumn="0" w:oddVBand="0" w:evenVBand="0" w:oddHBand="0" w:evenHBand="0" w:firstRowFirstColumn="0" w:firstRowLastColumn="0" w:lastRowFirstColumn="0" w:lastRowLastColumn="0"/>
            </w:pPr>
            <w:r>
              <w:t>Trademark</w:t>
            </w:r>
            <w:r w:rsidR="00B22764">
              <w:br/>
            </w:r>
            <w:r w:rsidRPr="007717B5">
              <w:br/>
            </w:r>
          </w:p>
          <w:p w14:paraId="60C5E866" w14:textId="77777777" w:rsidR="00F841E7" w:rsidRPr="007717B5" w:rsidRDefault="00F841E7" w:rsidP="00F841E7">
            <w:pPr>
              <w:pStyle w:val="Tableheadingrow1"/>
              <w:jc w:val="right"/>
              <w:cnfStyle w:val="100000000000" w:firstRow="1" w:lastRow="0" w:firstColumn="0" w:lastColumn="0" w:oddVBand="0" w:evenVBand="0" w:oddHBand="0" w:evenHBand="0" w:firstRowFirstColumn="0" w:firstRowLastColumn="0" w:lastRowFirstColumn="0" w:lastRowLastColumn="0"/>
            </w:pPr>
            <w:r w:rsidRPr="007717B5">
              <w:t>$(000)</w:t>
            </w:r>
          </w:p>
        </w:tc>
        <w:tc>
          <w:tcPr>
            <w:tcW w:w="1520" w:type="dxa"/>
            <w:hideMark/>
          </w:tcPr>
          <w:p w14:paraId="5482BDCE" w14:textId="5F1873F2" w:rsidR="00F841E7" w:rsidRDefault="00F841E7" w:rsidP="00F841E7">
            <w:pPr>
              <w:pStyle w:val="Tableheadingrow1"/>
              <w:jc w:val="right"/>
              <w:cnfStyle w:val="100000000000" w:firstRow="1" w:lastRow="0" w:firstColumn="0" w:lastColumn="0" w:oddVBand="0" w:evenVBand="0" w:oddHBand="0" w:evenHBand="0" w:firstRowFirstColumn="0" w:firstRowLastColumn="0" w:lastRowFirstColumn="0" w:lastRowLastColumn="0"/>
            </w:pPr>
            <w:r w:rsidRPr="007717B5">
              <w:t>Total</w:t>
            </w:r>
            <w:r w:rsidRPr="007717B5">
              <w:br/>
            </w:r>
            <w:r w:rsidR="00B22764">
              <w:br/>
            </w:r>
          </w:p>
          <w:p w14:paraId="36B876A8" w14:textId="77777777" w:rsidR="00F841E7" w:rsidRPr="007717B5" w:rsidRDefault="00F841E7" w:rsidP="00F841E7">
            <w:pPr>
              <w:pStyle w:val="Tableheadingrow1"/>
              <w:jc w:val="right"/>
              <w:cnfStyle w:val="100000000000" w:firstRow="1" w:lastRow="0" w:firstColumn="0" w:lastColumn="0" w:oddVBand="0" w:evenVBand="0" w:oddHBand="0" w:evenHBand="0" w:firstRowFirstColumn="0" w:firstRowLastColumn="0" w:lastRowFirstColumn="0" w:lastRowLastColumn="0"/>
            </w:pPr>
            <w:r w:rsidRPr="007717B5">
              <w:t>$(000)</w:t>
            </w:r>
          </w:p>
        </w:tc>
      </w:tr>
      <w:tr w:rsidR="00F841E7" w14:paraId="61D9C487" w14:textId="77777777" w:rsidTr="00B2276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126" w:type="dxa"/>
            <w:tcBorders>
              <w:top w:val="single" w:sz="8" w:space="0" w:color="FFFFFF" w:themeColor="background1"/>
              <w:right w:val="single" w:sz="8" w:space="0" w:color="FFFFFF" w:themeColor="background1"/>
            </w:tcBorders>
            <w:shd w:val="clear" w:color="000000" w:fill="BFBFBF"/>
            <w:hideMark/>
          </w:tcPr>
          <w:p w14:paraId="4ACCC817" w14:textId="77777777" w:rsidR="00F841E7" w:rsidRPr="0096628B" w:rsidRDefault="00F841E7" w:rsidP="00F841E7">
            <w:pPr>
              <w:pStyle w:val="Tablebodytextnospaceafter"/>
              <w:rPr>
                <w:rStyle w:val="Emphasis"/>
              </w:rPr>
            </w:pPr>
            <w:r w:rsidRPr="0096628B">
              <w:rPr>
                <w:rStyle w:val="Emphasis"/>
              </w:rPr>
              <w:t xml:space="preserve">Cost </w:t>
            </w:r>
          </w:p>
        </w:tc>
        <w:tc>
          <w:tcPr>
            <w:tcW w:w="1519" w:type="dxa"/>
            <w:shd w:val="clear" w:color="000000" w:fill="BFBFBF"/>
          </w:tcPr>
          <w:p w14:paraId="2D2504C1" w14:textId="77777777" w:rsidR="00F841E7" w:rsidRPr="0096628B" w:rsidRDefault="00F841E7" w:rsidP="00F841E7">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520" w:type="dxa"/>
            <w:shd w:val="clear" w:color="000000" w:fill="BFBFBF"/>
          </w:tcPr>
          <w:p w14:paraId="00343742" w14:textId="77777777" w:rsidR="00F841E7" w:rsidRPr="0096628B" w:rsidRDefault="00F841E7" w:rsidP="00F841E7">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519" w:type="dxa"/>
            <w:shd w:val="clear" w:color="000000" w:fill="BFBFBF"/>
          </w:tcPr>
          <w:p w14:paraId="6E389BF7" w14:textId="77777777" w:rsidR="00F841E7" w:rsidRPr="0096628B" w:rsidRDefault="00F841E7" w:rsidP="00F841E7">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520" w:type="dxa"/>
            <w:shd w:val="clear" w:color="000000" w:fill="BFBFBF"/>
          </w:tcPr>
          <w:p w14:paraId="0CC44D65" w14:textId="77777777" w:rsidR="00F841E7" w:rsidRPr="0096628B" w:rsidRDefault="00F841E7" w:rsidP="00F841E7">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r>
      <w:tr w:rsidR="00F841E7" w14:paraId="558BEDCA" w14:textId="77777777" w:rsidTr="00B22764">
        <w:trPr>
          <w:cnfStyle w:val="000000010000" w:firstRow="0" w:lastRow="0" w:firstColumn="0" w:lastColumn="0" w:oddVBand="0" w:evenVBand="0" w:oddHBand="0" w:evenHBand="1"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3126" w:type="dxa"/>
            <w:tcBorders>
              <w:top w:val="single" w:sz="4" w:space="0" w:color="FFFFFF" w:themeColor="background1"/>
              <w:bottom w:val="single" w:sz="8" w:space="0" w:color="FFFFFF" w:themeColor="background1"/>
            </w:tcBorders>
            <w:shd w:val="clear" w:color="auto" w:fill="E9E9E9"/>
            <w:hideMark/>
          </w:tcPr>
          <w:p w14:paraId="7A5548A7" w14:textId="77777777" w:rsidR="00F841E7" w:rsidRPr="007717B5" w:rsidRDefault="00F841E7" w:rsidP="00F841E7">
            <w:pPr>
              <w:pStyle w:val="Tablebodytextnospaceafter"/>
            </w:pPr>
            <w:r w:rsidRPr="007717B5">
              <w:t>Balance at 30 June 20</w:t>
            </w:r>
            <w:r>
              <w:t>19</w:t>
            </w:r>
          </w:p>
        </w:tc>
        <w:tc>
          <w:tcPr>
            <w:tcW w:w="1519" w:type="dxa"/>
          </w:tcPr>
          <w:p w14:paraId="34D1382A" w14:textId="77777777" w:rsidR="00F841E7" w:rsidRPr="007717B5" w:rsidRDefault="00F841E7" w:rsidP="00F841E7">
            <w:pPr>
              <w:pStyle w:val="Tablebodytextnospaceafter"/>
              <w:jc w:val="right"/>
              <w:cnfStyle w:val="000000010000" w:firstRow="0" w:lastRow="0" w:firstColumn="0" w:lastColumn="0" w:oddVBand="0" w:evenVBand="0" w:oddHBand="0" w:evenHBand="1" w:firstRowFirstColumn="0" w:firstRowLastColumn="0" w:lastRowFirstColumn="0" w:lastRowLastColumn="0"/>
            </w:pPr>
            <w:r>
              <w:t>1,294</w:t>
            </w:r>
          </w:p>
        </w:tc>
        <w:tc>
          <w:tcPr>
            <w:tcW w:w="1520" w:type="dxa"/>
          </w:tcPr>
          <w:p w14:paraId="596462B9" w14:textId="77777777" w:rsidR="00F841E7" w:rsidRPr="00D1094A" w:rsidRDefault="00F841E7" w:rsidP="00F841E7">
            <w:pPr>
              <w:pStyle w:val="Tablebodytextnospaceafter"/>
              <w:jc w:val="right"/>
              <w:cnfStyle w:val="000000010000" w:firstRow="0" w:lastRow="0" w:firstColumn="0" w:lastColumn="0" w:oddVBand="0" w:evenVBand="0" w:oddHBand="0" w:evenHBand="1" w:firstRowFirstColumn="0" w:firstRowLastColumn="0" w:lastRowFirstColumn="0" w:lastRowLastColumn="0"/>
            </w:pPr>
            <w:r>
              <w:t>291</w:t>
            </w:r>
          </w:p>
        </w:tc>
        <w:tc>
          <w:tcPr>
            <w:tcW w:w="1519" w:type="dxa"/>
          </w:tcPr>
          <w:p w14:paraId="7B2C2746" w14:textId="77777777" w:rsidR="00F841E7" w:rsidRDefault="00F841E7" w:rsidP="00F841E7">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1520" w:type="dxa"/>
          </w:tcPr>
          <w:p w14:paraId="67EBA0FD" w14:textId="77777777" w:rsidR="00F841E7" w:rsidRPr="00D1094A" w:rsidRDefault="00F841E7" w:rsidP="00F841E7">
            <w:pPr>
              <w:pStyle w:val="Tablebodytextnospaceafter"/>
              <w:jc w:val="right"/>
              <w:cnfStyle w:val="000000010000" w:firstRow="0" w:lastRow="0" w:firstColumn="0" w:lastColumn="0" w:oddVBand="0" w:evenVBand="0" w:oddHBand="0" w:evenHBand="1" w:firstRowFirstColumn="0" w:firstRowLastColumn="0" w:lastRowFirstColumn="0" w:lastRowLastColumn="0"/>
            </w:pPr>
            <w:r>
              <w:t>1,585</w:t>
            </w:r>
          </w:p>
        </w:tc>
      </w:tr>
      <w:tr w:rsidR="00F841E7" w14:paraId="72712AE5" w14:textId="77777777" w:rsidTr="00B22764">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3126" w:type="dxa"/>
            <w:tcBorders>
              <w:bottom w:val="single" w:sz="8" w:space="0" w:color="FFFFFF" w:themeColor="background1"/>
            </w:tcBorders>
            <w:shd w:val="clear" w:color="auto" w:fill="E9E9E9"/>
            <w:hideMark/>
          </w:tcPr>
          <w:p w14:paraId="742E3D17" w14:textId="77777777" w:rsidR="00F841E7" w:rsidRPr="007717B5" w:rsidRDefault="00F841E7" w:rsidP="00F841E7">
            <w:pPr>
              <w:pStyle w:val="Tablebodytextnospaceafter"/>
            </w:pPr>
            <w:r w:rsidRPr="007717B5">
              <w:t>Additions</w:t>
            </w:r>
          </w:p>
        </w:tc>
        <w:tc>
          <w:tcPr>
            <w:tcW w:w="1519" w:type="dxa"/>
          </w:tcPr>
          <w:p w14:paraId="2CEA8BF9" w14:textId="77777777" w:rsidR="00F841E7" w:rsidRPr="00E92E0C" w:rsidRDefault="00F841E7" w:rsidP="00F841E7">
            <w:pPr>
              <w:pStyle w:val="Tablebodytextnospaceafter"/>
              <w:jc w:val="right"/>
              <w:cnfStyle w:val="000000100000" w:firstRow="0" w:lastRow="0" w:firstColumn="0" w:lastColumn="0" w:oddVBand="0" w:evenVBand="0" w:oddHBand="1" w:evenHBand="0" w:firstRowFirstColumn="0" w:firstRowLastColumn="0" w:lastRowFirstColumn="0" w:lastRowLastColumn="0"/>
            </w:pPr>
            <w:r>
              <w:t>4</w:t>
            </w:r>
          </w:p>
        </w:tc>
        <w:tc>
          <w:tcPr>
            <w:tcW w:w="1520" w:type="dxa"/>
          </w:tcPr>
          <w:p w14:paraId="3D08A999" w14:textId="77777777" w:rsidR="00F841E7" w:rsidRPr="00E92E0C" w:rsidRDefault="00F841E7" w:rsidP="00F841E7">
            <w:pPr>
              <w:pStyle w:val="Tablebodytextnospaceafter"/>
              <w:jc w:val="right"/>
              <w:cnfStyle w:val="000000100000" w:firstRow="0" w:lastRow="0" w:firstColumn="0" w:lastColumn="0" w:oddVBand="0" w:evenVBand="0" w:oddHBand="1" w:evenHBand="0" w:firstRowFirstColumn="0" w:firstRowLastColumn="0" w:lastRowFirstColumn="0" w:lastRowLastColumn="0"/>
            </w:pPr>
            <w:r>
              <w:t>146</w:t>
            </w:r>
          </w:p>
        </w:tc>
        <w:tc>
          <w:tcPr>
            <w:tcW w:w="1519" w:type="dxa"/>
          </w:tcPr>
          <w:p w14:paraId="105F19C4" w14:textId="77777777" w:rsidR="00F841E7" w:rsidRDefault="00F841E7" w:rsidP="00F841E7">
            <w:pPr>
              <w:pStyle w:val="Tablebodytextnospaceafter"/>
              <w:jc w:val="right"/>
              <w:cnfStyle w:val="000000100000" w:firstRow="0" w:lastRow="0" w:firstColumn="0" w:lastColumn="0" w:oddVBand="0" w:evenVBand="0" w:oddHBand="1" w:evenHBand="0" w:firstRowFirstColumn="0" w:firstRowLastColumn="0" w:lastRowFirstColumn="0" w:lastRowLastColumn="0"/>
            </w:pPr>
            <w:r>
              <w:t>6</w:t>
            </w:r>
          </w:p>
        </w:tc>
        <w:tc>
          <w:tcPr>
            <w:tcW w:w="1520" w:type="dxa"/>
          </w:tcPr>
          <w:p w14:paraId="2B6C3D1C" w14:textId="77777777" w:rsidR="00F841E7" w:rsidRPr="00E92E0C" w:rsidRDefault="00F841E7" w:rsidP="00F841E7">
            <w:pPr>
              <w:pStyle w:val="Tablebodytextnospaceafter"/>
              <w:jc w:val="right"/>
              <w:cnfStyle w:val="000000100000" w:firstRow="0" w:lastRow="0" w:firstColumn="0" w:lastColumn="0" w:oddVBand="0" w:evenVBand="0" w:oddHBand="1" w:evenHBand="0" w:firstRowFirstColumn="0" w:firstRowLastColumn="0" w:lastRowFirstColumn="0" w:lastRowLastColumn="0"/>
            </w:pPr>
            <w:r>
              <w:t>156</w:t>
            </w:r>
          </w:p>
        </w:tc>
      </w:tr>
      <w:tr w:rsidR="00F841E7" w14:paraId="647E7855" w14:textId="77777777" w:rsidTr="00B22764">
        <w:trPr>
          <w:cnfStyle w:val="000000010000" w:firstRow="0" w:lastRow="0" w:firstColumn="0" w:lastColumn="0" w:oddVBand="0" w:evenVBand="0" w:oddHBand="0" w:evenHBand="1"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3126" w:type="dxa"/>
            <w:tcBorders>
              <w:bottom w:val="single" w:sz="8" w:space="0" w:color="FFFFFF" w:themeColor="background1"/>
            </w:tcBorders>
            <w:shd w:val="clear" w:color="auto" w:fill="E9E9E9"/>
          </w:tcPr>
          <w:p w14:paraId="7A877738" w14:textId="77777777" w:rsidR="00F841E7" w:rsidRPr="007717B5" w:rsidRDefault="00F841E7" w:rsidP="00F841E7">
            <w:pPr>
              <w:pStyle w:val="Tablebodytextnospaceafter"/>
            </w:pPr>
            <w:r>
              <w:t>Work-in-Progress</w:t>
            </w:r>
          </w:p>
        </w:tc>
        <w:tc>
          <w:tcPr>
            <w:tcW w:w="1519" w:type="dxa"/>
          </w:tcPr>
          <w:p w14:paraId="39F58C11" w14:textId="77777777" w:rsidR="00F841E7" w:rsidRDefault="00F841E7" w:rsidP="00F841E7">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1520" w:type="dxa"/>
          </w:tcPr>
          <w:p w14:paraId="1C0B313C" w14:textId="77777777" w:rsidR="00F841E7" w:rsidRDefault="00F841E7" w:rsidP="00B86C33">
            <w:pPr>
              <w:pStyle w:val="Tablebodytextnospaceafter"/>
              <w:jc w:val="right"/>
              <w:cnfStyle w:val="000000010000" w:firstRow="0" w:lastRow="0" w:firstColumn="0" w:lastColumn="0" w:oddVBand="0" w:evenVBand="0" w:oddHBand="0" w:evenHBand="1" w:firstRowFirstColumn="0" w:firstRowLastColumn="0" w:lastRowFirstColumn="0" w:lastRowLastColumn="0"/>
            </w:pPr>
            <w:r>
              <w:t>(126)</w:t>
            </w:r>
          </w:p>
        </w:tc>
        <w:tc>
          <w:tcPr>
            <w:tcW w:w="1519" w:type="dxa"/>
          </w:tcPr>
          <w:p w14:paraId="746C8217" w14:textId="77777777" w:rsidR="00F841E7" w:rsidRDefault="00F841E7" w:rsidP="00F841E7">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1520" w:type="dxa"/>
          </w:tcPr>
          <w:p w14:paraId="01C7AE83" w14:textId="77777777" w:rsidR="00F841E7" w:rsidRDefault="00F841E7" w:rsidP="00F841E7">
            <w:pPr>
              <w:pStyle w:val="Tablebodytextnospaceafter"/>
              <w:jc w:val="right"/>
              <w:cnfStyle w:val="000000010000" w:firstRow="0" w:lastRow="0" w:firstColumn="0" w:lastColumn="0" w:oddVBand="0" w:evenVBand="0" w:oddHBand="0" w:evenHBand="1" w:firstRowFirstColumn="0" w:firstRowLastColumn="0" w:lastRowFirstColumn="0" w:lastRowLastColumn="0"/>
            </w:pPr>
            <w:r>
              <w:t>(126)</w:t>
            </w:r>
          </w:p>
        </w:tc>
      </w:tr>
      <w:tr w:rsidR="00F841E7" w14:paraId="59A00C92" w14:textId="77777777" w:rsidTr="00B22764">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3126" w:type="dxa"/>
            <w:tcBorders>
              <w:bottom w:val="single" w:sz="4" w:space="0" w:color="FFFFFF" w:themeColor="background1"/>
            </w:tcBorders>
            <w:hideMark/>
          </w:tcPr>
          <w:p w14:paraId="62DB3D2E" w14:textId="77777777" w:rsidR="00F841E7" w:rsidRPr="0096628B" w:rsidRDefault="00F841E7" w:rsidP="00F841E7">
            <w:pPr>
              <w:pStyle w:val="Tablebodytextnospaceafter"/>
              <w:rPr>
                <w:rStyle w:val="Emphasis"/>
              </w:rPr>
            </w:pPr>
            <w:r w:rsidRPr="0096628B">
              <w:rPr>
                <w:rStyle w:val="Emphasis"/>
              </w:rPr>
              <w:t>Balance at 30 June 20</w:t>
            </w:r>
            <w:r>
              <w:rPr>
                <w:rStyle w:val="Emphasis"/>
              </w:rPr>
              <w:t>20</w:t>
            </w:r>
          </w:p>
        </w:tc>
        <w:tc>
          <w:tcPr>
            <w:tcW w:w="1519" w:type="dxa"/>
            <w:shd w:val="clear" w:color="auto" w:fill="BFBFBF"/>
          </w:tcPr>
          <w:p w14:paraId="0FC6F890" w14:textId="77777777" w:rsidR="00F841E7" w:rsidRPr="00E92E0C" w:rsidRDefault="00F841E7" w:rsidP="00F841E7">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1,298</w:t>
            </w:r>
          </w:p>
        </w:tc>
        <w:tc>
          <w:tcPr>
            <w:tcW w:w="1520" w:type="dxa"/>
            <w:shd w:val="clear" w:color="auto" w:fill="BFBFBF"/>
          </w:tcPr>
          <w:p w14:paraId="5F3A6089" w14:textId="77777777" w:rsidR="00F841E7" w:rsidRPr="00E92E0C" w:rsidRDefault="00F841E7" w:rsidP="00F841E7">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311</w:t>
            </w:r>
          </w:p>
        </w:tc>
        <w:tc>
          <w:tcPr>
            <w:tcW w:w="1519" w:type="dxa"/>
            <w:shd w:val="clear" w:color="auto" w:fill="BFBFBF"/>
          </w:tcPr>
          <w:p w14:paraId="5D9658C3" w14:textId="77777777" w:rsidR="00F841E7" w:rsidRDefault="00F841E7" w:rsidP="00F841E7">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6</w:t>
            </w:r>
          </w:p>
        </w:tc>
        <w:tc>
          <w:tcPr>
            <w:tcW w:w="1520" w:type="dxa"/>
            <w:shd w:val="clear" w:color="auto" w:fill="BFBFBF"/>
          </w:tcPr>
          <w:p w14:paraId="6BD80761" w14:textId="77777777" w:rsidR="00F841E7" w:rsidRPr="00E92E0C" w:rsidRDefault="00F841E7" w:rsidP="00F841E7">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1,615</w:t>
            </w:r>
          </w:p>
        </w:tc>
      </w:tr>
      <w:tr w:rsidR="00F841E7" w14:paraId="43A82D48" w14:textId="77777777" w:rsidTr="00B22764">
        <w:trPr>
          <w:cnfStyle w:val="000000010000" w:firstRow="0" w:lastRow="0" w:firstColumn="0" w:lastColumn="0" w:oddVBand="0" w:evenVBand="0" w:oddHBand="0" w:evenHBand="1"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3126" w:type="dxa"/>
            <w:tcBorders>
              <w:bottom w:val="single" w:sz="2" w:space="0" w:color="FFFFFF" w:themeColor="background1"/>
              <w:right w:val="single" w:sz="8" w:space="0" w:color="FFFFFF" w:themeColor="background1"/>
            </w:tcBorders>
            <w:shd w:val="clear" w:color="000000" w:fill="BFBFBF"/>
            <w:hideMark/>
          </w:tcPr>
          <w:p w14:paraId="6C0F3273" w14:textId="77777777" w:rsidR="00F841E7" w:rsidRPr="0096628B" w:rsidRDefault="00F841E7" w:rsidP="00F841E7">
            <w:pPr>
              <w:pStyle w:val="Tablebodytextnospaceafter"/>
              <w:rPr>
                <w:rStyle w:val="Emphasis"/>
              </w:rPr>
            </w:pPr>
            <w:r w:rsidRPr="0096628B">
              <w:rPr>
                <w:rStyle w:val="Emphasis"/>
              </w:rPr>
              <w:t>Accumulated depreciation and impairment losses</w:t>
            </w:r>
          </w:p>
        </w:tc>
        <w:tc>
          <w:tcPr>
            <w:tcW w:w="1519" w:type="dxa"/>
            <w:tcBorders>
              <w:bottom w:val="single" w:sz="2" w:space="0" w:color="FFFFFF" w:themeColor="background1"/>
            </w:tcBorders>
            <w:shd w:val="clear" w:color="000000" w:fill="BFBFBF"/>
          </w:tcPr>
          <w:p w14:paraId="1E0F57D2" w14:textId="77777777" w:rsidR="00F841E7" w:rsidRPr="00E92E0C" w:rsidRDefault="00F841E7" w:rsidP="00F841E7">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1520" w:type="dxa"/>
            <w:tcBorders>
              <w:bottom w:val="single" w:sz="2" w:space="0" w:color="FFFFFF" w:themeColor="background1"/>
            </w:tcBorders>
            <w:shd w:val="clear" w:color="000000" w:fill="BFBFBF"/>
          </w:tcPr>
          <w:p w14:paraId="4DA8D873" w14:textId="77777777" w:rsidR="00F841E7" w:rsidRPr="00E92E0C" w:rsidRDefault="00F841E7" w:rsidP="00F841E7">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1519" w:type="dxa"/>
            <w:tcBorders>
              <w:bottom w:val="single" w:sz="2" w:space="0" w:color="FFFFFF" w:themeColor="background1"/>
            </w:tcBorders>
            <w:shd w:val="clear" w:color="000000" w:fill="BFBFBF"/>
          </w:tcPr>
          <w:p w14:paraId="6184805A" w14:textId="77777777" w:rsidR="00F841E7" w:rsidRPr="00E92E0C" w:rsidRDefault="00F841E7" w:rsidP="00F841E7">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1520" w:type="dxa"/>
            <w:tcBorders>
              <w:bottom w:val="single" w:sz="2" w:space="0" w:color="FFFFFF" w:themeColor="background1"/>
            </w:tcBorders>
            <w:shd w:val="clear" w:color="000000" w:fill="BFBFBF"/>
          </w:tcPr>
          <w:p w14:paraId="333CEEF6" w14:textId="77777777" w:rsidR="00F841E7" w:rsidRPr="00E92E0C" w:rsidRDefault="00F841E7" w:rsidP="00F841E7">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r>
      <w:tr w:rsidR="00F841E7" w14:paraId="1F984294" w14:textId="77777777" w:rsidTr="00B22764">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3126" w:type="dxa"/>
            <w:tcBorders>
              <w:bottom w:val="single" w:sz="8" w:space="0" w:color="FFFFFF" w:themeColor="background1"/>
            </w:tcBorders>
            <w:shd w:val="clear" w:color="auto" w:fill="E9E9E9"/>
            <w:hideMark/>
          </w:tcPr>
          <w:p w14:paraId="25DDFBCC" w14:textId="77777777" w:rsidR="00F841E7" w:rsidRPr="007717B5" w:rsidRDefault="00F841E7" w:rsidP="00F841E7">
            <w:pPr>
              <w:pStyle w:val="Tablebodytextnospaceafter"/>
            </w:pPr>
            <w:r w:rsidRPr="007717B5">
              <w:t>Balance at 30 June 201</w:t>
            </w:r>
            <w:r>
              <w:t>9</w:t>
            </w:r>
          </w:p>
        </w:tc>
        <w:tc>
          <w:tcPr>
            <w:tcW w:w="1519" w:type="dxa"/>
          </w:tcPr>
          <w:p w14:paraId="50119661" w14:textId="77777777" w:rsidR="00F841E7" w:rsidRPr="00E92E0C" w:rsidRDefault="00F841E7" w:rsidP="00F841E7">
            <w:pPr>
              <w:pStyle w:val="Tablebodytextnospaceafter"/>
              <w:jc w:val="right"/>
              <w:cnfStyle w:val="000000100000" w:firstRow="0" w:lastRow="0" w:firstColumn="0" w:lastColumn="0" w:oddVBand="0" w:evenVBand="0" w:oddHBand="1" w:evenHBand="0" w:firstRowFirstColumn="0" w:firstRowLastColumn="0" w:lastRowFirstColumn="0" w:lastRowLastColumn="0"/>
            </w:pPr>
            <w:r>
              <w:t>408</w:t>
            </w:r>
          </w:p>
        </w:tc>
        <w:tc>
          <w:tcPr>
            <w:tcW w:w="1520" w:type="dxa"/>
          </w:tcPr>
          <w:p w14:paraId="4DC2D5D6" w14:textId="77777777" w:rsidR="00F841E7" w:rsidRPr="00E92E0C" w:rsidRDefault="00F841E7" w:rsidP="00F841E7">
            <w:pPr>
              <w:pStyle w:val="Tablebodytextnospaceafter"/>
              <w:jc w:val="right"/>
              <w:cnfStyle w:val="000000100000" w:firstRow="0" w:lastRow="0" w:firstColumn="0" w:lastColumn="0" w:oddVBand="0" w:evenVBand="0" w:oddHBand="1" w:evenHBand="0" w:firstRowFirstColumn="0" w:firstRowLastColumn="0" w:lastRowFirstColumn="0" w:lastRowLastColumn="0"/>
            </w:pPr>
            <w:r>
              <w:t>107</w:t>
            </w:r>
          </w:p>
        </w:tc>
        <w:tc>
          <w:tcPr>
            <w:tcW w:w="1519" w:type="dxa"/>
          </w:tcPr>
          <w:p w14:paraId="46926156" w14:textId="77777777" w:rsidR="00F841E7" w:rsidRDefault="00F841E7" w:rsidP="00F841E7">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1520" w:type="dxa"/>
          </w:tcPr>
          <w:p w14:paraId="78ACFDF9" w14:textId="77777777" w:rsidR="00F841E7" w:rsidRPr="00E92E0C" w:rsidRDefault="00F841E7" w:rsidP="00F841E7">
            <w:pPr>
              <w:pStyle w:val="Tablebodytextnospaceafter"/>
              <w:jc w:val="right"/>
              <w:cnfStyle w:val="000000100000" w:firstRow="0" w:lastRow="0" w:firstColumn="0" w:lastColumn="0" w:oddVBand="0" w:evenVBand="0" w:oddHBand="1" w:evenHBand="0" w:firstRowFirstColumn="0" w:firstRowLastColumn="0" w:lastRowFirstColumn="0" w:lastRowLastColumn="0"/>
            </w:pPr>
            <w:r>
              <w:t>515</w:t>
            </w:r>
          </w:p>
        </w:tc>
      </w:tr>
      <w:tr w:rsidR="00F841E7" w14:paraId="58C8D1F1" w14:textId="77777777" w:rsidTr="00B22764">
        <w:trPr>
          <w:cnfStyle w:val="000000010000" w:firstRow="0" w:lastRow="0" w:firstColumn="0" w:lastColumn="0" w:oddVBand="0" w:evenVBand="0" w:oddHBand="0" w:evenHBand="1"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3126" w:type="dxa"/>
            <w:tcBorders>
              <w:bottom w:val="single" w:sz="8" w:space="0" w:color="FFFFFF" w:themeColor="background1"/>
            </w:tcBorders>
            <w:shd w:val="clear" w:color="auto" w:fill="E9E9E9"/>
            <w:hideMark/>
          </w:tcPr>
          <w:p w14:paraId="2F3EEAD4" w14:textId="77777777" w:rsidR="00F841E7" w:rsidRPr="007717B5" w:rsidRDefault="00F841E7" w:rsidP="00F841E7">
            <w:pPr>
              <w:pStyle w:val="Tablebodytextnospaceafter"/>
            </w:pPr>
            <w:r w:rsidRPr="007717B5">
              <w:t>Amortisation</w:t>
            </w:r>
          </w:p>
        </w:tc>
        <w:tc>
          <w:tcPr>
            <w:tcW w:w="1519" w:type="dxa"/>
          </w:tcPr>
          <w:p w14:paraId="1BC3904C" w14:textId="77777777" w:rsidR="00F841E7" w:rsidRPr="00E92E0C" w:rsidRDefault="00F841E7" w:rsidP="00F841E7">
            <w:pPr>
              <w:pStyle w:val="Tablebodytextnospaceafter"/>
              <w:jc w:val="right"/>
              <w:cnfStyle w:val="000000010000" w:firstRow="0" w:lastRow="0" w:firstColumn="0" w:lastColumn="0" w:oddVBand="0" w:evenVBand="0" w:oddHBand="0" w:evenHBand="1" w:firstRowFirstColumn="0" w:firstRowLastColumn="0" w:lastRowFirstColumn="0" w:lastRowLastColumn="0"/>
            </w:pPr>
            <w:r>
              <w:t>1</w:t>
            </w:r>
          </w:p>
        </w:tc>
        <w:tc>
          <w:tcPr>
            <w:tcW w:w="1520" w:type="dxa"/>
          </w:tcPr>
          <w:p w14:paraId="38837FD0" w14:textId="77777777" w:rsidR="00F841E7" w:rsidRPr="00E92E0C" w:rsidRDefault="00F841E7" w:rsidP="00F841E7">
            <w:pPr>
              <w:pStyle w:val="Tablebodytextnospaceafter"/>
              <w:jc w:val="right"/>
              <w:cnfStyle w:val="000000010000" w:firstRow="0" w:lastRow="0" w:firstColumn="0" w:lastColumn="0" w:oddVBand="0" w:evenVBand="0" w:oddHBand="0" w:evenHBand="1" w:firstRowFirstColumn="0" w:firstRowLastColumn="0" w:lastRowFirstColumn="0" w:lastRowLastColumn="0"/>
            </w:pPr>
            <w:r>
              <w:t>157</w:t>
            </w:r>
          </w:p>
        </w:tc>
        <w:tc>
          <w:tcPr>
            <w:tcW w:w="1519" w:type="dxa"/>
          </w:tcPr>
          <w:p w14:paraId="27CB1DFD" w14:textId="77777777" w:rsidR="00F841E7" w:rsidRDefault="00F841E7" w:rsidP="00F841E7">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1520" w:type="dxa"/>
          </w:tcPr>
          <w:p w14:paraId="364A3B11" w14:textId="77777777" w:rsidR="00F841E7" w:rsidRPr="00E92E0C" w:rsidRDefault="00F841E7" w:rsidP="00F841E7">
            <w:pPr>
              <w:pStyle w:val="Tablebodytextnospaceafter"/>
              <w:jc w:val="right"/>
              <w:cnfStyle w:val="000000010000" w:firstRow="0" w:lastRow="0" w:firstColumn="0" w:lastColumn="0" w:oddVBand="0" w:evenVBand="0" w:oddHBand="0" w:evenHBand="1" w:firstRowFirstColumn="0" w:firstRowLastColumn="0" w:lastRowFirstColumn="0" w:lastRowLastColumn="0"/>
            </w:pPr>
            <w:r>
              <w:t>158</w:t>
            </w:r>
          </w:p>
        </w:tc>
      </w:tr>
      <w:tr w:rsidR="00F841E7" w:rsidRPr="00673F6D" w14:paraId="29444F4E" w14:textId="77777777" w:rsidTr="00B22764">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3126" w:type="dxa"/>
            <w:tcBorders>
              <w:bottom w:val="single" w:sz="8" w:space="0" w:color="FFFFFF" w:themeColor="background1"/>
            </w:tcBorders>
            <w:hideMark/>
          </w:tcPr>
          <w:p w14:paraId="2B2AF16E" w14:textId="77777777" w:rsidR="00F841E7" w:rsidRPr="0096628B" w:rsidRDefault="00F841E7" w:rsidP="00F841E7">
            <w:pPr>
              <w:pStyle w:val="Tablebodytextnospaceafter"/>
              <w:rPr>
                <w:rStyle w:val="Emphasis"/>
              </w:rPr>
            </w:pPr>
            <w:r w:rsidRPr="0096628B">
              <w:rPr>
                <w:rStyle w:val="Emphasis"/>
              </w:rPr>
              <w:t>Balance at 30 June 20</w:t>
            </w:r>
            <w:r>
              <w:rPr>
                <w:rStyle w:val="Emphasis"/>
              </w:rPr>
              <w:t>20</w:t>
            </w:r>
          </w:p>
        </w:tc>
        <w:tc>
          <w:tcPr>
            <w:tcW w:w="1519" w:type="dxa"/>
            <w:shd w:val="clear" w:color="auto" w:fill="BFBFBF"/>
          </w:tcPr>
          <w:p w14:paraId="297CCB80" w14:textId="77777777" w:rsidR="00F841E7" w:rsidRPr="00E92E0C" w:rsidRDefault="00F841E7" w:rsidP="00F841E7">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409</w:t>
            </w:r>
          </w:p>
        </w:tc>
        <w:tc>
          <w:tcPr>
            <w:tcW w:w="1520" w:type="dxa"/>
            <w:shd w:val="clear" w:color="auto" w:fill="BFBFBF"/>
          </w:tcPr>
          <w:p w14:paraId="3397AC5E" w14:textId="77777777" w:rsidR="00F841E7" w:rsidRPr="00E92E0C" w:rsidRDefault="00F841E7" w:rsidP="00F841E7">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264</w:t>
            </w:r>
          </w:p>
        </w:tc>
        <w:tc>
          <w:tcPr>
            <w:tcW w:w="1519" w:type="dxa"/>
            <w:shd w:val="clear" w:color="auto" w:fill="BFBFBF"/>
          </w:tcPr>
          <w:p w14:paraId="5CBC54D5" w14:textId="77777777" w:rsidR="00F841E7" w:rsidRDefault="00F841E7" w:rsidP="00F841E7">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w:t>
            </w:r>
          </w:p>
        </w:tc>
        <w:tc>
          <w:tcPr>
            <w:tcW w:w="1520" w:type="dxa"/>
            <w:shd w:val="clear" w:color="auto" w:fill="BFBFBF"/>
          </w:tcPr>
          <w:p w14:paraId="400F628B" w14:textId="77777777" w:rsidR="00F841E7" w:rsidRPr="00E92E0C" w:rsidRDefault="00F841E7" w:rsidP="00F841E7">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673</w:t>
            </w:r>
          </w:p>
        </w:tc>
      </w:tr>
      <w:tr w:rsidR="00B22764" w14:paraId="044C62ED" w14:textId="77777777" w:rsidTr="00B22764">
        <w:trPr>
          <w:cnfStyle w:val="000000010000" w:firstRow="0" w:lastRow="0" w:firstColumn="0" w:lastColumn="0" w:oddVBand="0" w:evenVBand="0" w:oddHBand="0" w:evenHBand="1"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3126" w:type="dxa"/>
            <w:tcBorders>
              <w:bottom w:val="single" w:sz="8" w:space="0" w:color="FFFFFF" w:themeColor="background1"/>
            </w:tcBorders>
            <w:shd w:val="clear" w:color="auto" w:fill="E9E9E9"/>
            <w:hideMark/>
          </w:tcPr>
          <w:p w14:paraId="3CA330E3" w14:textId="77777777" w:rsidR="00B22764" w:rsidRPr="007717B5" w:rsidRDefault="00B22764" w:rsidP="00F841E7">
            <w:pPr>
              <w:pStyle w:val="Tablebodytextnospaceafter"/>
            </w:pPr>
            <w:r w:rsidRPr="007717B5">
              <w:t>Carrying amounts</w:t>
            </w:r>
          </w:p>
        </w:tc>
        <w:tc>
          <w:tcPr>
            <w:tcW w:w="1519" w:type="dxa"/>
          </w:tcPr>
          <w:p w14:paraId="67C3385A" w14:textId="77777777" w:rsidR="00B22764" w:rsidRPr="00E92E0C" w:rsidRDefault="00B22764" w:rsidP="00F841E7">
            <w:pPr>
              <w:pStyle w:val="Tablebodytextnospaceafter"/>
              <w:jc w:val="right"/>
              <w:cnfStyle w:val="000000010000" w:firstRow="0" w:lastRow="0" w:firstColumn="0" w:lastColumn="0" w:oddVBand="0" w:evenVBand="0" w:oddHBand="0" w:evenHBand="1" w:firstRowFirstColumn="0" w:firstRowLastColumn="0" w:lastRowFirstColumn="0" w:lastRowLastColumn="0"/>
            </w:pPr>
          </w:p>
        </w:tc>
        <w:tc>
          <w:tcPr>
            <w:tcW w:w="1520" w:type="dxa"/>
          </w:tcPr>
          <w:p w14:paraId="5B974E3A" w14:textId="1100D39F" w:rsidR="00B22764" w:rsidRPr="00E92E0C" w:rsidRDefault="00B22764" w:rsidP="00F841E7">
            <w:pPr>
              <w:pStyle w:val="Tablebodytextnospaceafter"/>
              <w:jc w:val="right"/>
              <w:cnfStyle w:val="000000010000" w:firstRow="0" w:lastRow="0" w:firstColumn="0" w:lastColumn="0" w:oddVBand="0" w:evenVBand="0" w:oddHBand="0" w:evenHBand="1" w:firstRowFirstColumn="0" w:firstRowLastColumn="0" w:lastRowFirstColumn="0" w:lastRowLastColumn="0"/>
            </w:pPr>
          </w:p>
        </w:tc>
        <w:tc>
          <w:tcPr>
            <w:tcW w:w="1519" w:type="dxa"/>
          </w:tcPr>
          <w:p w14:paraId="56A0F823" w14:textId="77777777" w:rsidR="00B22764" w:rsidRPr="00E92E0C" w:rsidRDefault="00B22764" w:rsidP="00F841E7">
            <w:pPr>
              <w:pStyle w:val="Tablebodytextnospaceafter"/>
              <w:jc w:val="right"/>
              <w:cnfStyle w:val="000000010000" w:firstRow="0" w:lastRow="0" w:firstColumn="0" w:lastColumn="0" w:oddVBand="0" w:evenVBand="0" w:oddHBand="0" w:evenHBand="1" w:firstRowFirstColumn="0" w:firstRowLastColumn="0" w:lastRowFirstColumn="0" w:lastRowLastColumn="0"/>
            </w:pPr>
          </w:p>
        </w:tc>
        <w:tc>
          <w:tcPr>
            <w:tcW w:w="1520" w:type="dxa"/>
          </w:tcPr>
          <w:p w14:paraId="785C3439" w14:textId="77777777" w:rsidR="00B22764" w:rsidRPr="00E92E0C" w:rsidRDefault="00B22764" w:rsidP="00F841E7">
            <w:pPr>
              <w:pStyle w:val="Tablebodytextnospaceafter"/>
              <w:jc w:val="right"/>
              <w:cnfStyle w:val="000000010000" w:firstRow="0" w:lastRow="0" w:firstColumn="0" w:lastColumn="0" w:oddVBand="0" w:evenVBand="0" w:oddHBand="0" w:evenHBand="1" w:firstRowFirstColumn="0" w:firstRowLastColumn="0" w:lastRowFirstColumn="0" w:lastRowLastColumn="0"/>
            </w:pPr>
          </w:p>
        </w:tc>
      </w:tr>
      <w:tr w:rsidR="00F841E7" w14:paraId="703754D3" w14:textId="77777777" w:rsidTr="00B22764">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3126" w:type="dxa"/>
            <w:tcBorders>
              <w:bottom w:val="single" w:sz="8" w:space="0" w:color="FFFFFF" w:themeColor="background1"/>
            </w:tcBorders>
            <w:shd w:val="clear" w:color="auto" w:fill="E9E9E9"/>
            <w:hideMark/>
          </w:tcPr>
          <w:p w14:paraId="017BC716" w14:textId="77777777" w:rsidR="00F841E7" w:rsidRPr="007717B5" w:rsidRDefault="00F841E7" w:rsidP="00F841E7">
            <w:pPr>
              <w:pStyle w:val="Tablebodytextnospaceafter"/>
            </w:pPr>
            <w:r w:rsidRPr="007717B5">
              <w:t>At 30 June 201</w:t>
            </w:r>
            <w:r>
              <w:t>9</w:t>
            </w:r>
          </w:p>
        </w:tc>
        <w:tc>
          <w:tcPr>
            <w:tcW w:w="1519" w:type="dxa"/>
            <w:tcBorders>
              <w:bottom w:val="single" w:sz="2" w:space="0" w:color="FFFFFF" w:themeColor="background1"/>
            </w:tcBorders>
          </w:tcPr>
          <w:p w14:paraId="0491582F" w14:textId="77777777" w:rsidR="00F841E7" w:rsidRPr="00B52FF1" w:rsidRDefault="00F841E7" w:rsidP="00F841E7">
            <w:pPr>
              <w:pStyle w:val="Tablebodytextnospaceafter"/>
              <w:jc w:val="right"/>
              <w:cnfStyle w:val="000000100000" w:firstRow="0" w:lastRow="0" w:firstColumn="0" w:lastColumn="0" w:oddVBand="0" w:evenVBand="0" w:oddHBand="1" w:evenHBand="0" w:firstRowFirstColumn="0" w:firstRowLastColumn="0" w:lastRowFirstColumn="0" w:lastRowLastColumn="0"/>
            </w:pPr>
            <w:r>
              <w:t>886</w:t>
            </w:r>
          </w:p>
        </w:tc>
        <w:tc>
          <w:tcPr>
            <w:tcW w:w="1520" w:type="dxa"/>
            <w:tcBorders>
              <w:bottom w:val="single" w:sz="2" w:space="0" w:color="FFFFFF" w:themeColor="background1"/>
            </w:tcBorders>
          </w:tcPr>
          <w:p w14:paraId="56F0B799" w14:textId="77777777" w:rsidR="00F841E7" w:rsidRPr="00B52FF1" w:rsidRDefault="00F841E7" w:rsidP="00F841E7">
            <w:pPr>
              <w:pStyle w:val="Tablebodytextnospaceafter"/>
              <w:jc w:val="right"/>
              <w:cnfStyle w:val="000000100000" w:firstRow="0" w:lastRow="0" w:firstColumn="0" w:lastColumn="0" w:oddVBand="0" w:evenVBand="0" w:oddHBand="1" w:evenHBand="0" w:firstRowFirstColumn="0" w:firstRowLastColumn="0" w:lastRowFirstColumn="0" w:lastRowLastColumn="0"/>
            </w:pPr>
            <w:r>
              <w:t>184</w:t>
            </w:r>
          </w:p>
        </w:tc>
        <w:tc>
          <w:tcPr>
            <w:tcW w:w="1519" w:type="dxa"/>
            <w:tcBorders>
              <w:bottom w:val="single" w:sz="2" w:space="0" w:color="FFFFFF" w:themeColor="background1"/>
            </w:tcBorders>
          </w:tcPr>
          <w:p w14:paraId="6BC05A94" w14:textId="77777777" w:rsidR="00F841E7" w:rsidRDefault="00F841E7" w:rsidP="00F841E7">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1520" w:type="dxa"/>
            <w:tcBorders>
              <w:bottom w:val="single" w:sz="2" w:space="0" w:color="FFFFFF" w:themeColor="background1"/>
            </w:tcBorders>
          </w:tcPr>
          <w:p w14:paraId="4D5FD33B" w14:textId="77777777" w:rsidR="00F841E7" w:rsidRPr="00B52FF1" w:rsidRDefault="00F841E7" w:rsidP="00F841E7">
            <w:pPr>
              <w:pStyle w:val="Tablebodytextnospaceafter"/>
              <w:jc w:val="right"/>
              <w:cnfStyle w:val="000000100000" w:firstRow="0" w:lastRow="0" w:firstColumn="0" w:lastColumn="0" w:oddVBand="0" w:evenVBand="0" w:oddHBand="1" w:evenHBand="0" w:firstRowFirstColumn="0" w:firstRowLastColumn="0" w:lastRowFirstColumn="0" w:lastRowLastColumn="0"/>
            </w:pPr>
            <w:r>
              <w:t>1,070</w:t>
            </w:r>
          </w:p>
        </w:tc>
      </w:tr>
      <w:tr w:rsidR="00F841E7" w14:paraId="1F96FFFB" w14:textId="77777777" w:rsidTr="00B22764">
        <w:trPr>
          <w:cnfStyle w:val="000000010000" w:firstRow="0" w:lastRow="0" w:firstColumn="0" w:lastColumn="0" w:oddVBand="0" w:evenVBand="0" w:oddHBand="0" w:evenHBand="1"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3126" w:type="dxa"/>
            <w:hideMark/>
          </w:tcPr>
          <w:p w14:paraId="15BE0D0E" w14:textId="77777777" w:rsidR="00F841E7" w:rsidRPr="0096628B" w:rsidRDefault="00F841E7" w:rsidP="00F841E7">
            <w:pPr>
              <w:pStyle w:val="Tablebodytextnospaceafter"/>
              <w:rPr>
                <w:rStyle w:val="Emphasis"/>
              </w:rPr>
            </w:pPr>
            <w:r>
              <w:rPr>
                <w:rStyle w:val="Emphasis"/>
              </w:rPr>
              <w:t>At 30 June 2020</w:t>
            </w:r>
          </w:p>
        </w:tc>
        <w:tc>
          <w:tcPr>
            <w:tcW w:w="1519" w:type="dxa"/>
            <w:shd w:val="clear" w:color="auto" w:fill="BFBFBF"/>
          </w:tcPr>
          <w:p w14:paraId="370782DD" w14:textId="77777777" w:rsidR="00F841E7" w:rsidRPr="00B52FF1" w:rsidRDefault="00F841E7" w:rsidP="00F841E7">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889</w:t>
            </w:r>
          </w:p>
        </w:tc>
        <w:tc>
          <w:tcPr>
            <w:tcW w:w="1520" w:type="dxa"/>
            <w:shd w:val="clear" w:color="auto" w:fill="BFBFBF"/>
          </w:tcPr>
          <w:p w14:paraId="36343BA4" w14:textId="77777777" w:rsidR="00F841E7" w:rsidRPr="00B52FF1" w:rsidRDefault="00F841E7" w:rsidP="00F841E7">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47</w:t>
            </w:r>
          </w:p>
        </w:tc>
        <w:tc>
          <w:tcPr>
            <w:tcW w:w="1519" w:type="dxa"/>
            <w:shd w:val="clear" w:color="auto" w:fill="BFBFBF"/>
          </w:tcPr>
          <w:p w14:paraId="0CE0D6E0" w14:textId="77777777" w:rsidR="00F841E7" w:rsidRDefault="00F841E7" w:rsidP="00F841E7">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6</w:t>
            </w:r>
          </w:p>
        </w:tc>
        <w:tc>
          <w:tcPr>
            <w:tcW w:w="1520" w:type="dxa"/>
            <w:shd w:val="clear" w:color="auto" w:fill="BFBFBF"/>
          </w:tcPr>
          <w:p w14:paraId="28A0101D" w14:textId="77777777" w:rsidR="00F841E7" w:rsidRPr="00B52FF1" w:rsidRDefault="00F841E7" w:rsidP="00F841E7">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942</w:t>
            </w:r>
          </w:p>
        </w:tc>
      </w:tr>
    </w:tbl>
    <w:p w14:paraId="7EE6F2AF" w14:textId="77777777" w:rsidR="00DF1795" w:rsidRDefault="00DF1795" w:rsidP="00DF1795">
      <w:pPr>
        <w:pStyle w:val="BodyText"/>
        <w:keepNext/>
      </w:pPr>
      <w:r w:rsidRPr="00BE4BB3">
        <w:t xml:space="preserve">Movements for each class of intangible asset are set out below. </w:t>
      </w:r>
    </w:p>
    <w:p w14:paraId="7CF90DBF" w14:textId="16DD78CB" w:rsidR="00B65749" w:rsidRDefault="005F7C9F" w:rsidP="00DF1795">
      <w:pPr>
        <w:pStyle w:val="BodyText"/>
        <w:keepNext/>
      </w:pPr>
      <w:r>
        <w:br w:type="column"/>
      </w:r>
    </w:p>
    <w:tbl>
      <w:tblPr>
        <w:tblStyle w:val="TableGridAnnualReport15"/>
        <w:tblW w:w="9299" w:type="dxa"/>
        <w:tblInd w:w="0" w:type="dxa"/>
        <w:tblLayout w:type="fixed"/>
        <w:tblLook w:val="04A0" w:firstRow="1" w:lastRow="0" w:firstColumn="1" w:lastColumn="0" w:noHBand="0" w:noVBand="1"/>
        <w:tblCaption w:val="2017 Intangible assets"/>
      </w:tblPr>
      <w:tblGrid>
        <w:gridCol w:w="3818"/>
        <w:gridCol w:w="1842"/>
        <w:gridCol w:w="1985"/>
        <w:gridCol w:w="1654"/>
      </w:tblGrid>
      <w:tr w:rsidR="00DF1795" w14:paraId="59F3F413" w14:textId="77777777" w:rsidTr="00222C74">
        <w:trPr>
          <w:cnfStyle w:val="100000000000" w:firstRow="1" w:lastRow="0" w:firstColumn="0" w:lastColumn="0" w:oddVBand="0" w:evenVBand="0" w:oddHBand="0" w:evenHBand="0" w:firstRowFirstColumn="0" w:firstRowLastColumn="0" w:lastRowFirstColumn="0" w:lastRowLastColumn="0"/>
          <w:trHeight w:val="793"/>
          <w:tblHeader/>
        </w:trPr>
        <w:tc>
          <w:tcPr>
            <w:cnfStyle w:val="001000000000" w:firstRow="0" w:lastRow="0" w:firstColumn="1" w:lastColumn="0" w:oddVBand="0" w:evenVBand="0" w:oddHBand="0" w:evenHBand="0" w:firstRowFirstColumn="0" w:firstRowLastColumn="0" w:lastRowFirstColumn="0" w:lastRowLastColumn="0"/>
            <w:tcW w:w="3818" w:type="dxa"/>
            <w:hideMark/>
          </w:tcPr>
          <w:p w14:paraId="7991410F" w14:textId="77777777" w:rsidR="00DF1795" w:rsidRPr="007717B5" w:rsidRDefault="00DF1795" w:rsidP="00506E02">
            <w:pPr>
              <w:pStyle w:val="Tableheadingrow1"/>
            </w:pPr>
            <w:r w:rsidRPr="007717B5">
              <w:t>201</w:t>
            </w:r>
            <w:r>
              <w:t>9</w:t>
            </w:r>
          </w:p>
        </w:tc>
        <w:tc>
          <w:tcPr>
            <w:tcW w:w="1842" w:type="dxa"/>
            <w:hideMark/>
          </w:tcPr>
          <w:p w14:paraId="5479D336" w14:textId="77777777"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717B5">
              <w:t>Acquired</w:t>
            </w:r>
            <w:r w:rsidRPr="007717B5">
              <w:br/>
            </w:r>
            <w:r>
              <w:t>s</w:t>
            </w:r>
            <w:r w:rsidRPr="007717B5">
              <w:t>oftware</w:t>
            </w:r>
            <w:r w:rsidRPr="007717B5">
              <w:br/>
            </w:r>
          </w:p>
          <w:p w14:paraId="60A894B5" w14:textId="77777777" w:rsidR="00DF1795" w:rsidRPr="007717B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717B5">
              <w:t>$(000)</w:t>
            </w:r>
          </w:p>
        </w:tc>
        <w:tc>
          <w:tcPr>
            <w:tcW w:w="1985" w:type="dxa"/>
            <w:hideMark/>
          </w:tcPr>
          <w:p w14:paraId="50282896" w14:textId="77777777" w:rsidR="00B22764" w:rsidRDefault="00DF1795" w:rsidP="00B22764">
            <w:pPr>
              <w:pStyle w:val="Tableheadingrow1"/>
              <w:jc w:val="right"/>
              <w:cnfStyle w:val="100000000000" w:firstRow="1" w:lastRow="0" w:firstColumn="0" w:lastColumn="0" w:oddVBand="0" w:evenVBand="0" w:oddHBand="0" w:evenHBand="0" w:firstRowFirstColumn="0" w:firstRowLastColumn="0" w:lastRowFirstColumn="0" w:lastRowLastColumn="0"/>
            </w:pPr>
            <w:r w:rsidRPr="007717B5">
              <w:t xml:space="preserve">Internally generated </w:t>
            </w:r>
            <w:r>
              <w:t>s</w:t>
            </w:r>
            <w:r w:rsidRPr="007717B5">
              <w:t>oftware</w:t>
            </w:r>
          </w:p>
          <w:p w14:paraId="3E5DD8A4" w14:textId="41936F78" w:rsidR="00DF1795" w:rsidRPr="007717B5" w:rsidRDefault="00DF1795" w:rsidP="00B22764">
            <w:pPr>
              <w:pStyle w:val="Tableheadingrow1"/>
              <w:jc w:val="right"/>
              <w:cnfStyle w:val="100000000000" w:firstRow="1" w:lastRow="0" w:firstColumn="0" w:lastColumn="0" w:oddVBand="0" w:evenVBand="0" w:oddHBand="0" w:evenHBand="0" w:firstRowFirstColumn="0" w:firstRowLastColumn="0" w:lastRowFirstColumn="0" w:lastRowLastColumn="0"/>
            </w:pPr>
            <w:r w:rsidRPr="007717B5">
              <w:t>$(000)</w:t>
            </w:r>
          </w:p>
        </w:tc>
        <w:tc>
          <w:tcPr>
            <w:tcW w:w="1654" w:type="dxa"/>
            <w:hideMark/>
          </w:tcPr>
          <w:p w14:paraId="701AF3BF" w14:textId="23FDCFE7"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717B5">
              <w:t>Total</w:t>
            </w:r>
            <w:r w:rsidRPr="007717B5">
              <w:br/>
            </w:r>
            <w:r w:rsidR="00B22764">
              <w:br/>
            </w:r>
          </w:p>
          <w:p w14:paraId="5505C8C4" w14:textId="77777777" w:rsidR="00DF1795" w:rsidRPr="007717B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7717B5">
              <w:t>$(000)</w:t>
            </w:r>
          </w:p>
        </w:tc>
      </w:tr>
      <w:tr w:rsidR="00DF1795" w14:paraId="419E2C51" w14:textId="77777777" w:rsidTr="00222C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18" w:type="dxa"/>
            <w:tcBorders>
              <w:top w:val="single" w:sz="8" w:space="0" w:color="FFFFFF" w:themeColor="background1"/>
              <w:right w:val="single" w:sz="8" w:space="0" w:color="FFFFFF" w:themeColor="background1"/>
            </w:tcBorders>
            <w:shd w:val="clear" w:color="000000" w:fill="BFBFBF"/>
            <w:hideMark/>
          </w:tcPr>
          <w:p w14:paraId="7EE753D1" w14:textId="77777777" w:rsidR="00DF1795" w:rsidRPr="0096628B" w:rsidRDefault="00DF1795" w:rsidP="00506E02">
            <w:pPr>
              <w:pStyle w:val="Tablebodytextnospaceafter"/>
              <w:rPr>
                <w:rStyle w:val="Emphasis"/>
              </w:rPr>
            </w:pPr>
            <w:r w:rsidRPr="0096628B">
              <w:rPr>
                <w:rStyle w:val="Emphasis"/>
              </w:rPr>
              <w:t xml:space="preserve">Cost </w:t>
            </w:r>
          </w:p>
        </w:tc>
        <w:tc>
          <w:tcPr>
            <w:tcW w:w="1842" w:type="dxa"/>
            <w:shd w:val="clear" w:color="000000" w:fill="BFBFBF"/>
          </w:tcPr>
          <w:p w14:paraId="0B876DBE" w14:textId="77777777" w:rsidR="00DF1795" w:rsidRPr="0096628B"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985" w:type="dxa"/>
            <w:shd w:val="clear" w:color="000000" w:fill="BFBFBF"/>
          </w:tcPr>
          <w:p w14:paraId="6589CC64" w14:textId="77777777" w:rsidR="00DF1795" w:rsidRPr="0096628B"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c>
          <w:tcPr>
            <w:tcW w:w="1654" w:type="dxa"/>
            <w:shd w:val="clear" w:color="000000" w:fill="BFBFBF"/>
          </w:tcPr>
          <w:p w14:paraId="72730545" w14:textId="77777777" w:rsidR="00DF1795" w:rsidRPr="0096628B"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r>
      <w:tr w:rsidR="00DF1795" w14:paraId="7272DD33"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FFFFFF" w:themeColor="background1"/>
              <w:bottom w:val="single" w:sz="8" w:space="0" w:color="FFFFFF" w:themeColor="background1"/>
            </w:tcBorders>
            <w:shd w:val="clear" w:color="auto" w:fill="E9E9E9"/>
            <w:hideMark/>
          </w:tcPr>
          <w:p w14:paraId="6C16E9D4" w14:textId="77777777" w:rsidR="00DF1795" w:rsidRPr="007717B5" w:rsidRDefault="00DF1795" w:rsidP="00506E02">
            <w:pPr>
              <w:pStyle w:val="Tablebodytextnospaceafter"/>
            </w:pPr>
            <w:r w:rsidRPr="007717B5">
              <w:t>Balance at 30 June 201</w:t>
            </w:r>
            <w:r>
              <w:t>8</w:t>
            </w:r>
          </w:p>
        </w:tc>
        <w:tc>
          <w:tcPr>
            <w:tcW w:w="1842" w:type="dxa"/>
            <w:hideMark/>
          </w:tcPr>
          <w:p w14:paraId="46155204" w14:textId="77777777" w:rsidR="00DF1795" w:rsidRPr="00797C71"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rsidRPr="00797C71">
              <w:t>1,190</w:t>
            </w:r>
          </w:p>
        </w:tc>
        <w:tc>
          <w:tcPr>
            <w:tcW w:w="1985" w:type="dxa"/>
          </w:tcPr>
          <w:p w14:paraId="3AF841CA" w14:textId="77777777" w:rsidR="00DF1795" w:rsidRPr="00D1094A"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165</w:t>
            </w:r>
          </w:p>
        </w:tc>
        <w:tc>
          <w:tcPr>
            <w:tcW w:w="1654" w:type="dxa"/>
          </w:tcPr>
          <w:p w14:paraId="6100B028" w14:textId="77777777" w:rsidR="00DF1795" w:rsidRPr="00D1094A"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1,355</w:t>
            </w:r>
          </w:p>
        </w:tc>
      </w:tr>
      <w:tr w:rsidR="00DF1795" w14:paraId="0B63E106"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818" w:type="dxa"/>
            <w:tcBorders>
              <w:bottom w:val="single" w:sz="8" w:space="0" w:color="FFFFFF" w:themeColor="background1"/>
            </w:tcBorders>
            <w:shd w:val="clear" w:color="auto" w:fill="E9E9E9"/>
            <w:hideMark/>
          </w:tcPr>
          <w:p w14:paraId="3B9CD23B" w14:textId="77777777" w:rsidR="00DF1795" w:rsidRPr="007717B5" w:rsidRDefault="00DF1795" w:rsidP="00506E02">
            <w:pPr>
              <w:pStyle w:val="Tablebodytextnospaceafter"/>
            </w:pPr>
            <w:r w:rsidRPr="007717B5">
              <w:t>Additions</w:t>
            </w:r>
          </w:p>
        </w:tc>
        <w:tc>
          <w:tcPr>
            <w:tcW w:w="1842" w:type="dxa"/>
          </w:tcPr>
          <w:p w14:paraId="0A3A0012" w14:textId="77777777" w:rsidR="00DF1795" w:rsidRPr="00900779"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900779">
              <w:t>104</w:t>
            </w:r>
          </w:p>
        </w:tc>
        <w:tc>
          <w:tcPr>
            <w:tcW w:w="1985" w:type="dxa"/>
          </w:tcPr>
          <w:p w14:paraId="6E2175D2" w14:textId="77777777" w:rsidR="00DF1795" w:rsidRPr="00900779"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900779">
              <w:t>-</w:t>
            </w:r>
          </w:p>
        </w:tc>
        <w:tc>
          <w:tcPr>
            <w:tcW w:w="1654" w:type="dxa"/>
          </w:tcPr>
          <w:p w14:paraId="14B1FDD7" w14:textId="77777777" w:rsidR="00DF1795" w:rsidRPr="00900779"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900779">
              <w:t>104</w:t>
            </w:r>
          </w:p>
        </w:tc>
      </w:tr>
      <w:tr w:rsidR="00DF1795" w14:paraId="7D7A9CE0"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818" w:type="dxa"/>
            <w:tcBorders>
              <w:bottom w:val="single" w:sz="8" w:space="0" w:color="FFFFFF" w:themeColor="background1"/>
            </w:tcBorders>
            <w:shd w:val="clear" w:color="auto" w:fill="E9E9E9"/>
          </w:tcPr>
          <w:p w14:paraId="11BC5456" w14:textId="77777777" w:rsidR="00DF1795" w:rsidRPr="007717B5" w:rsidRDefault="00DF1795" w:rsidP="00506E02">
            <w:pPr>
              <w:pStyle w:val="Tablebodytextnospaceafter"/>
            </w:pPr>
            <w:r>
              <w:t>Work-in-Progress</w:t>
            </w:r>
          </w:p>
        </w:tc>
        <w:tc>
          <w:tcPr>
            <w:tcW w:w="1842" w:type="dxa"/>
          </w:tcPr>
          <w:p w14:paraId="00FC20B7" w14:textId="77777777" w:rsidR="00DF1795" w:rsidRPr="00900779"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1985" w:type="dxa"/>
          </w:tcPr>
          <w:p w14:paraId="637FCC2B" w14:textId="77777777" w:rsidR="00DF1795" w:rsidRPr="00900779"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126</w:t>
            </w:r>
          </w:p>
        </w:tc>
        <w:tc>
          <w:tcPr>
            <w:tcW w:w="1654" w:type="dxa"/>
          </w:tcPr>
          <w:p w14:paraId="38C87699" w14:textId="77777777" w:rsidR="00DF1795" w:rsidRPr="00900779"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126</w:t>
            </w:r>
          </w:p>
        </w:tc>
      </w:tr>
      <w:tr w:rsidR="00DF1795" w14:paraId="37409EA8"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818" w:type="dxa"/>
            <w:tcBorders>
              <w:bottom w:val="single" w:sz="4" w:space="0" w:color="FFFFFF" w:themeColor="background1"/>
            </w:tcBorders>
            <w:hideMark/>
          </w:tcPr>
          <w:p w14:paraId="63E140A6" w14:textId="77777777" w:rsidR="00DF1795" w:rsidRPr="0096628B" w:rsidRDefault="00DF1795" w:rsidP="00506E02">
            <w:pPr>
              <w:pStyle w:val="Tablebodytextnospaceafter"/>
              <w:rPr>
                <w:rStyle w:val="Emphasis"/>
              </w:rPr>
            </w:pPr>
            <w:r w:rsidRPr="0096628B">
              <w:rPr>
                <w:rStyle w:val="Emphasis"/>
              </w:rPr>
              <w:t>Balance at 30 June 201</w:t>
            </w:r>
            <w:r>
              <w:rPr>
                <w:rStyle w:val="Emphasis"/>
              </w:rPr>
              <w:t>9</w:t>
            </w:r>
          </w:p>
        </w:tc>
        <w:tc>
          <w:tcPr>
            <w:tcW w:w="1842" w:type="dxa"/>
            <w:shd w:val="clear" w:color="auto" w:fill="BFBFBF"/>
          </w:tcPr>
          <w:p w14:paraId="537A0322" w14:textId="77777777" w:rsidR="00DF1795" w:rsidRPr="00900779"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900779">
              <w:rPr>
                <w:rStyle w:val="Emphasis"/>
              </w:rPr>
              <w:t>1,294</w:t>
            </w:r>
          </w:p>
        </w:tc>
        <w:tc>
          <w:tcPr>
            <w:tcW w:w="1985" w:type="dxa"/>
            <w:shd w:val="clear" w:color="auto" w:fill="BFBFBF"/>
          </w:tcPr>
          <w:p w14:paraId="0AD71F99" w14:textId="77777777" w:rsidR="00DF1795" w:rsidRPr="00900779"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291</w:t>
            </w:r>
          </w:p>
        </w:tc>
        <w:tc>
          <w:tcPr>
            <w:tcW w:w="1654" w:type="dxa"/>
            <w:shd w:val="clear" w:color="auto" w:fill="BFBFBF"/>
          </w:tcPr>
          <w:p w14:paraId="79E3E7CD" w14:textId="77777777" w:rsidR="00DF1795" w:rsidRPr="00900779"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Pr>
                <w:rStyle w:val="Emphasis"/>
              </w:rPr>
              <w:t>1,585</w:t>
            </w:r>
          </w:p>
        </w:tc>
      </w:tr>
      <w:tr w:rsidR="00DF1795" w14:paraId="3639056F"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818" w:type="dxa"/>
            <w:tcBorders>
              <w:bottom w:val="single" w:sz="2" w:space="0" w:color="FFFFFF" w:themeColor="background1"/>
              <w:right w:val="single" w:sz="8" w:space="0" w:color="FFFFFF" w:themeColor="background1"/>
            </w:tcBorders>
            <w:shd w:val="clear" w:color="000000" w:fill="BFBFBF"/>
            <w:hideMark/>
          </w:tcPr>
          <w:p w14:paraId="45135E2F" w14:textId="77777777" w:rsidR="00DF1795" w:rsidRPr="0096628B" w:rsidRDefault="00DF1795" w:rsidP="00506E02">
            <w:pPr>
              <w:pStyle w:val="Tablebodytextnospaceafter"/>
              <w:rPr>
                <w:rStyle w:val="Emphasis"/>
              </w:rPr>
            </w:pPr>
            <w:r w:rsidRPr="0096628B">
              <w:rPr>
                <w:rStyle w:val="Emphasis"/>
              </w:rPr>
              <w:t>Accumulated depreciation and impairment losses</w:t>
            </w:r>
          </w:p>
        </w:tc>
        <w:tc>
          <w:tcPr>
            <w:tcW w:w="1842" w:type="dxa"/>
            <w:tcBorders>
              <w:bottom w:val="single" w:sz="2" w:space="0" w:color="FFFFFF" w:themeColor="background1"/>
            </w:tcBorders>
            <w:shd w:val="clear" w:color="000000" w:fill="BFBFBF"/>
          </w:tcPr>
          <w:p w14:paraId="13111209" w14:textId="77777777" w:rsidR="00DF1795" w:rsidRPr="00900779"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1985" w:type="dxa"/>
            <w:tcBorders>
              <w:bottom w:val="single" w:sz="2" w:space="0" w:color="FFFFFF" w:themeColor="background1"/>
            </w:tcBorders>
            <w:shd w:val="clear" w:color="000000" w:fill="BFBFBF"/>
          </w:tcPr>
          <w:p w14:paraId="10ED9866" w14:textId="77777777" w:rsidR="00DF1795" w:rsidRPr="00900779"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c>
          <w:tcPr>
            <w:tcW w:w="1654" w:type="dxa"/>
            <w:tcBorders>
              <w:bottom w:val="single" w:sz="2" w:space="0" w:color="FFFFFF" w:themeColor="background1"/>
            </w:tcBorders>
            <w:shd w:val="clear" w:color="000000" w:fill="BFBFBF"/>
          </w:tcPr>
          <w:p w14:paraId="05FC2C38" w14:textId="77777777" w:rsidR="00DF1795" w:rsidRPr="00900779" w:rsidRDefault="00DF1795" w:rsidP="00506E02">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p>
        </w:tc>
      </w:tr>
      <w:tr w:rsidR="00DF1795" w14:paraId="78CB5861"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818" w:type="dxa"/>
            <w:tcBorders>
              <w:bottom w:val="single" w:sz="8" w:space="0" w:color="FFFFFF" w:themeColor="background1"/>
            </w:tcBorders>
            <w:shd w:val="clear" w:color="auto" w:fill="E9E9E9"/>
            <w:hideMark/>
          </w:tcPr>
          <w:p w14:paraId="449249CB" w14:textId="77777777" w:rsidR="00DF1795" w:rsidRPr="007717B5" w:rsidRDefault="00DF1795" w:rsidP="00506E02">
            <w:pPr>
              <w:pStyle w:val="Tablebodytextnospaceafter"/>
            </w:pPr>
            <w:r w:rsidRPr="007717B5">
              <w:t>Balance at 30 June 201</w:t>
            </w:r>
            <w:r>
              <w:t>8</w:t>
            </w:r>
          </w:p>
        </w:tc>
        <w:tc>
          <w:tcPr>
            <w:tcW w:w="1842" w:type="dxa"/>
            <w:hideMark/>
          </w:tcPr>
          <w:p w14:paraId="3B25BBC0" w14:textId="77777777"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259</w:t>
            </w:r>
          </w:p>
        </w:tc>
        <w:tc>
          <w:tcPr>
            <w:tcW w:w="1985" w:type="dxa"/>
            <w:hideMark/>
          </w:tcPr>
          <w:p w14:paraId="31A087C6" w14:textId="77777777"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E92E0C">
              <w:t>107</w:t>
            </w:r>
          </w:p>
        </w:tc>
        <w:tc>
          <w:tcPr>
            <w:tcW w:w="1654" w:type="dxa"/>
            <w:hideMark/>
          </w:tcPr>
          <w:p w14:paraId="7685744B" w14:textId="77777777"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366</w:t>
            </w:r>
          </w:p>
        </w:tc>
      </w:tr>
      <w:tr w:rsidR="00DF1795" w14:paraId="5497FFBB"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818" w:type="dxa"/>
            <w:tcBorders>
              <w:bottom w:val="single" w:sz="8" w:space="0" w:color="FFFFFF" w:themeColor="background1"/>
            </w:tcBorders>
            <w:shd w:val="clear" w:color="auto" w:fill="E9E9E9"/>
            <w:hideMark/>
          </w:tcPr>
          <w:p w14:paraId="2C0A7A40" w14:textId="77777777" w:rsidR="00DF1795" w:rsidRPr="007717B5" w:rsidRDefault="00DF1795" w:rsidP="00506E02">
            <w:pPr>
              <w:pStyle w:val="Tablebodytextnospaceafter"/>
            </w:pPr>
            <w:r w:rsidRPr="007717B5">
              <w:t>Amortisation</w:t>
            </w:r>
          </w:p>
        </w:tc>
        <w:tc>
          <w:tcPr>
            <w:tcW w:w="1842" w:type="dxa"/>
          </w:tcPr>
          <w:p w14:paraId="2900AA37" w14:textId="77777777"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149</w:t>
            </w:r>
          </w:p>
        </w:tc>
        <w:tc>
          <w:tcPr>
            <w:tcW w:w="1985" w:type="dxa"/>
          </w:tcPr>
          <w:p w14:paraId="198EC5F7" w14:textId="77777777"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w:t>
            </w:r>
          </w:p>
        </w:tc>
        <w:tc>
          <w:tcPr>
            <w:tcW w:w="1654" w:type="dxa"/>
          </w:tcPr>
          <w:p w14:paraId="154D613C" w14:textId="77777777"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r>
              <w:t>149</w:t>
            </w:r>
          </w:p>
        </w:tc>
      </w:tr>
      <w:tr w:rsidR="00DF1795" w:rsidRPr="00673F6D" w14:paraId="5FA8B8E1"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818" w:type="dxa"/>
            <w:tcBorders>
              <w:bottom w:val="single" w:sz="8" w:space="0" w:color="FFFFFF" w:themeColor="background1"/>
            </w:tcBorders>
            <w:hideMark/>
          </w:tcPr>
          <w:p w14:paraId="663A86F7" w14:textId="77777777" w:rsidR="00DF1795" w:rsidRPr="0096628B" w:rsidRDefault="00DF1795" w:rsidP="00506E02">
            <w:pPr>
              <w:pStyle w:val="Tablebodytextnospaceafter"/>
              <w:rPr>
                <w:rStyle w:val="Emphasis"/>
              </w:rPr>
            </w:pPr>
            <w:r w:rsidRPr="0096628B">
              <w:rPr>
                <w:rStyle w:val="Emphasis"/>
              </w:rPr>
              <w:t>Balance at 30 June 201</w:t>
            </w:r>
            <w:r>
              <w:rPr>
                <w:rStyle w:val="Emphasis"/>
              </w:rPr>
              <w:t>9</w:t>
            </w:r>
            <w:r w:rsidR="001C44A7">
              <w:rPr>
                <w:rStyle w:val="Emphasis"/>
              </w:rPr>
              <w:t xml:space="preserve"> </w:t>
            </w:r>
          </w:p>
        </w:tc>
        <w:tc>
          <w:tcPr>
            <w:tcW w:w="1842" w:type="dxa"/>
            <w:shd w:val="clear" w:color="auto" w:fill="BFBFBF"/>
          </w:tcPr>
          <w:p w14:paraId="6E58B05B" w14:textId="77777777" w:rsidR="00DF1795" w:rsidRPr="00900779"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900779">
              <w:rPr>
                <w:rStyle w:val="Emphasis"/>
              </w:rPr>
              <w:t>408</w:t>
            </w:r>
          </w:p>
        </w:tc>
        <w:tc>
          <w:tcPr>
            <w:tcW w:w="1985" w:type="dxa"/>
            <w:shd w:val="clear" w:color="auto" w:fill="BFBFBF"/>
          </w:tcPr>
          <w:p w14:paraId="5B729236" w14:textId="77777777" w:rsidR="00DF1795" w:rsidRPr="00900779"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900779">
              <w:rPr>
                <w:rStyle w:val="Emphasis"/>
              </w:rPr>
              <w:t>107</w:t>
            </w:r>
          </w:p>
        </w:tc>
        <w:tc>
          <w:tcPr>
            <w:tcW w:w="1654" w:type="dxa"/>
            <w:shd w:val="clear" w:color="auto" w:fill="BFBFBF"/>
          </w:tcPr>
          <w:p w14:paraId="556004E5" w14:textId="77777777" w:rsidR="00DF1795" w:rsidRPr="00900779"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r w:rsidRPr="00900779">
              <w:rPr>
                <w:rStyle w:val="Emphasis"/>
              </w:rPr>
              <w:t>515</w:t>
            </w:r>
          </w:p>
        </w:tc>
      </w:tr>
      <w:tr w:rsidR="005F7C9F" w14:paraId="24BC9A89"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818" w:type="dxa"/>
            <w:tcBorders>
              <w:bottom w:val="single" w:sz="8" w:space="0" w:color="FFFFFF" w:themeColor="background1"/>
            </w:tcBorders>
            <w:shd w:val="clear" w:color="auto" w:fill="E9E9E9"/>
            <w:hideMark/>
          </w:tcPr>
          <w:p w14:paraId="642EE7DD" w14:textId="77777777" w:rsidR="005F7C9F" w:rsidRPr="00E92E0C" w:rsidRDefault="005F7C9F" w:rsidP="00222C74">
            <w:pPr>
              <w:pStyle w:val="Tablebodytextnospaceafter"/>
            </w:pPr>
            <w:r w:rsidRPr="007717B5">
              <w:t>Carrying amounts</w:t>
            </w:r>
          </w:p>
        </w:tc>
        <w:tc>
          <w:tcPr>
            <w:tcW w:w="1842" w:type="dxa"/>
          </w:tcPr>
          <w:p w14:paraId="7681FAB9" w14:textId="77777777" w:rsidR="005F7C9F" w:rsidRPr="00E92E0C" w:rsidRDefault="005F7C9F"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p>
        </w:tc>
        <w:tc>
          <w:tcPr>
            <w:tcW w:w="1985" w:type="dxa"/>
          </w:tcPr>
          <w:p w14:paraId="737C8B8E" w14:textId="77777777" w:rsidR="005F7C9F" w:rsidRPr="00E92E0C" w:rsidRDefault="005F7C9F"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p>
        </w:tc>
        <w:tc>
          <w:tcPr>
            <w:tcW w:w="1654" w:type="dxa"/>
          </w:tcPr>
          <w:p w14:paraId="5626ACB6" w14:textId="666FA58C" w:rsidR="005F7C9F" w:rsidRPr="00E92E0C" w:rsidRDefault="005F7C9F" w:rsidP="00506E02">
            <w:pPr>
              <w:pStyle w:val="Tablebodytextnospaceafter"/>
              <w:jc w:val="right"/>
              <w:cnfStyle w:val="000000010000" w:firstRow="0" w:lastRow="0" w:firstColumn="0" w:lastColumn="0" w:oddVBand="0" w:evenVBand="0" w:oddHBand="0" w:evenHBand="1" w:firstRowFirstColumn="0" w:firstRowLastColumn="0" w:lastRowFirstColumn="0" w:lastRowLastColumn="0"/>
            </w:pPr>
          </w:p>
        </w:tc>
      </w:tr>
      <w:tr w:rsidR="00DF1795" w14:paraId="14FC1F62"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818" w:type="dxa"/>
            <w:tcBorders>
              <w:bottom w:val="single" w:sz="8" w:space="0" w:color="FFFFFF" w:themeColor="background1"/>
            </w:tcBorders>
            <w:shd w:val="clear" w:color="auto" w:fill="E9E9E9"/>
            <w:hideMark/>
          </w:tcPr>
          <w:p w14:paraId="72813A21" w14:textId="77777777" w:rsidR="00DF1795" w:rsidRPr="007717B5" w:rsidRDefault="00DF1795" w:rsidP="00506E02">
            <w:pPr>
              <w:pStyle w:val="Tablebodytextnospaceafter"/>
            </w:pPr>
            <w:r w:rsidRPr="007717B5">
              <w:t>At 30 June 201</w:t>
            </w:r>
            <w:r>
              <w:t>8</w:t>
            </w:r>
          </w:p>
        </w:tc>
        <w:tc>
          <w:tcPr>
            <w:tcW w:w="1842" w:type="dxa"/>
            <w:tcBorders>
              <w:bottom w:val="single" w:sz="2" w:space="0" w:color="FFFFFF" w:themeColor="background1"/>
            </w:tcBorders>
            <w:hideMark/>
          </w:tcPr>
          <w:p w14:paraId="62A00550" w14:textId="77777777"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931</w:t>
            </w:r>
          </w:p>
        </w:tc>
        <w:tc>
          <w:tcPr>
            <w:tcW w:w="1985" w:type="dxa"/>
            <w:tcBorders>
              <w:bottom w:val="single" w:sz="2" w:space="0" w:color="FFFFFF" w:themeColor="background1"/>
            </w:tcBorders>
            <w:hideMark/>
          </w:tcPr>
          <w:p w14:paraId="2FF8BBAF" w14:textId="77777777"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rsidRPr="00E92E0C">
              <w:t>58</w:t>
            </w:r>
          </w:p>
        </w:tc>
        <w:tc>
          <w:tcPr>
            <w:tcW w:w="1654" w:type="dxa"/>
            <w:tcBorders>
              <w:bottom w:val="single" w:sz="2" w:space="0" w:color="FFFFFF" w:themeColor="background1"/>
            </w:tcBorders>
            <w:hideMark/>
          </w:tcPr>
          <w:p w14:paraId="7444F872" w14:textId="77777777" w:rsidR="00DF1795" w:rsidRPr="00E92E0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r>
              <w:t>989</w:t>
            </w:r>
          </w:p>
        </w:tc>
      </w:tr>
      <w:tr w:rsidR="00DF1795" w14:paraId="6671676C"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818" w:type="dxa"/>
            <w:hideMark/>
          </w:tcPr>
          <w:p w14:paraId="274CB0B8" w14:textId="77777777" w:rsidR="00DF1795" w:rsidRPr="0096628B" w:rsidRDefault="00DF1795" w:rsidP="00506E02">
            <w:pPr>
              <w:pStyle w:val="Tablebodytextnospaceafter"/>
              <w:rPr>
                <w:rStyle w:val="Emphasis"/>
              </w:rPr>
            </w:pPr>
            <w:r>
              <w:rPr>
                <w:rStyle w:val="Emphasis"/>
              </w:rPr>
              <w:t>At 30 June 2019</w:t>
            </w:r>
          </w:p>
        </w:tc>
        <w:tc>
          <w:tcPr>
            <w:tcW w:w="1842" w:type="dxa"/>
            <w:shd w:val="clear" w:color="auto" w:fill="BFBFBF"/>
          </w:tcPr>
          <w:p w14:paraId="44244C93" w14:textId="77777777"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886</w:t>
            </w:r>
          </w:p>
        </w:tc>
        <w:tc>
          <w:tcPr>
            <w:tcW w:w="1985" w:type="dxa"/>
            <w:shd w:val="clear" w:color="auto" w:fill="BFBFBF"/>
          </w:tcPr>
          <w:p w14:paraId="3F9A730D" w14:textId="77777777"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184</w:t>
            </w:r>
          </w:p>
        </w:tc>
        <w:tc>
          <w:tcPr>
            <w:tcW w:w="1654" w:type="dxa"/>
            <w:shd w:val="clear" w:color="auto" w:fill="BFBFBF"/>
          </w:tcPr>
          <w:p w14:paraId="233C96C9" w14:textId="77777777" w:rsidR="00DF1795" w:rsidRPr="00E92E0C" w:rsidRDefault="00DF1795" w:rsidP="00506E02">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rPr>
            </w:pPr>
            <w:r>
              <w:rPr>
                <w:rStyle w:val="Emphasis"/>
              </w:rPr>
              <w:t>1,070</w:t>
            </w:r>
          </w:p>
        </w:tc>
      </w:tr>
    </w:tbl>
    <w:p w14:paraId="2799823D" w14:textId="77777777" w:rsidR="00DF1795" w:rsidRDefault="00DF1795" w:rsidP="00DF1795">
      <w:pPr>
        <w:pStyle w:val="Whitespace"/>
      </w:pPr>
    </w:p>
    <w:p w14:paraId="47261622" w14:textId="0313AA13" w:rsidR="00C136FB" w:rsidRDefault="003E53A9" w:rsidP="00C136FB">
      <w:pPr>
        <w:pStyle w:val="BodyText"/>
        <w:spacing w:after="0"/>
      </w:pPr>
      <w:r w:rsidRPr="00315E21">
        <w:rPr>
          <w:vertAlign w:val="superscript"/>
        </w:rPr>
        <w:t>#</w:t>
      </w:r>
      <w:r>
        <w:rPr>
          <w:vertAlign w:val="superscript"/>
        </w:rPr>
        <w:t xml:space="preserve"> </w:t>
      </w:r>
      <w:r w:rsidR="00C136FB">
        <w:t>D</w:t>
      </w:r>
      <w:r w:rsidR="00903063">
        <w:t>ebit</w:t>
      </w:r>
      <w:r w:rsidR="00C136FB">
        <w:t xml:space="preserve"> </w:t>
      </w:r>
      <w:r w:rsidR="00D957EE">
        <w:t>i</w:t>
      </w:r>
      <w:r w:rsidR="0066381D">
        <w:t>nternally generated software</w:t>
      </w:r>
      <w:r>
        <w:t xml:space="preserve"> $126,000; Cr</w:t>
      </w:r>
      <w:r w:rsidR="00903063">
        <w:t>edit</w:t>
      </w:r>
      <w:r>
        <w:t xml:space="preserve"> </w:t>
      </w:r>
      <w:r w:rsidR="00C136FB">
        <w:t>Work-in-</w:t>
      </w:r>
      <w:r w:rsidR="0066381D">
        <w:t>Progress</w:t>
      </w:r>
      <w:r w:rsidR="00C136FB">
        <w:t xml:space="preserve"> $126,000</w:t>
      </w:r>
    </w:p>
    <w:p w14:paraId="1B2BE421" w14:textId="77777777" w:rsidR="003E53A9" w:rsidRDefault="003E53A9" w:rsidP="00DF1795">
      <w:pPr>
        <w:pStyle w:val="Whitespace"/>
      </w:pPr>
    </w:p>
    <w:p w14:paraId="7DDB8E4A" w14:textId="77777777" w:rsidR="00DF1795" w:rsidRPr="0096628B" w:rsidRDefault="00DF1795" w:rsidP="00DF1795">
      <w:pPr>
        <w:pStyle w:val="BodyText"/>
      </w:pPr>
      <w:r w:rsidRPr="0096628B">
        <w:t xml:space="preserve">There are no restrictions over the title of </w:t>
      </w:r>
      <w:r w:rsidRPr="007E1D36">
        <w:t>the Office’s</w:t>
      </w:r>
      <w:r w:rsidRPr="0096628B">
        <w:t xml:space="preserve"> intangible assets, nor are any intangible assets pledged as security for liabilities.</w:t>
      </w:r>
    </w:p>
    <w:p w14:paraId="6AEEB7F3" w14:textId="213B76BE" w:rsidR="00DF1795" w:rsidRPr="00BE4BB3" w:rsidRDefault="005F7C9F" w:rsidP="00DF1795">
      <w:pPr>
        <w:pStyle w:val="Heading3"/>
      </w:pPr>
      <w:r>
        <w:br w:type="column"/>
      </w:r>
      <w:r w:rsidR="00D315BD">
        <w:t>10</w:t>
      </w:r>
      <w:r w:rsidR="00DF1795" w:rsidRPr="00BE4BB3">
        <w:t>. Creditors and other payables</w:t>
      </w:r>
    </w:p>
    <w:p w14:paraId="6313C3E9" w14:textId="77777777" w:rsidR="00DF1795" w:rsidRDefault="00DF1795" w:rsidP="00DF1795">
      <w:pPr>
        <w:pStyle w:val="BodyText"/>
      </w:pPr>
      <w:r w:rsidRPr="00BE4BB3">
        <w:t>Creditors and other payables are non-interest bearing and are normally settled on 30-day terms</w:t>
      </w:r>
      <w:r>
        <w:t>.</w:t>
      </w:r>
      <w:r w:rsidRPr="00BE4BB3">
        <w:t xml:space="preserve"> </w:t>
      </w:r>
      <w:r>
        <w:t>T</w:t>
      </w:r>
      <w:r w:rsidRPr="00BE4BB3">
        <w:t>herefore</w:t>
      </w:r>
      <w:r>
        <w:t>,</w:t>
      </w:r>
      <w:r w:rsidRPr="00BE4BB3">
        <w:t xml:space="preserve"> the carrying value of creditors and other payables approximates their fair value</w:t>
      </w:r>
      <w:r>
        <w:t>.</w:t>
      </w:r>
    </w:p>
    <w:tbl>
      <w:tblPr>
        <w:tblStyle w:val="TableGridAnnualReport17"/>
        <w:tblW w:w="9299" w:type="dxa"/>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Creditors and other payables"/>
      </w:tblPr>
      <w:tblGrid>
        <w:gridCol w:w="1133"/>
        <w:gridCol w:w="5183"/>
        <w:gridCol w:w="1272"/>
        <w:gridCol w:w="1711"/>
      </w:tblGrid>
      <w:tr w:rsidR="00DF1795" w14:paraId="5ABCBD74" w14:textId="77777777" w:rsidTr="00506E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 w:type="pct"/>
            <w:hideMark/>
          </w:tcPr>
          <w:p w14:paraId="69AC44BB" w14:textId="05452196" w:rsidR="00B22764" w:rsidRDefault="00DF1795" w:rsidP="00B65749">
            <w:pPr>
              <w:pStyle w:val="Tableheadingrow1"/>
              <w:jc w:val="right"/>
            </w:pPr>
            <w:r w:rsidRPr="00A81238">
              <w:t>30/06/1</w:t>
            </w:r>
            <w:r w:rsidR="00B65749">
              <w:t>9</w:t>
            </w:r>
            <w:r w:rsidRPr="00A81238">
              <w:br/>
              <w:t>Actual</w:t>
            </w:r>
            <w:r w:rsidRPr="00A81238">
              <w:br/>
            </w:r>
            <w:r w:rsidR="00B22764">
              <w:br/>
            </w:r>
          </w:p>
          <w:p w14:paraId="084FAB5F" w14:textId="57FB95BC" w:rsidR="00DF1795" w:rsidRPr="00A81238" w:rsidRDefault="00DF1795" w:rsidP="00B65749">
            <w:pPr>
              <w:pStyle w:val="Tableheadingrow1"/>
              <w:jc w:val="right"/>
            </w:pPr>
            <w:r w:rsidRPr="00A81238">
              <w:t>$(000)</w:t>
            </w:r>
          </w:p>
        </w:tc>
        <w:tc>
          <w:tcPr>
            <w:tcW w:w="2787" w:type="pct"/>
          </w:tcPr>
          <w:p w14:paraId="736E1A4C" w14:textId="77777777"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684" w:type="pct"/>
            <w:hideMark/>
          </w:tcPr>
          <w:p w14:paraId="61F3DE0D" w14:textId="1ABDD20D"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30/06/</w:t>
            </w:r>
            <w:r w:rsidR="00B65749">
              <w:t>20</w:t>
            </w:r>
            <w:r w:rsidRPr="00A81238">
              <w:br/>
              <w:t>Actual</w:t>
            </w:r>
            <w:r w:rsidRPr="00A81238">
              <w:br/>
            </w:r>
            <w:r w:rsidR="00B22764">
              <w:br/>
            </w:r>
          </w:p>
          <w:p w14:paraId="639A9015" w14:textId="77777777"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$(000)</w:t>
            </w:r>
          </w:p>
        </w:tc>
        <w:tc>
          <w:tcPr>
            <w:tcW w:w="920" w:type="pct"/>
          </w:tcPr>
          <w:p w14:paraId="3B965D08" w14:textId="7EC08241"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30/06/2</w:t>
            </w:r>
            <w:r w:rsidR="00B65749">
              <w:t>1</w:t>
            </w:r>
            <w:r w:rsidR="00B22764">
              <w:t xml:space="preserve"> </w:t>
            </w:r>
          </w:p>
          <w:p w14:paraId="31D5684E" w14:textId="468117E1"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Unaudited</w:t>
            </w:r>
            <w:r w:rsidR="00B22764">
              <w:t xml:space="preserve"> </w:t>
            </w:r>
            <w:r>
              <w:t>f</w:t>
            </w:r>
            <w:r w:rsidRPr="00A81238">
              <w:t>orecast IPSAS</w:t>
            </w:r>
            <w:r>
              <w:t>*</w:t>
            </w:r>
          </w:p>
          <w:p w14:paraId="630F3DA5" w14:textId="77777777"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$(000)</w:t>
            </w:r>
          </w:p>
        </w:tc>
      </w:tr>
      <w:tr w:rsidR="00B65749" w14:paraId="1C41F452" w14:textId="77777777"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bottom w:val="single" w:sz="4" w:space="0" w:color="FFFFFF" w:themeColor="background1"/>
            </w:tcBorders>
            <w:shd w:val="clear" w:color="auto" w:fill="E9E9E9"/>
            <w:hideMark/>
          </w:tcPr>
          <w:p w14:paraId="15BCF52B" w14:textId="77777777" w:rsidR="00B65749" w:rsidRPr="00A81238" w:rsidRDefault="00B65749" w:rsidP="00B65749">
            <w:pPr>
              <w:pStyle w:val="Tablebodytextnospaceafter"/>
              <w:jc w:val="right"/>
            </w:pPr>
            <w:r>
              <w:rPr>
                <w:rStyle w:val="Emphasis"/>
                <w:b w:val="0"/>
              </w:rPr>
              <w:t>786</w:t>
            </w:r>
          </w:p>
        </w:tc>
        <w:tc>
          <w:tcPr>
            <w:tcW w:w="2787" w:type="pct"/>
            <w:hideMark/>
          </w:tcPr>
          <w:p w14:paraId="0D1626ED" w14:textId="77777777" w:rsidR="00B65749" w:rsidRPr="00A81238" w:rsidRDefault="00B65749" w:rsidP="00B65749">
            <w:pPr>
              <w:pStyle w:val="Tablebodytextnospaceafter"/>
              <w:cnfStyle w:val="000000100000" w:firstRow="0" w:lastRow="0" w:firstColumn="0" w:lastColumn="0" w:oddVBand="0" w:evenVBand="0" w:oddHBand="1" w:evenHBand="0" w:firstRowFirstColumn="0" w:firstRowLastColumn="0" w:lastRowFirstColumn="0" w:lastRowLastColumn="0"/>
            </w:pPr>
            <w:r w:rsidRPr="00A81238">
              <w:t>Trade creditors</w:t>
            </w:r>
            <w:r w:rsidR="00453F6C">
              <w:t xml:space="preserve"> and other accruals</w:t>
            </w:r>
          </w:p>
        </w:tc>
        <w:tc>
          <w:tcPr>
            <w:tcW w:w="684" w:type="pct"/>
          </w:tcPr>
          <w:p w14:paraId="25DFFD55" w14:textId="77777777" w:rsidR="00B65749" w:rsidRPr="00C11E2B" w:rsidRDefault="00E30919" w:rsidP="00E3091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852</w:t>
            </w:r>
          </w:p>
        </w:tc>
        <w:tc>
          <w:tcPr>
            <w:tcW w:w="920" w:type="pct"/>
          </w:tcPr>
          <w:p w14:paraId="1D06784D" w14:textId="77777777" w:rsidR="00B65749" w:rsidRPr="00645FF4" w:rsidRDefault="009A200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585</w:t>
            </w:r>
          </w:p>
        </w:tc>
      </w:tr>
      <w:tr w:rsidR="00B65749" w14:paraId="2ACCB200" w14:textId="77777777" w:rsidTr="00506E02">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tcBorders>
            <w:shd w:val="clear" w:color="auto" w:fill="E9E9E9"/>
            <w:hideMark/>
          </w:tcPr>
          <w:p w14:paraId="2946B92B" w14:textId="77777777" w:rsidR="00B65749" w:rsidRPr="00A81238" w:rsidRDefault="00B65749" w:rsidP="00B65749">
            <w:pPr>
              <w:pStyle w:val="Tablebodytextnospaceafter"/>
              <w:jc w:val="right"/>
            </w:pPr>
            <w:r>
              <w:rPr>
                <w:rStyle w:val="Emphasis"/>
                <w:b w:val="0"/>
              </w:rPr>
              <w:t>451</w:t>
            </w:r>
          </w:p>
        </w:tc>
        <w:tc>
          <w:tcPr>
            <w:tcW w:w="2787" w:type="pct"/>
            <w:hideMark/>
          </w:tcPr>
          <w:p w14:paraId="193A761F" w14:textId="77777777" w:rsidR="00B65749" w:rsidRPr="00A81238" w:rsidRDefault="00453F6C" w:rsidP="00453F6C">
            <w:pPr>
              <w:pStyle w:val="Tablebodytextnospaceafter"/>
              <w:cnfStyle w:val="000000010000" w:firstRow="0" w:lastRow="0" w:firstColumn="0" w:lastColumn="0" w:oddVBand="0" w:evenVBand="0" w:oddHBand="0" w:evenHBand="1" w:firstRowFirstColumn="0" w:firstRowLastColumn="0" w:lastRowFirstColumn="0" w:lastRowLastColumn="0"/>
            </w:pPr>
            <w:r>
              <w:t>GST Payable</w:t>
            </w:r>
          </w:p>
        </w:tc>
        <w:tc>
          <w:tcPr>
            <w:tcW w:w="684" w:type="pct"/>
            <w:tcBorders>
              <w:bottom w:val="single" w:sz="4" w:space="0" w:color="FFFFFF" w:themeColor="background1"/>
            </w:tcBorders>
          </w:tcPr>
          <w:p w14:paraId="72D25262" w14:textId="77777777" w:rsidR="00B65749" w:rsidRPr="009F1576" w:rsidRDefault="00E3091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407</w:t>
            </w:r>
          </w:p>
        </w:tc>
        <w:tc>
          <w:tcPr>
            <w:tcW w:w="920" w:type="pct"/>
            <w:tcBorders>
              <w:bottom w:val="single" w:sz="4" w:space="0" w:color="FFFFFF" w:themeColor="background1"/>
            </w:tcBorders>
          </w:tcPr>
          <w:p w14:paraId="09AF729D" w14:textId="77777777" w:rsidR="00B65749" w:rsidRPr="00645FF4" w:rsidRDefault="009A200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313</w:t>
            </w:r>
          </w:p>
        </w:tc>
      </w:tr>
      <w:tr w:rsidR="00B65749" w14:paraId="41918171" w14:textId="77777777" w:rsidTr="00506E0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tcBorders>
            <w:hideMark/>
          </w:tcPr>
          <w:p w14:paraId="09D56FFD" w14:textId="77777777" w:rsidR="00B65749" w:rsidRPr="009A2009" w:rsidRDefault="00B65749" w:rsidP="00B65749">
            <w:pPr>
              <w:pStyle w:val="Tablebodytextnospaceafter"/>
              <w:jc w:val="right"/>
              <w:rPr>
                <w:rStyle w:val="Emphasis"/>
                <w:b w:val="0"/>
                <w:u w:val="single"/>
              </w:rPr>
            </w:pPr>
            <w:r w:rsidRPr="009A2009">
              <w:rPr>
                <w:rStyle w:val="Emphasis"/>
                <w:b w:val="0"/>
                <w:u w:val="single"/>
              </w:rPr>
              <w:t>1,237</w:t>
            </w:r>
          </w:p>
        </w:tc>
        <w:tc>
          <w:tcPr>
            <w:tcW w:w="2787" w:type="pct"/>
            <w:shd w:val="clear" w:color="auto" w:fill="BFBFBF"/>
          </w:tcPr>
          <w:p w14:paraId="5C35E30C" w14:textId="77777777" w:rsidR="00B65749" w:rsidRPr="00CC502C" w:rsidRDefault="00B65749" w:rsidP="00B65749">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r w:rsidRPr="00CC502C">
              <w:rPr>
                <w:rStyle w:val="Emphasis"/>
              </w:rPr>
              <w:t>Total creditors and other payables</w:t>
            </w:r>
          </w:p>
        </w:tc>
        <w:tc>
          <w:tcPr>
            <w:tcW w:w="684" w:type="pct"/>
            <w:tcBorders>
              <w:top w:val="single" w:sz="4" w:space="0" w:color="FFFFFF" w:themeColor="background1"/>
              <w:bottom w:val="single" w:sz="4" w:space="0" w:color="FFFFFF" w:themeColor="background1"/>
            </w:tcBorders>
            <w:shd w:val="clear" w:color="auto" w:fill="BFBFBF"/>
          </w:tcPr>
          <w:p w14:paraId="1A542EA9" w14:textId="77777777" w:rsidR="00B65749" w:rsidRPr="009F1576" w:rsidRDefault="00E3091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u w:val="single"/>
              </w:rPr>
            </w:pPr>
            <w:r>
              <w:rPr>
                <w:rStyle w:val="Emphasis"/>
                <w:b w:val="0"/>
                <w:u w:val="single"/>
              </w:rPr>
              <w:t>1,259</w:t>
            </w:r>
          </w:p>
        </w:tc>
        <w:tc>
          <w:tcPr>
            <w:tcW w:w="920" w:type="pct"/>
            <w:tcBorders>
              <w:top w:val="single" w:sz="4" w:space="0" w:color="FFFFFF" w:themeColor="background1"/>
              <w:bottom w:val="single" w:sz="4" w:space="0" w:color="FFFFFF" w:themeColor="background1"/>
            </w:tcBorders>
            <w:shd w:val="clear" w:color="auto" w:fill="BFBFBF"/>
          </w:tcPr>
          <w:p w14:paraId="2A8EC111" w14:textId="77777777" w:rsidR="00B65749" w:rsidRPr="00416AC2" w:rsidRDefault="009A200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u w:val="single"/>
              </w:rPr>
            </w:pPr>
            <w:r>
              <w:rPr>
                <w:u w:val="single"/>
              </w:rPr>
              <w:t>898</w:t>
            </w:r>
          </w:p>
        </w:tc>
      </w:tr>
    </w:tbl>
    <w:p w14:paraId="061FA4D8" w14:textId="77777777" w:rsidR="00DF1795" w:rsidRDefault="00DF1795" w:rsidP="00DF1795">
      <w:pPr>
        <w:pStyle w:val="Whitespace"/>
      </w:pPr>
    </w:p>
    <w:p w14:paraId="0703AF50" w14:textId="77777777" w:rsidR="00DF1795" w:rsidRDefault="00D315BD" w:rsidP="00DF1795">
      <w:pPr>
        <w:pStyle w:val="Heading3"/>
      </w:pPr>
      <w:r>
        <w:t>11</w:t>
      </w:r>
      <w:r w:rsidR="00DF1795" w:rsidRPr="00BE4BB3">
        <w:t>. Return of operating surplus</w:t>
      </w:r>
    </w:p>
    <w:p w14:paraId="3369566C" w14:textId="1AA7EC8A" w:rsidR="00DF1795" w:rsidRPr="00A81238" w:rsidRDefault="00DF1795" w:rsidP="00DF1795">
      <w:pPr>
        <w:pStyle w:val="BodyText"/>
      </w:pPr>
      <w:r w:rsidRPr="00A81238">
        <w:t xml:space="preserve">There is a surplus </w:t>
      </w:r>
      <w:r w:rsidRPr="00E93FDB">
        <w:t xml:space="preserve">of </w:t>
      </w:r>
      <w:r w:rsidR="009A2009">
        <w:t>$1,446,000</w:t>
      </w:r>
      <w:r w:rsidRPr="009F1576">
        <w:t xml:space="preserve"> to be repaid</w:t>
      </w:r>
      <w:r w:rsidRPr="00A81238">
        <w:t xml:space="preserve"> for </w:t>
      </w:r>
      <w:r>
        <w:t xml:space="preserve">the </w:t>
      </w:r>
      <w:r w:rsidRPr="00A81238">
        <w:t>20</w:t>
      </w:r>
      <w:r w:rsidR="00B65749">
        <w:t>20</w:t>
      </w:r>
      <w:r w:rsidRPr="00A81238">
        <w:t xml:space="preserve"> financial year (201</w:t>
      </w:r>
      <w:r w:rsidR="00B65749">
        <w:t>9</w:t>
      </w:r>
      <w:r w:rsidR="00B22764">
        <w:t>,</w:t>
      </w:r>
      <w:r w:rsidRPr="00A81238">
        <w:t xml:space="preserve"> </w:t>
      </w:r>
      <w:r>
        <w:t>$</w:t>
      </w:r>
      <w:r w:rsidR="00B65749">
        <w:t>923</w:t>
      </w:r>
      <w:r>
        <w:t>,000</w:t>
      </w:r>
      <w:r w:rsidRPr="00A81238">
        <w:t xml:space="preserve">). </w:t>
      </w:r>
    </w:p>
    <w:p w14:paraId="6B253636" w14:textId="05EE1A01" w:rsidR="00DF1795" w:rsidRPr="00BE4BB3" w:rsidRDefault="00DF1795" w:rsidP="00DF1795">
      <w:pPr>
        <w:pStyle w:val="Heading3"/>
      </w:pPr>
      <w:r w:rsidRPr="00BE4BB3">
        <w:t>1</w:t>
      </w:r>
      <w:r w:rsidR="00D315BD">
        <w:t>2</w:t>
      </w:r>
      <w:r w:rsidRPr="00BE4BB3">
        <w:t>. Employee entitlements</w:t>
      </w:r>
    </w:p>
    <w:tbl>
      <w:tblPr>
        <w:tblStyle w:val="TableGridAnnualReport18"/>
        <w:tblW w:w="9299" w:type="dxa"/>
        <w:tblInd w:w="0" w:type="dxa"/>
        <w:tblLook w:val="04A0" w:firstRow="1" w:lastRow="0" w:firstColumn="1" w:lastColumn="0" w:noHBand="0" w:noVBand="1"/>
        <w:tblCaption w:val="Employee entitlements"/>
      </w:tblPr>
      <w:tblGrid>
        <w:gridCol w:w="1132"/>
        <w:gridCol w:w="3439"/>
        <w:gridCol w:w="1133"/>
        <w:gridCol w:w="1166"/>
        <w:gridCol w:w="1166"/>
        <w:gridCol w:w="1263"/>
      </w:tblGrid>
      <w:tr w:rsidR="00DF1795" w14:paraId="36C2CF27" w14:textId="77777777" w:rsidTr="00B65749">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hideMark/>
          </w:tcPr>
          <w:p w14:paraId="0D9DB2AD" w14:textId="63EAB52E" w:rsidR="00DF1795" w:rsidRPr="00A81238" w:rsidRDefault="00DF1795" w:rsidP="00506E02">
            <w:pPr>
              <w:pStyle w:val="Tableheadingrow1"/>
              <w:jc w:val="right"/>
            </w:pPr>
            <w:r w:rsidRPr="00A81238">
              <w:t>30/06/</w:t>
            </w:r>
            <w:r w:rsidR="00B65749">
              <w:t>19</w:t>
            </w:r>
            <w:r w:rsidRPr="00A81238">
              <w:br/>
              <w:t>Actual</w:t>
            </w:r>
            <w:r w:rsidR="00B22764">
              <w:br/>
            </w:r>
            <w:r w:rsidRPr="00A81238">
              <w:br/>
            </w:r>
          </w:p>
          <w:p w14:paraId="75DC5077" w14:textId="77777777" w:rsidR="00DF1795" w:rsidRPr="00A81238" w:rsidRDefault="00DF1795" w:rsidP="00506E02">
            <w:pPr>
              <w:pStyle w:val="Tableheadingrow1"/>
              <w:jc w:val="right"/>
            </w:pPr>
            <w:r w:rsidRPr="00A81238">
              <w:t>$(000)</w:t>
            </w:r>
          </w:p>
        </w:tc>
        <w:tc>
          <w:tcPr>
            <w:tcW w:w="1849" w:type="pct"/>
          </w:tcPr>
          <w:p w14:paraId="2007D939" w14:textId="77777777"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609" w:type="pct"/>
            <w:hideMark/>
          </w:tcPr>
          <w:p w14:paraId="68251A13" w14:textId="6738355F"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30/06/</w:t>
            </w:r>
            <w:r w:rsidR="00B65749">
              <w:t>20</w:t>
            </w:r>
            <w:r w:rsidRPr="00A81238">
              <w:br/>
              <w:t>Actual</w:t>
            </w:r>
            <w:r w:rsidRPr="00A81238">
              <w:br/>
            </w:r>
            <w:r w:rsidR="00B22764">
              <w:br/>
            </w:r>
          </w:p>
          <w:p w14:paraId="726637D8" w14:textId="77777777"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$(000)</w:t>
            </w:r>
          </w:p>
        </w:tc>
        <w:tc>
          <w:tcPr>
            <w:tcW w:w="627" w:type="pct"/>
          </w:tcPr>
          <w:p w14:paraId="090D2640" w14:textId="47E8915E"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30/06/</w:t>
            </w:r>
            <w:r w:rsidR="00B65749">
              <w:t>20</w:t>
            </w:r>
            <w:r w:rsidR="00B22764">
              <w:br/>
            </w:r>
            <w:r w:rsidRPr="00A81238">
              <w:t xml:space="preserve">Main </w:t>
            </w:r>
            <w:r>
              <w:t>e</w:t>
            </w:r>
            <w:r w:rsidRPr="00A81238">
              <w:t>stimates</w:t>
            </w:r>
            <w:r w:rsidR="00B22764">
              <w:br/>
            </w:r>
          </w:p>
          <w:p w14:paraId="588126E3" w14:textId="77777777"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$(000)</w:t>
            </w:r>
          </w:p>
        </w:tc>
        <w:tc>
          <w:tcPr>
            <w:tcW w:w="627" w:type="pct"/>
          </w:tcPr>
          <w:p w14:paraId="21347640" w14:textId="10C87C1C"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30/06/</w:t>
            </w:r>
            <w:r w:rsidR="00B65749">
              <w:t>20</w:t>
            </w:r>
            <w:r w:rsidR="00B22764">
              <w:br/>
            </w:r>
            <w:r w:rsidRPr="00A81238">
              <w:t xml:space="preserve">Supp. </w:t>
            </w:r>
            <w:r w:rsidR="00B22764">
              <w:t>E</w:t>
            </w:r>
            <w:r w:rsidRPr="00A81238">
              <w:t>stimates</w:t>
            </w:r>
            <w:r w:rsidR="00B22764">
              <w:br/>
            </w:r>
          </w:p>
          <w:p w14:paraId="74A93DB4" w14:textId="77777777"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$(000)</w:t>
            </w:r>
          </w:p>
        </w:tc>
        <w:tc>
          <w:tcPr>
            <w:tcW w:w="680" w:type="pct"/>
          </w:tcPr>
          <w:p w14:paraId="7380AA72" w14:textId="14B88BC7"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w:t>
            </w:r>
            <w:r w:rsidR="00B65749">
              <w:t>21</w:t>
            </w:r>
            <w:r w:rsidR="00B22764">
              <w:t xml:space="preserve"> </w:t>
            </w:r>
            <w:r w:rsidRPr="00A81238">
              <w:t>Unaudited</w:t>
            </w:r>
            <w:r w:rsidR="00B22764">
              <w:t xml:space="preserve"> </w:t>
            </w:r>
          </w:p>
          <w:p w14:paraId="6E89C7CC" w14:textId="43C66DCA" w:rsidR="00DF1795" w:rsidRPr="00A81238" w:rsidRDefault="00DF1795" w:rsidP="00B22764">
            <w:pPr>
              <w:pStyle w:val="Tableheadingrow1"/>
              <w:jc w:val="right"/>
              <w:cnfStyle w:val="100000000000" w:firstRow="1" w:lastRow="0" w:firstColumn="0" w:lastColumn="0" w:oddVBand="0" w:evenVBand="0" w:oddHBand="0" w:evenHBand="0" w:firstRowFirstColumn="0" w:firstRowLastColumn="0" w:lastRowFirstColumn="0" w:lastRowLastColumn="0"/>
            </w:pPr>
            <w:r>
              <w:t>f</w:t>
            </w:r>
            <w:r w:rsidRPr="00A81238">
              <w:t>orecast IPSAS</w:t>
            </w:r>
            <w:r>
              <w:t>*</w:t>
            </w:r>
            <w:r w:rsidR="00B22764">
              <w:br/>
            </w:r>
            <w:r w:rsidRPr="00A81238">
              <w:t>$(000)</w:t>
            </w:r>
          </w:p>
        </w:tc>
      </w:tr>
      <w:tr w:rsidR="00DF1795" w14:paraId="011B2B05" w14:textId="77777777" w:rsidTr="00B6574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shd w:val="clear" w:color="auto" w:fill="E9E9E9"/>
          </w:tcPr>
          <w:p w14:paraId="6A91D053" w14:textId="77777777" w:rsidR="00DF1795" w:rsidRPr="00A81238" w:rsidRDefault="00DF1795" w:rsidP="00506E02">
            <w:pPr>
              <w:pStyle w:val="Tablebodytextnospaceafter"/>
              <w:jc w:val="right"/>
            </w:pPr>
          </w:p>
        </w:tc>
        <w:tc>
          <w:tcPr>
            <w:tcW w:w="1849" w:type="pct"/>
            <w:hideMark/>
          </w:tcPr>
          <w:p w14:paraId="76F1F317" w14:textId="77777777" w:rsidR="00DF1795" w:rsidRPr="00A81238"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i/>
              </w:rPr>
            </w:pPr>
            <w:r w:rsidRPr="00A81238">
              <w:rPr>
                <w:i/>
              </w:rPr>
              <w:t>Current liabilities</w:t>
            </w:r>
          </w:p>
        </w:tc>
        <w:tc>
          <w:tcPr>
            <w:tcW w:w="609" w:type="pct"/>
          </w:tcPr>
          <w:p w14:paraId="3B07AB9F" w14:textId="77777777" w:rsidR="00DF1795" w:rsidRPr="00CC502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p>
        </w:tc>
        <w:tc>
          <w:tcPr>
            <w:tcW w:w="627" w:type="pct"/>
          </w:tcPr>
          <w:p w14:paraId="304FCCC0" w14:textId="77777777" w:rsidR="00DF1795" w:rsidRPr="00A81238"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627" w:type="pct"/>
          </w:tcPr>
          <w:p w14:paraId="006EC15D" w14:textId="77777777" w:rsidR="00DF1795" w:rsidRPr="00A81238"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c>
          <w:tcPr>
            <w:tcW w:w="680" w:type="pct"/>
          </w:tcPr>
          <w:p w14:paraId="33FCB792" w14:textId="77777777" w:rsidR="00DF1795" w:rsidRPr="00A81238"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r>
      <w:tr w:rsidR="00B65749" w14:paraId="19661145" w14:textId="77777777" w:rsidTr="00B65749">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shd w:val="clear" w:color="auto" w:fill="E9E9E9"/>
            <w:hideMark/>
          </w:tcPr>
          <w:p w14:paraId="0A4E08AB" w14:textId="77777777" w:rsidR="00B65749" w:rsidRPr="00A81238" w:rsidRDefault="00B65749" w:rsidP="00B65749">
            <w:pPr>
              <w:pStyle w:val="Tablebodytextnospaceafter"/>
              <w:jc w:val="right"/>
            </w:pPr>
            <w:r>
              <w:rPr>
                <w:rStyle w:val="Emphasis"/>
                <w:b w:val="0"/>
              </w:rPr>
              <w:t>570</w:t>
            </w:r>
          </w:p>
        </w:tc>
        <w:tc>
          <w:tcPr>
            <w:tcW w:w="1849" w:type="pct"/>
            <w:hideMark/>
          </w:tcPr>
          <w:p w14:paraId="6EAF3989" w14:textId="77777777" w:rsidR="00B65749" w:rsidRPr="00A81238" w:rsidRDefault="00B65749" w:rsidP="00B65749">
            <w:pPr>
              <w:pStyle w:val="Tablebodytextnospaceafter"/>
              <w:cnfStyle w:val="000000010000" w:firstRow="0" w:lastRow="0" w:firstColumn="0" w:lastColumn="0" w:oddVBand="0" w:evenVBand="0" w:oddHBand="0" w:evenHBand="1" w:firstRowFirstColumn="0" w:firstRowLastColumn="0" w:lastRowFirstColumn="0" w:lastRowLastColumn="0"/>
            </w:pPr>
            <w:r w:rsidRPr="00A81238">
              <w:t>Annual leave</w:t>
            </w:r>
          </w:p>
        </w:tc>
        <w:tc>
          <w:tcPr>
            <w:tcW w:w="609" w:type="pct"/>
          </w:tcPr>
          <w:p w14:paraId="533F2D50" w14:textId="77777777" w:rsidR="00B65749" w:rsidRPr="00C11E2B" w:rsidRDefault="009A200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851</w:t>
            </w:r>
          </w:p>
        </w:tc>
        <w:tc>
          <w:tcPr>
            <w:tcW w:w="627" w:type="pct"/>
          </w:tcPr>
          <w:p w14:paraId="39BA294F" w14:textId="77777777" w:rsidR="00B65749" w:rsidRPr="0032768B" w:rsidRDefault="009A200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337</w:t>
            </w:r>
          </w:p>
        </w:tc>
        <w:tc>
          <w:tcPr>
            <w:tcW w:w="627" w:type="pct"/>
          </w:tcPr>
          <w:p w14:paraId="35CF8DF9" w14:textId="77777777" w:rsidR="00B65749" w:rsidRPr="001F0856" w:rsidRDefault="009A200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337</w:t>
            </w:r>
          </w:p>
        </w:tc>
        <w:tc>
          <w:tcPr>
            <w:tcW w:w="680" w:type="pct"/>
          </w:tcPr>
          <w:p w14:paraId="76864DDD" w14:textId="77777777" w:rsidR="00B65749" w:rsidRPr="0032768B" w:rsidRDefault="009A200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599</w:t>
            </w:r>
          </w:p>
        </w:tc>
      </w:tr>
      <w:tr w:rsidR="00B65749" w14:paraId="6B3C4BC7" w14:textId="77777777" w:rsidTr="00B6574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bottom w:val="single" w:sz="8" w:space="0" w:color="FFFFFF" w:themeColor="background1"/>
            </w:tcBorders>
            <w:shd w:val="clear" w:color="auto" w:fill="E9E9E9"/>
            <w:hideMark/>
          </w:tcPr>
          <w:p w14:paraId="7BB152D0" w14:textId="77777777" w:rsidR="00B65749" w:rsidRPr="00A81238" w:rsidRDefault="00B65749" w:rsidP="00B65749">
            <w:pPr>
              <w:pStyle w:val="Tablebodytextnospaceafter"/>
              <w:jc w:val="right"/>
            </w:pPr>
            <w:r>
              <w:rPr>
                <w:rStyle w:val="Emphasis"/>
                <w:b w:val="0"/>
              </w:rPr>
              <w:t>-</w:t>
            </w:r>
          </w:p>
        </w:tc>
        <w:tc>
          <w:tcPr>
            <w:tcW w:w="1849" w:type="pct"/>
            <w:hideMark/>
          </w:tcPr>
          <w:p w14:paraId="5CC2F218" w14:textId="77777777" w:rsidR="00B65749" w:rsidRPr="00A81238" w:rsidRDefault="00B65749" w:rsidP="00B65749">
            <w:pPr>
              <w:pStyle w:val="Tablebodytextnospaceafter"/>
              <w:cnfStyle w:val="000000100000" w:firstRow="0" w:lastRow="0" w:firstColumn="0" w:lastColumn="0" w:oddVBand="0" w:evenVBand="0" w:oddHBand="1" w:evenHBand="0" w:firstRowFirstColumn="0" w:firstRowLastColumn="0" w:lastRowFirstColumn="0" w:lastRowLastColumn="0"/>
            </w:pPr>
            <w:r w:rsidRPr="00A81238">
              <w:t>Long service leave</w:t>
            </w:r>
          </w:p>
        </w:tc>
        <w:tc>
          <w:tcPr>
            <w:tcW w:w="609" w:type="pct"/>
          </w:tcPr>
          <w:p w14:paraId="3DCE585D" w14:textId="77777777" w:rsidR="00B65749" w:rsidRPr="00C11E2B" w:rsidRDefault="009A200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w:t>
            </w:r>
          </w:p>
        </w:tc>
        <w:tc>
          <w:tcPr>
            <w:tcW w:w="627" w:type="pct"/>
          </w:tcPr>
          <w:p w14:paraId="3020B2DD" w14:textId="77777777" w:rsidR="00B65749" w:rsidRPr="0032768B" w:rsidRDefault="009A200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627" w:type="pct"/>
          </w:tcPr>
          <w:p w14:paraId="717AA245" w14:textId="77777777" w:rsidR="00B65749" w:rsidRPr="001F0856" w:rsidRDefault="009A200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c>
          <w:tcPr>
            <w:tcW w:w="680" w:type="pct"/>
          </w:tcPr>
          <w:p w14:paraId="08B0370B" w14:textId="77777777" w:rsidR="00B65749" w:rsidRPr="0032768B" w:rsidRDefault="009A200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r>
      <w:tr w:rsidR="00B65749" w14:paraId="66F71B84" w14:textId="77777777" w:rsidTr="00B65749">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8" w:space="0" w:color="FFFFFF" w:themeColor="background1"/>
              <w:bottom w:val="single" w:sz="4" w:space="0" w:color="FFFFFF" w:themeColor="background1"/>
            </w:tcBorders>
            <w:shd w:val="clear" w:color="auto" w:fill="E9E9E9"/>
            <w:vAlign w:val="center"/>
          </w:tcPr>
          <w:p w14:paraId="033406A2" w14:textId="77777777" w:rsidR="00B65749" w:rsidRPr="00A81238" w:rsidRDefault="00B65749" w:rsidP="00B65749">
            <w:pPr>
              <w:pStyle w:val="Tablebodytextnospaceafter"/>
              <w:jc w:val="right"/>
            </w:pPr>
            <w:r>
              <w:rPr>
                <w:rStyle w:val="Emphasis"/>
                <w:b w:val="0"/>
              </w:rPr>
              <w:t>326</w:t>
            </w:r>
          </w:p>
        </w:tc>
        <w:tc>
          <w:tcPr>
            <w:tcW w:w="1849" w:type="pct"/>
            <w:tcBorders>
              <w:bottom w:val="single" w:sz="2" w:space="0" w:color="FFFFFF" w:themeColor="background1"/>
            </w:tcBorders>
            <w:hideMark/>
          </w:tcPr>
          <w:p w14:paraId="7DEF39B5" w14:textId="77777777" w:rsidR="00B65749" w:rsidRPr="00A81238" w:rsidRDefault="00B65749" w:rsidP="00B65749">
            <w:pPr>
              <w:pStyle w:val="Tablebodytextnospaceafter"/>
              <w:cnfStyle w:val="000000010000" w:firstRow="0" w:lastRow="0" w:firstColumn="0" w:lastColumn="0" w:oddVBand="0" w:evenVBand="0" w:oddHBand="0" w:evenHBand="1" w:firstRowFirstColumn="0" w:firstRowLastColumn="0" w:lastRowFirstColumn="0" w:lastRowLastColumn="0"/>
            </w:pPr>
            <w:r w:rsidRPr="00A81238">
              <w:t>Superannuation, Superannuation Contribution Withholding Tax and salaries</w:t>
            </w:r>
          </w:p>
        </w:tc>
        <w:tc>
          <w:tcPr>
            <w:tcW w:w="609" w:type="pct"/>
            <w:tcBorders>
              <w:bottom w:val="single" w:sz="4" w:space="0" w:color="FFFFFF" w:themeColor="background1"/>
            </w:tcBorders>
            <w:vAlign w:val="center"/>
          </w:tcPr>
          <w:p w14:paraId="5D85D22F" w14:textId="77777777" w:rsidR="00B65749" w:rsidRPr="00C11E2B" w:rsidRDefault="009A200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226</w:t>
            </w:r>
          </w:p>
        </w:tc>
        <w:tc>
          <w:tcPr>
            <w:tcW w:w="627" w:type="pct"/>
            <w:tcBorders>
              <w:bottom w:val="single" w:sz="4" w:space="0" w:color="FFFFFF" w:themeColor="background1"/>
            </w:tcBorders>
          </w:tcPr>
          <w:p w14:paraId="71DD4889" w14:textId="77777777" w:rsidR="00B65749" w:rsidRPr="0032768B" w:rsidRDefault="009A200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130</w:t>
            </w:r>
          </w:p>
        </w:tc>
        <w:tc>
          <w:tcPr>
            <w:tcW w:w="627" w:type="pct"/>
            <w:tcBorders>
              <w:bottom w:val="single" w:sz="4" w:space="0" w:color="FFFFFF" w:themeColor="background1"/>
            </w:tcBorders>
          </w:tcPr>
          <w:p w14:paraId="5134AC73" w14:textId="77777777" w:rsidR="00B65749" w:rsidRPr="001F0856" w:rsidRDefault="009A200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130</w:t>
            </w:r>
          </w:p>
        </w:tc>
        <w:tc>
          <w:tcPr>
            <w:tcW w:w="680" w:type="pct"/>
            <w:tcBorders>
              <w:bottom w:val="single" w:sz="4" w:space="0" w:color="FFFFFF" w:themeColor="background1"/>
            </w:tcBorders>
          </w:tcPr>
          <w:p w14:paraId="6CC89B34" w14:textId="77777777" w:rsidR="00B65749" w:rsidRPr="0032768B" w:rsidRDefault="009A200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352</w:t>
            </w:r>
          </w:p>
        </w:tc>
      </w:tr>
      <w:tr w:rsidR="00B65749" w14:paraId="79960F38" w14:textId="77777777" w:rsidTr="00B6574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0E77A16" w14:textId="77777777" w:rsidR="00B65749" w:rsidRPr="009A2009" w:rsidRDefault="00B65749" w:rsidP="00B65749">
            <w:pPr>
              <w:pStyle w:val="Tablebodytextnospaceafter"/>
              <w:jc w:val="right"/>
              <w:rPr>
                <w:rStyle w:val="Emphasis"/>
                <w:b w:val="0"/>
              </w:rPr>
            </w:pPr>
            <w:r w:rsidRPr="009A2009">
              <w:rPr>
                <w:rStyle w:val="Emphasis"/>
                <w:b w:val="0"/>
              </w:rPr>
              <w:t>896</w:t>
            </w:r>
          </w:p>
        </w:tc>
        <w:tc>
          <w:tcPr>
            <w:tcW w:w="1849" w:type="pct"/>
            <w:tcBorders>
              <w:left w:val="single" w:sz="4" w:space="0" w:color="FFFFFF" w:themeColor="background1"/>
              <w:right w:val="single" w:sz="4" w:space="0" w:color="FFFFFF" w:themeColor="background1"/>
            </w:tcBorders>
            <w:shd w:val="clear" w:color="auto" w:fill="BFBFBF"/>
          </w:tcPr>
          <w:p w14:paraId="3B435D62" w14:textId="77777777" w:rsidR="00B65749" w:rsidRPr="00A81238" w:rsidRDefault="00B65749" w:rsidP="00B65749">
            <w:pPr>
              <w:pStyle w:val="Tablebodytextnospaceafter"/>
              <w:cnfStyle w:val="000000100000" w:firstRow="0" w:lastRow="0" w:firstColumn="0" w:lastColumn="0" w:oddVBand="0" w:evenVBand="0" w:oddHBand="1" w:evenHBand="0" w:firstRowFirstColumn="0" w:firstRowLastColumn="0" w:lastRowFirstColumn="0" w:lastRowLastColumn="0"/>
            </w:pPr>
            <w:r w:rsidRPr="00A81238">
              <w:t>Total current liabilities</w:t>
            </w:r>
          </w:p>
        </w:tc>
        <w:tc>
          <w:tcPr>
            <w:tcW w:w="6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cPr>
          <w:p w14:paraId="226245B4" w14:textId="77777777" w:rsidR="00B65749" w:rsidRPr="00C11E2B" w:rsidRDefault="009A200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1,077</w:t>
            </w:r>
          </w:p>
        </w:tc>
        <w:tc>
          <w:tcPr>
            <w:tcW w:w="6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cPr>
          <w:p w14:paraId="2F18E0B6" w14:textId="77777777" w:rsidR="00B65749" w:rsidRPr="0032768B" w:rsidRDefault="009A200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467</w:t>
            </w:r>
          </w:p>
        </w:tc>
        <w:tc>
          <w:tcPr>
            <w:tcW w:w="6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cPr>
          <w:p w14:paraId="6871632E" w14:textId="77777777" w:rsidR="00B65749" w:rsidRPr="001F0856" w:rsidRDefault="009A200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467</w:t>
            </w:r>
          </w:p>
        </w:tc>
        <w:tc>
          <w:tcPr>
            <w:tcW w:w="680" w:type="pct"/>
            <w:tcBorders>
              <w:top w:val="single" w:sz="4" w:space="0" w:color="FFFFFF" w:themeColor="background1"/>
              <w:left w:val="single" w:sz="4" w:space="0" w:color="FFFFFF" w:themeColor="background1"/>
              <w:bottom w:val="single" w:sz="4" w:space="0" w:color="FFFFFF" w:themeColor="background1"/>
            </w:tcBorders>
            <w:shd w:val="clear" w:color="auto" w:fill="BFBFBF"/>
          </w:tcPr>
          <w:p w14:paraId="60F6DD56" w14:textId="77777777" w:rsidR="00B65749" w:rsidRPr="0032768B" w:rsidRDefault="009A200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951</w:t>
            </w:r>
          </w:p>
        </w:tc>
      </w:tr>
      <w:tr w:rsidR="00B65749" w14:paraId="3A5DFAA3" w14:textId="77777777" w:rsidTr="00B65749">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8" w:space="0" w:color="FFFFFF" w:themeColor="background1"/>
            </w:tcBorders>
            <w:shd w:val="clear" w:color="auto" w:fill="E9E9E9"/>
          </w:tcPr>
          <w:p w14:paraId="0CD2D587" w14:textId="77777777" w:rsidR="00B65749" w:rsidRPr="00A81238" w:rsidRDefault="00B65749" w:rsidP="00B65749">
            <w:pPr>
              <w:pStyle w:val="Tablebodytextnospaceafter"/>
              <w:jc w:val="right"/>
            </w:pPr>
          </w:p>
        </w:tc>
        <w:tc>
          <w:tcPr>
            <w:tcW w:w="1849" w:type="pct"/>
            <w:hideMark/>
          </w:tcPr>
          <w:p w14:paraId="0F564B07" w14:textId="77777777" w:rsidR="00B65749" w:rsidRPr="00CC502C" w:rsidRDefault="00B65749" w:rsidP="00B65749">
            <w:pPr>
              <w:pStyle w:val="Tablebodytextnospaceafter"/>
              <w:cnfStyle w:val="000000010000" w:firstRow="0" w:lastRow="0" w:firstColumn="0" w:lastColumn="0" w:oddVBand="0" w:evenVBand="0" w:oddHBand="0" w:evenHBand="1" w:firstRowFirstColumn="0" w:firstRowLastColumn="0" w:lastRowFirstColumn="0" w:lastRowLastColumn="0"/>
              <w:rPr>
                <w:rStyle w:val="Italics"/>
              </w:rPr>
            </w:pPr>
            <w:r w:rsidRPr="00CC502C">
              <w:rPr>
                <w:rStyle w:val="Italics"/>
              </w:rPr>
              <w:t>Non</w:t>
            </w:r>
            <w:r>
              <w:rPr>
                <w:rStyle w:val="Italics"/>
              </w:rPr>
              <w:t>-</w:t>
            </w:r>
            <w:r w:rsidRPr="00CC502C">
              <w:rPr>
                <w:rStyle w:val="Italics"/>
              </w:rPr>
              <w:t>current liabilities</w:t>
            </w:r>
          </w:p>
        </w:tc>
        <w:tc>
          <w:tcPr>
            <w:tcW w:w="609" w:type="pct"/>
            <w:tcBorders>
              <w:top w:val="single" w:sz="4" w:space="0" w:color="FFFFFF" w:themeColor="background1"/>
              <w:right w:val="single" w:sz="4" w:space="0" w:color="FFFFFF" w:themeColor="background1"/>
            </w:tcBorders>
          </w:tcPr>
          <w:p w14:paraId="7C88FABF" w14:textId="77777777" w:rsidR="00B65749" w:rsidRPr="00C11E2B" w:rsidRDefault="00B6574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p>
        </w:tc>
        <w:tc>
          <w:tcPr>
            <w:tcW w:w="627" w:type="pct"/>
            <w:tcBorders>
              <w:top w:val="single" w:sz="4" w:space="0" w:color="FFFFFF" w:themeColor="background1"/>
              <w:left w:val="single" w:sz="4" w:space="0" w:color="FFFFFF" w:themeColor="background1"/>
              <w:right w:val="single" w:sz="4" w:space="0" w:color="FFFFFF" w:themeColor="background1"/>
            </w:tcBorders>
          </w:tcPr>
          <w:p w14:paraId="2E085BDC" w14:textId="77777777" w:rsidR="00B65749" w:rsidRPr="0032768B" w:rsidRDefault="00B6574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p>
        </w:tc>
        <w:tc>
          <w:tcPr>
            <w:tcW w:w="627" w:type="pct"/>
            <w:tcBorders>
              <w:top w:val="single" w:sz="4" w:space="0" w:color="FFFFFF" w:themeColor="background1"/>
              <w:left w:val="single" w:sz="4" w:space="0" w:color="FFFFFF" w:themeColor="background1"/>
              <w:right w:val="single" w:sz="4" w:space="0" w:color="FFFFFF" w:themeColor="background1"/>
            </w:tcBorders>
          </w:tcPr>
          <w:p w14:paraId="11B8E51C" w14:textId="77777777" w:rsidR="00B65749" w:rsidRPr="001F0856" w:rsidRDefault="00B6574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p>
        </w:tc>
        <w:tc>
          <w:tcPr>
            <w:tcW w:w="680" w:type="pct"/>
            <w:tcBorders>
              <w:top w:val="single" w:sz="4" w:space="0" w:color="FFFFFF" w:themeColor="background1"/>
              <w:left w:val="single" w:sz="4" w:space="0" w:color="FFFFFF" w:themeColor="background1"/>
            </w:tcBorders>
          </w:tcPr>
          <w:p w14:paraId="7D3A2302" w14:textId="77777777" w:rsidR="00B65749" w:rsidRPr="0032768B" w:rsidRDefault="00B6574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p>
        </w:tc>
      </w:tr>
      <w:tr w:rsidR="00B65749" w14:paraId="5B59EF9E" w14:textId="77777777" w:rsidTr="00B6574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8" w:space="0" w:color="FFFFFF" w:themeColor="background1"/>
              <w:bottom w:val="single" w:sz="4" w:space="0" w:color="FFFFFF" w:themeColor="background1"/>
            </w:tcBorders>
            <w:shd w:val="clear" w:color="auto" w:fill="E9E9E9"/>
            <w:hideMark/>
          </w:tcPr>
          <w:p w14:paraId="4265233F" w14:textId="77777777" w:rsidR="00B65749" w:rsidRPr="00A81238" w:rsidRDefault="00B65749" w:rsidP="00B65749">
            <w:pPr>
              <w:pStyle w:val="Tablebodytextnospaceafter"/>
              <w:jc w:val="right"/>
            </w:pPr>
            <w:r>
              <w:rPr>
                <w:rStyle w:val="Emphasis"/>
                <w:b w:val="0"/>
              </w:rPr>
              <w:t>19</w:t>
            </w:r>
          </w:p>
        </w:tc>
        <w:tc>
          <w:tcPr>
            <w:tcW w:w="1849" w:type="pct"/>
            <w:tcBorders>
              <w:bottom w:val="single" w:sz="4" w:space="0" w:color="FFFFFF" w:themeColor="background1"/>
            </w:tcBorders>
            <w:hideMark/>
          </w:tcPr>
          <w:p w14:paraId="3D05EE2C" w14:textId="77777777" w:rsidR="00B65749" w:rsidRPr="00A81238" w:rsidRDefault="00B65749" w:rsidP="00B65749">
            <w:pPr>
              <w:pStyle w:val="Tablebodytextnospaceafter"/>
              <w:cnfStyle w:val="000000100000" w:firstRow="0" w:lastRow="0" w:firstColumn="0" w:lastColumn="0" w:oddVBand="0" w:evenVBand="0" w:oddHBand="1" w:evenHBand="0" w:firstRowFirstColumn="0" w:firstRowLastColumn="0" w:lastRowFirstColumn="0" w:lastRowLastColumn="0"/>
            </w:pPr>
            <w:r w:rsidRPr="00A81238">
              <w:t>Long service leave</w:t>
            </w:r>
          </w:p>
        </w:tc>
        <w:tc>
          <w:tcPr>
            <w:tcW w:w="609" w:type="pct"/>
            <w:tcBorders>
              <w:bottom w:val="single" w:sz="4" w:space="0" w:color="FFFFFF" w:themeColor="background1"/>
            </w:tcBorders>
          </w:tcPr>
          <w:p w14:paraId="278ECFFF" w14:textId="77777777" w:rsidR="00B65749" w:rsidRPr="00C11E2B" w:rsidRDefault="009A200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19</w:t>
            </w:r>
          </w:p>
        </w:tc>
        <w:tc>
          <w:tcPr>
            <w:tcW w:w="627" w:type="pct"/>
            <w:tcBorders>
              <w:bottom w:val="single" w:sz="4" w:space="0" w:color="FFFFFF" w:themeColor="background1"/>
            </w:tcBorders>
          </w:tcPr>
          <w:p w14:paraId="2CCE4474" w14:textId="77777777" w:rsidR="00B65749" w:rsidRPr="0032768B" w:rsidRDefault="009A200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18</w:t>
            </w:r>
          </w:p>
        </w:tc>
        <w:tc>
          <w:tcPr>
            <w:tcW w:w="627" w:type="pct"/>
            <w:tcBorders>
              <w:bottom w:val="single" w:sz="4" w:space="0" w:color="FFFFFF" w:themeColor="background1"/>
            </w:tcBorders>
          </w:tcPr>
          <w:p w14:paraId="0024CF51" w14:textId="77777777" w:rsidR="00B65749" w:rsidRPr="001F0856" w:rsidRDefault="009A200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18</w:t>
            </w:r>
          </w:p>
        </w:tc>
        <w:tc>
          <w:tcPr>
            <w:tcW w:w="680" w:type="pct"/>
            <w:tcBorders>
              <w:bottom w:val="single" w:sz="4" w:space="0" w:color="FFFFFF" w:themeColor="background1"/>
            </w:tcBorders>
          </w:tcPr>
          <w:p w14:paraId="1F31FA3E" w14:textId="77777777" w:rsidR="00B65749" w:rsidRPr="0032768B" w:rsidRDefault="009A200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19</w:t>
            </w:r>
          </w:p>
        </w:tc>
      </w:tr>
      <w:tr w:rsidR="00B65749" w14:paraId="1AE5689D" w14:textId="77777777" w:rsidTr="00B65749">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tcBorders>
            <w:vAlign w:val="center"/>
            <w:hideMark/>
          </w:tcPr>
          <w:p w14:paraId="244A797C" w14:textId="77777777" w:rsidR="00B65749" w:rsidRPr="009A2009" w:rsidRDefault="00B65749" w:rsidP="00B65749">
            <w:pPr>
              <w:pStyle w:val="Tablebodytextnospaceafter"/>
              <w:jc w:val="right"/>
              <w:rPr>
                <w:rStyle w:val="Emphasis"/>
                <w:b w:val="0"/>
                <w:u w:val="single"/>
              </w:rPr>
            </w:pPr>
            <w:r w:rsidRPr="009A2009">
              <w:rPr>
                <w:rStyle w:val="Emphasis"/>
                <w:b w:val="0"/>
                <w:u w:val="single"/>
              </w:rPr>
              <w:t>915</w:t>
            </w:r>
          </w:p>
        </w:tc>
        <w:tc>
          <w:tcPr>
            <w:tcW w:w="1849" w:type="pct"/>
            <w:tcBorders>
              <w:top w:val="single" w:sz="4" w:space="0" w:color="FFFFFF" w:themeColor="background1"/>
              <w:bottom w:val="single" w:sz="4" w:space="0" w:color="FFFFFF" w:themeColor="background1"/>
            </w:tcBorders>
            <w:shd w:val="clear" w:color="auto" w:fill="BFBFBF"/>
            <w:hideMark/>
          </w:tcPr>
          <w:p w14:paraId="582351E7" w14:textId="77777777" w:rsidR="00B65749" w:rsidRPr="00A81238" w:rsidRDefault="00B65749" w:rsidP="00B65749">
            <w:pPr>
              <w:pStyle w:val="Tablebodytextnospaceafter"/>
              <w:cnfStyle w:val="000000010000" w:firstRow="0" w:lastRow="0" w:firstColumn="0" w:lastColumn="0" w:oddVBand="0" w:evenVBand="0" w:oddHBand="0" w:evenHBand="1" w:firstRowFirstColumn="0" w:firstRowLastColumn="0" w:lastRowFirstColumn="0" w:lastRowLastColumn="0"/>
              <w:rPr>
                <w:b/>
              </w:rPr>
            </w:pPr>
            <w:r w:rsidRPr="00A81238">
              <w:rPr>
                <w:b/>
              </w:rPr>
              <w:t>Total for employee entitlements</w:t>
            </w:r>
          </w:p>
        </w:tc>
        <w:tc>
          <w:tcPr>
            <w:tcW w:w="609" w:type="pct"/>
            <w:tcBorders>
              <w:top w:val="single" w:sz="4" w:space="0" w:color="FFFFFF" w:themeColor="background1"/>
              <w:bottom w:val="single" w:sz="4" w:space="0" w:color="FFFFFF" w:themeColor="background1"/>
            </w:tcBorders>
            <w:shd w:val="clear" w:color="auto" w:fill="BFBFBF"/>
            <w:vAlign w:val="center"/>
          </w:tcPr>
          <w:p w14:paraId="5E09EC2C" w14:textId="77777777" w:rsidR="00B65749" w:rsidRPr="00C11E2B" w:rsidRDefault="009A200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u w:val="single"/>
              </w:rPr>
            </w:pPr>
            <w:r>
              <w:rPr>
                <w:rStyle w:val="Emphasis"/>
                <w:b w:val="0"/>
                <w:u w:val="single"/>
              </w:rPr>
              <w:t>1,096</w:t>
            </w:r>
          </w:p>
        </w:tc>
        <w:tc>
          <w:tcPr>
            <w:tcW w:w="627" w:type="pct"/>
            <w:tcBorders>
              <w:top w:val="single" w:sz="4" w:space="0" w:color="FFFFFF" w:themeColor="background1"/>
              <w:bottom w:val="single" w:sz="4" w:space="0" w:color="FFFFFF" w:themeColor="background1"/>
            </w:tcBorders>
            <w:shd w:val="clear" w:color="auto" w:fill="BFBFBF"/>
            <w:vAlign w:val="center"/>
          </w:tcPr>
          <w:p w14:paraId="3DB64B58" w14:textId="77777777" w:rsidR="00B65749" w:rsidRPr="0032768B" w:rsidRDefault="009A200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485</w:t>
            </w:r>
          </w:p>
        </w:tc>
        <w:tc>
          <w:tcPr>
            <w:tcW w:w="627" w:type="pct"/>
            <w:tcBorders>
              <w:top w:val="single" w:sz="4" w:space="0" w:color="FFFFFF" w:themeColor="background1"/>
              <w:bottom w:val="single" w:sz="4" w:space="0" w:color="FFFFFF" w:themeColor="background1"/>
            </w:tcBorders>
            <w:shd w:val="clear" w:color="auto" w:fill="BFBFBF"/>
            <w:vAlign w:val="center"/>
          </w:tcPr>
          <w:p w14:paraId="1575565F" w14:textId="77777777" w:rsidR="00B65749" w:rsidRPr="001F0856" w:rsidRDefault="009A200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485</w:t>
            </w:r>
          </w:p>
        </w:tc>
        <w:tc>
          <w:tcPr>
            <w:tcW w:w="680" w:type="pct"/>
            <w:tcBorders>
              <w:top w:val="single" w:sz="4" w:space="0" w:color="FFFFFF" w:themeColor="background1"/>
              <w:bottom w:val="single" w:sz="4" w:space="0" w:color="FFFFFF" w:themeColor="background1"/>
            </w:tcBorders>
            <w:shd w:val="clear" w:color="auto" w:fill="BFBFBF"/>
            <w:vAlign w:val="center"/>
          </w:tcPr>
          <w:p w14:paraId="517F4776" w14:textId="77777777" w:rsidR="00B65749" w:rsidRPr="0032768B" w:rsidRDefault="009A200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970</w:t>
            </w:r>
          </w:p>
        </w:tc>
      </w:tr>
    </w:tbl>
    <w:p w14:paraId="6DEB1457" w14:textId="77777777" w:rsidR="00DF1795" w:rsidRPr="00E958EC" w:rsidRDefault="00DF1795" w:rsidP="00DF1795">
      <w:pPr>
        <w:pStyle w:val="Whitespace"/>
      </w:pPr>
    </w:p>
    <w:p w14:paraId="6E784E7B" w14:textId="77777777" w:rsidR="00DF1795" w:rsidRPr="00BE4BB3" w:rsidRDefault="00DF1795" w:rsidP="00DF1795">
      <w:pPr>
        <w:pStyle w:val="Heading3"/>
      </w:pPr>
      <w:r w:rsidRPr="00BE4BB3">
        <w:t>1</w:t>
      </w:r>
      <w:r w:rsidR="00D315BD">
        <w:t>3</w:t>
      </w:r>
      <w:r w:rsidRPr="00BE4BB3">
        <w:t xml:space="preserve">. </w:t>
      </w:r>
      <w:r>
        <w:t xml:space="preserve">Equity </w:t>
      </w:r>
      <w:r w:rsidRPr="00BE4BB3">
        <w:t>(Taxpayers’ funds)</w:t>
      </w:r>
    </w:p>
    <w:tbl>
      <w:tblPr>
        <w:tblStyle w:val="TableGridAnnualReport19"/>
        <w:tblW w:w="9299" w:type="dxa"/>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Equity (Taxpayers’ funds)"/>
      </w:tblPr>
      <w:tblGrid>
        <w:gridCol w:w="1133"/>
        <w:gridCol w:w="5284"/>
        <w:gridCol w:w="1441"/>
        <w:gridCol w:w="1441"/>
      </w:tblGrid>
      <w:tr w:rsidR="00DF1795" w14:paraId="751A1BCF" w14:textId="77777777" w:rsidTr="00B65749">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hideMark/>
          </w:tcPr>
          <w:p w14:paraId="1867AEB6" w14:textId="77777777" w:rsidR="00DF1795" w:rsidRDefault="00DF1795" w:rsidP="00506E02">
            <w:pPr>
              <w:pStyle w:val="Tableheadingrow1"/>
              <w:jc w:val="right"/>
            </w:pPr>
            <w:r w:rsidRPr="00A81238">
              <w:t>30/</w:t>
            </w:r>
            <w:r>
              <w:t>0</w:t>
            </w:r>
            <w:r w:rsidRPr="00A81238">
              <w:t>6/</w:t>
            </w:r>
            <w:r w:rsidR="00B65749">
              <w:t>19</w:t>
            </w:r>
            <w:r w:rsidRPr="00A81238">
              <w:br/>
              <w:t>Actual</w:t>
            </w:r>
            <w:r w:rsidRPr="00A81238">
              <w:br/>
            </w:r>
          </w:p>
          <w:p w14:paraId="5CA6307E" w14:textId="77777777" w:rsidR="00DF1795" w:rsidRDefault="00DF1795" w:rsidP="00506E02">
            <w:pPr>
              <w:pStyle w:val="Tableheadingrow1"/>
              <w:jc w:val="right"/>
            </w:pPr>
          </w:p>
          <w:p w14:paraId="6E9F2A56" w14:textId="77777777" w:rsidR="00DF1795" w:rsidRPr="00A81238" w:rsidRDefault="00DF1795" w:rsidP="00506E02">
            <w:pPr>
              <w:pStyle w:val="Tableheadingrow1"/>
              <w:jc w:val="right"/>
            </w:pPr>
            <w:r w:rsidRPr="00A81238">
              <w:t>$(000)</w:t>
            </w:r>
          </w:p>
        </w:tc>
        <w:tc>
          <w:tcPr>
            <w:tcW w:w="2841" w:type="pct"/>
          </w:tcPr>
          <w:p w14:paraId="6B2819E7" w14:textId="77777777"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775" w:type="pct"/>
            <w:hideMark/>
          </w:tcPr>
          <w:p w14:paraId="7C76AC13" w14:textId="2A2F25AF"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30/06/</w:t>
            </w:r>
            <w:r w:rsidR="00B65749">
              <w:t>20</w:t>
            </w:r>
            <w:r w:rsidRPr="00A81238">
              <w:br/>
              <w:t>Actual</w:t>
            </w:r>
            <w:r w:rsidRPr="00A81238">
              <w:br/>
            </w:r>
          </w:p>
          <w:p w14:paraId="6FB44A2A" w14:textId="77777777"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14:paraId="728E116F" w14:textId="77777777"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$(000)</w:t>
            </w:r>
          </w:p>
        </w:tc>
        <w:tc>
          <w:tcPr>
            <w:tcW w:w="775" w:type="pct"/>
          </w:tcPr>
          <w:p w14:paraId="4F3FC9FB" w14:textId="1DEC9721"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w:t>
            </w:r>
            <w:r w:rsidR="00B65749">
              <w:t>21</w:t>
            </w:r>
            <w:r w:rsidR="00B22764">
              <w:t xml:space="preserve"> </w:t>
            </w:r>
          </w:p>
          <w:p w14:paraId="5D34895C" w14:textId="5892F1E2"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Unaudited</w:t>
            </w:r>
            <w:r w:rsidR="00B22764">
              <w:t xml:space="preserve"> </w:t>
            </w:r>
          </w:p>
          <w:p w14:paraId="1709FC20" w14:textId="0DB26A5B" w:rsidR="00DF1795" w:rsidRPr="00A81238" w:rsidRDefault="00DF1795" w:rsidP="00B22764">
            <w:pPr>
              <w:pStyle w:val="Tableheadingrow1"/>
              <w:jc w:val="right"/>
              <w:cnfStyle w:val="100000000000" w:firstRow="1" w:lastRow="0" w:firstColumn="0" w:lastColumn="0" w:oddVBand="0" w:evenVBand="0" w:oddHBand="0" w:evenHBand="0" w:firstRowFirstColumn="0" w:firstRowLastColumn="0" w:lastRowFirstColumn="0" w:lastRowLastColumn="0"/>
            </w:pPr>
            <w:r>
              <w:t>f</w:t>
            </w:r>
            <w:r w:rsidRPr="00A81238">
              <w:t>orecast IPSAS</w:t>
            </w:r>
            <w:r>
              <w:t>*</w:t>
            </w:r>
            <w:r w:rsidR="00B22764">
              <w:br/>
            </w:r>
            <w:r w:rsidRPr="00A81238">
              <w:t>$(000)</w:t>
            </w:r>
          </w:p>
        </w:tc>
      </w:tr>
      <w:tr w:rsidR="00DF1795" w14:paraId="20ABEC6B" w14:textId="77777777" w:rsidTr="00B6574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bottom w:val="single" w:sz="4" w:space="0" w:color="FFFFFF" w:themeColor="background1"/>
            </w:tcBorders>
          </w:tcPr>
          <w:p w14:paraId="05A9B948" w14:textId="77777777" w:rsidR="00DF1795" w:rsidRPr="00A81238" w:rsidRDefault="00DF1795" w:rsidP="00506E02">
            <w:pPr>
              <w:pStyle w:val="Tablebodytextnospaceafter"/>
              <w:jc w:val="right"/>
            </w:pPr>
          </w:p>
        </w:tc>
        <w:tc>
          <w:tcPr>
            <w:tcW w:w="2841" w:type="pct"/>
            <w:shd w:val="clear" w:color="auto" w:fill="BFBFBF"/>
            <w:hideMark/>
          </w:tcPr>
          <w:p w14:paraId="5B35B3FB" w14:textId="77777777" w:rsidR="00DF1795" w:rsidRPr="00964535"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r w:rsidRPr="00964535">
              <w:rPr>
                <w:rStyle w:val="Emphasis"/>
              </w:rPr>
              <w:t>General Funds</w:t>
            </w:r>
          </w:p>
        </w:tc>
        <w:tc>
          <w:tcPr>
            <w:tcW w:w="775" w:type="pct"/>
            <w:shd w:val="clear" w:color="auto" w:fill="BFBFBF"/>
          </w:tcPr>
          <w:p w14:paraId="36468032" w14:textId="77777777" w:rsidR="00DF1795" w:rsidRPr="00CC502C"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p>
        </w:tc>
        <w:tc>
          <w:tcPr>
            <w:tcW w:w="775" w:type="pct"/>
            <w:shd w:val="clear" w:color="auto" w:fill="BFBFBF"/>
          </w:tcPr>
          <w:p w14:paraId="49B0DA1A" w14:textId="77777777" w:rsidR="00DF1795" w:rsidRPr="00A81238" w:rsidRDefault="00DF1795" w:rsidP="00506E02">
            <w:pPr>
              <w:pStyle w:val="Tablebodytextnospaceafter"/>
              <w:jc w:val="right"/>
              <w:cnfStyle w:val="000000100000" w:firstRow="0" w:lastRow="0" w:firstColumn="0" w:lastColumn="0" w:oddVBand="0" w:evenVBand="0" w:oddHBand="1" w:evenHBand="0" w:firstRowFirstColumn="0" w:firstRowLastColumn="0" w:lastRowFirstColumn="0" w:lastRowLastColumn="0"/>
            </w:pPr>
          </w:p>
        </w:tc>
      </w:tr>
      <w:tr w:rsidR="00B65749" w14:paraId="0862F4AC" w14:textId="77777777" w:rsidTr="00B65749">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tcBorders>
            <w:shd w:val="clear" w:color="auto" w:fill="E9E9E9"/>
          </w:tcPr>
          <w:p w14:paraId="7E997798" w14:textId="77777777" w:rsidR="00B65749" w:rsidRPr="00A81238" w:rsidRDefault="00B65749" w:rsidP="00B65749">
            <w:pPr>
              <w:pStyle w:val="Tablebodytextnospaceafter"/>
              <w:jc w:val="right"/>
            </w:pPr>
            <w:r>
              <w:rPr>
                <w:rStyle w:val="Emphasis"/>
                <w:b w:val="0"/>
              </w:rPr>
              <w:t>4,442</w:t>
            </w:r>
          </w:p>
        </w:tc>
        <w:tc>
          <w:tcPr>
            <w:tcW w:w="2841" w:type="pct"/>
            <w:hideMark/>
          </w:tcPr>
          <w:p w14:paraId="608E014C" w14:textId="77777777" w:rsidR="00B65749" w:rsidRPr="00A81238" w:rsidRDefault="00B65749" w:rsidP="00B65749">
            <w:pPr>
              <w:pStyle w:val="Tablebodytextnospaceafter"/>
              <w:cnfStyle w:val="000000010000" w:firstRow="0" w:lastRow="0" w:firstColumn="0" w:lastColumn="0" w:oddVBand="0" w:evenVBand="0" w:oddHBand="0" w:evenHBand="1" w:firstRowFirstColumn="0" w:firstRowLastColumn="0" w:lastRowFirstColumn="0" w:lastRowLastColumn="0"/>
            </w:pPr>
            <w:r w:rsidRPr="00A81238">
              <w:t>Balance at 1 July</w:t>
            </w:r>
          </w:p>
        </w:tc>
        <w:tc>
          <w:tcPr>
            <w:tcW w:w="775" w:type="pct"/>
          </w:tcPr>
          <w:p w14:paraId="42D49CD9" w14:textId="77777777" w:rsidR="00B65749" w:rsidRPr="00C11E2B" w:rsidRDefault="009A200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6,763</w:t>
            </w:r>
          </w:p>
        </w:tc>
        <w:tc>
          <w:tcPr>
            <w:tcW w:w="775" w:type="pct"/>
          </w:tcPr>
          <w:p w14:paraId="7191FB4F" w14:textId="77777777" w:rsidR="00B65749" w:rsidRPr="004E21E3" w:rsidRDefault="009A200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8,645</w:t>
            </w:r>
          </w:p>
        </w:tc>
      </w:tr>
      <w:tr w:rsidR="00B65749" w14:paraId="7E20CABF" w14:textId="77777777" w:rsidTr="00B6574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tcBorders>
            <w:shd w:val="clear" w:color="auto" w:fill="E9E9E9"/>
          </w:tcPr>
          <w:p w14:paraId="57511E69" w14:textId="77777777" w:rsidR="00B65749" w:rsidRPr="00A81238" w:rsidRDefault="00B65749" w:rsidP="00B65749">
            <w:pPr>
              <w:pStyle w:val="Tablebodytextnospaceafter"/>
              <w:jc w:val="right"/>
            </w:pPr>
            <w:r w:rsidRPr="005213AA">
              <w:rPr>
                <w:rStyle w:val="Emphasis"/>
                <w:b w:val="0"/>
              </w:rPr>
              <w:t>923</w:t>
            </w:r>
          </w:p>
        </w:tc>
        <w:tc>
          <w:tcPr>
            <w:tcW w:w="2841" w:type="pct"/>
            <w:hideMark/>
          </w:tcPr>
          <w:p w14:paraId="5E087743" w14:textId="77777777" w:rsidR="00B65749" w:rsidRPr="00A81238" w:rsidRDefault="00B65749" w:rsidP="00B65749">
            <w:pPr>
              <w:pStyle w:val="Tablebodytextnospaceafter"/>
              <w:cnfStyle w:val="000000100000" w:firstRow="0" w:lastRow="0" w:firstColumn="0" w:lastColumn="0" w:oddVBand="0" w:evenVBand="0" w:oddHBand="1" w:evenHBand="0" w:firstRowFirstColumn="0" w:firstRowLastColumn="0" w:lastRowFirstColumn="0" w:lastRowLastColumn="0"/>
            </w:pPr>
            <w:r w:rsidRPr="00A81238">
              <w:t>Net operating surplus</w:t>
            </w:r>
          </w:p>
        </w:tc>
        <w:tc>
          <w:tcPr>
            <w:tcW w:w="775" w:type="pct"/>
          </w:tcPr>
          <w:p w14:paraId="05D42C5F" w14:textId="77777777" w:rsidR="00B65749" w:rsidRPr="005213AA" w:rsidRDefault="009A200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highlight w:val="cyan"/>
              </w:rPr>
            </w:pPr>
            <w:r w:rsidRPr="009A2009">
              <w:rPr>
                <w:rStyle w:val="Emphasis"/>
                <w:b w:val="0"/>
              </w:rPr>
              <w:t>1,446</w:t>
            </w:r>
          </w:p>
        </w:tc>
        <w:tc>
          <w:tcPr>
            <w:tcW w:w="775" w:type="pct"/>
          </w:tcPr>
          <w:p w14:paraId="37B6E29F" w14:textId="77777777" w:rsidR="00B65749" w:rsidRPr="004E21E3" w:rsidRDefault="009A200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r>
      <w:tr w:rsidR="00B65749" w14:paraId="59BCD0A5" w14:textId="77777777" w:rsidTr="00B65749">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tcBorders>
            <w:shd w:val="clear" w:color="auto" w:fill="E9E9E9"/>
          </w:tcPr>
          <w:p w14:paraId="4B0EEB2F" w14:textId="77777777" w:rsidR="00B65749" w:rsidRPr="00A81238" w:rsidRDefault="00B65749" w:rsidP="00B65749">
            <w:pPr>
              <w:pStyle w:val="Tablebodytextnospaceafter"/>
              <w:jc w:val="right"/>
            </w:pPr>
            <w:r>
              <w:rPr>
                <w:rStyle w:val="Emphasis"/>
                <w:b w:val="0"/>
              </w:rPr>
              <w:t>2,321</w:t>
            </w:r>
          </w:p>
        </w:tc>
        <w:tc>
          <w:tcPr>
            <w:tcW w:w="2841" w:type="pct"/>
            <w:hideMark/>
          </w:tcPr>
          <w:p w14:paraId="16615633" w14:textId="77777777" w:rsidR="00B65749" w:rsidRPr="00A81238" w:rsidRDefault="00B65749" w:rsidP="00B65749">
            <w:pPr>
              <w:pStyle w:val="Tablebodytextnospaceafter"/>
              <w:cnfStyle w:val="000000010000" w:firstRow="0" w:lastRow="0" w:firstColumn="0" w:lastColumn="0" w:oddVBand="0" w:evenVBand="0" w:oddHBand="0" w:evenHBand="1" w:firstRowFirstColumn="0" w:firstRowLastColumn="0" w:lastRowFirstColumn="0" w:lastRowLastColumn="0"/>
            </w:pPr>
            <w:r w:rsidRPr="00A81238">
              <w:t>Capital injections</w:t>
            </w:r>
          </w:p>
        </w:tc>
        <w:tc>
          <w:tcPr>
            <w:tcW w:w="775" w:type="pct"/>
          </w:tcPr>
          <w:p w14:paraId="2F349A20" w14:textId="77777777" w:rsidR="00B65749" w:rsidRPr="009F1576" w:rsidRDefault="009A200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1,882</w:t>
            </w:r>
          </w:p>
        </w:tc>
        <w:tc>
          <w:tcPr>
            <w:tcW w:w="775" w:type="pct"/>
          </w:tcPr>
          <w:p w14:paraId="10098EED" w14:textId="77777777" w:rsidR="00B65749" w:rsidRPr="004E21E3" w:rsidRDefault="009A200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pPr>
            <w:r>
              <w:t>1,256</w:t>
            </w:r>
          </w:p>
        </w:tc>
      </w:tr>
      <w:tr w:rsidR="00B65749" w14:paraId="3D68F142" w14:textId="77777777" w:rsidTr="00B6574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tcBorders>
            <w:shd w:val="clear" w:color="auto" w:fill="E9E9E9"/>
          </w:tcPr>
          <w:p w14:paraId="3B9D2CC6" w14:textId="77777777" w:rsidR="00B65749" w:rsidRPr="00A81238" w:rsidRDefault="00B65749" w:rsidP="00B65749">
            <w:pPr>
              <w:pStyle w:val="Tablebodytextnospaceafter"/>
              <w:jc w:val="right"/>
            </w:pPr>
            <w:r w:rsidRPr="005213AA">
              <w:rPr>
                <w:rStyle w:val="Emphasis"/>
                <w:b w:val="0"/>
              </w:rPr>
              <w:t>(923)</w:t>
            </w:r>
          </w:p>
        </w:tc>
        <w:tc>
          <w:tcPr>
            <w:tcW w:w="2841" w:type="pct"/>
            <w:tcBorders>
              <w:bottom w:val="single" w:sz="4" w:space="0" w:color="FFFFFF" w:themeColor="background1"/>
            </w:tcBorders>
            <w:hideMark/>
          </w:tcPr>
          <w:p w14:paraId="17CB71D0" w14:textId="77777777" w:rsidR="00B65749" w:rsidRPr="00A81238" w:rsidRDefault="00B65749" w:rsidP="00B65749">
            <w:pPr>
              <w:pStyle w:val="Tablebodytextnospaceafter"/>
              <w:cnfStyle w:val="000000100000" w:firstRow="0" w:lastRow="0" w:firstColumn="0" w:lastColumn="0" w:oddVBand="0" w:evenVBand="0" w:oddHBand="1" w:evenHBand="0" w:firstRowFirstColumn="0" w:firstRowLastColumn="0" w:lastRowFirstColumn="0" w:lastRowLastColumn="0"/>
            </w:pPr>
            <w:r w:rsidRPr="00A81238">
              <w:t>Provision for repayment of surplus to the Crown</w:t>
            </w:r>
          </w:p>
        </w:tc>
        <w:tc>
          <w:tcPr>
            <w:tcW w:w="775" w:type="pct"/>
            <w:tcBorders>
              <w:bottom w:val="single" w:sz="4" w:space="0" w:color="FFFFFF" w:themeColor="background1"/>
            </w:tcBorders>
          </w:tcPr>
          <w:p w14:paraId="72D9EFC8" w14:textId="77777777" w:rsidR="00B65749" w:rsidRPr="009F1576" w:rsidRDefault="009A200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(1,446)</w:t>
            </w:r>
          </w:p>
        </w:tc>
        <w:tc>
          <w:tcPr>
            <w:tcW w:w="775" w:type="pct"/>
            <w:tcBorders>
              <w:bottom w:val="single" w:sz="4" w:space="0" w:color="FFFFFF" w:themeColor="background1"/>
            </w:tcBorders>
          </w:tcPr>
          <w:p w14:paraId="2DD0C6D7" w14:textId="77777777" w:rsidR="00B65749" w:rsidRPr="004E21E3" w:rsidRDefault="009A200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pPr>
            <w:r>
              <w:t>-</w:t>
            </w:r>
          </w:p>
        </w:tc>
      </w:tr>
      <w:tr w:rsidR="00B65749" w14:paraId="3BFDD046" w14:textId="77777777" w:rsidTr="00B65749">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09" w:type="pct"/>
            <w:tcBorders>
              <w:top w:val="single" w:sz="4" w:space="0" w:color="FFFFFF" w:themeColor="background1"/>
              <w:bottom w:val="single" w:sz="4" w:space="0" w:color="FFFFFF" w:themeColor="background1"/>
            </w:tcBorders>
          </w:tcPr>
          <w:p w14:paraId="7DFC51EE" w14:textId="77777777" w:rsidR="00B65749" w:rsidRPr="00BF1A16" w:rsidRDefault="00B65749" w:rsidP="00B65749">
            <w:pPr>
              <w:pStyle w:val="Tablebodytextnospaceafter"/>
              <w:jc w:val="right"/>
              <w:rPr>
                <w:rStyle w:val="Emphasis"/>
                <w:b w:val="0"/>
                <w:u w:val="single"/>
              </w:rPr>
            </w:pPr>
            <w:r w:rsidRPr="00BF1A16">
              <w:rPr>
                <w:rStyle w:val="Emphasis"/>
                <w:b w:val="0"/>
                <w:u w:val="single"/>
              </w:rPr>
              <w:t>6,763</w:t>
            </w:r>
          </w:p>
        </w:tc>
        <w:tc>
          <w:tcPr>
            <w:tcW w:w="2841" w:type="pct"/>
            <w:tcBorders>
              <w:top w:val="single" w:sz="4" w:space="0" w:color="FFFFFF" w:themeColor="background1"/>
              <w:bottom w:val="single" w:sz="4" w:space="0" w:color="FFFFFF" w:themeColor="background1"/>
            </w:tcBorders>
            <w:shd w:val="clear" w:color="auto" w:fill="BFBFBF"/>
            <w:hideMark/>
          </w:tcPr>
          <w:p w14:paraId="53E01950" w14:textId="77777777" w:rsidR="00B65749" w:rsidRPr="00964535" w:rsidRDefault="00B65749" w:rsidP="00B65749">
            <w:pPr>
              <w:pStyle w:val="Tablebodytextnospaceafter"/>
              <w:cnfStyle w:val="000000010000" w:firstRow="0" w:lastRow="0" w:firstColumn="0" w:lastColumn="0" w:oddVBand="0" w:evenVBand="0" w:oddHBand="0" w:evenHBand="1" w:firstRowFirstColumn="0" w:firstRowLastColumn="0" w:lastRowFirstColumn="0" w:lastRowLastColumn="0"/>
              <w:rPr>
                <w:rStyle w:val="Emphasis"/>
              </w:rPr>
            </w:pPr>
            <w:r w:rsidRPr="00964535">
              <w:rPr>
                <w:rStyle w:val="Emphasis"/>
              </w:rPr>
              <w:t>Total Equity at 30 June</w:t>
            </w:r>
          </w:p>
        </w:tc>
        <w:tc>
          <w:tcPr>
            <w:tcW w:w="775" w:type="pct"/>
            <w:tcBorders>
              <w:top w:val="single" w:sz="4" w:space="0" w:color="FFFFFF" w:themeColor="background1"/>
              <w:bottom w:val="single" w:sz="4" w:space="0" w:color="FFFFFF" w:themeColor="background1"/>
            </w:tcBorders>
            <w:shd w:val="clear" w:color="auto" w:fill="BFBFBF"/>
          </w:tcPr>
          <w:p w14:paraId="5737E3A9" w14:textId="77777777" w:rsidR="00B65749" w:rsidRPr="00C11E2B" w:rsidRDefault="009A200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u w:val="single"/>
              </w:rPr>
            </w:pPr>
            <w:r>
              <w:rPr>
                <w:rStyle w:val="Emphasis"/>
                <w:b w:val="0"/>
                <w:u w:val="single"/>
              </w:rPr>
              <w:t>8,645</w:t>
            </w:r>
          </w:p>
        </w:tc>
        <w:tc>
          <w:tcPr>
            <w:tcW w:w="775" w:type="pct"/>
            <w:tcBorders>
              <w:top w:val="single" w:sz="4" w:space="0" w:color="FFFFFF" w:themeColor="background1"/>
              <w:bottom w:val="single" w:sz="4" w:space="0" w:color="FFFFFF" w:themeColor="background1"/>
            </w:tcBorders>
            <w:shd w:val="clear" w:color="auto" w:fill="BFBFBF"/>
          </w:tcPr>
          <w:p w14:paraId="16259CD2" w14:textId="77777777" w:rsidR="00B65749" w:rsidRPr="004E21E3" w:rsidRDefault="009A2009"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u w:val="single"/>
              </w:rPr>
            </w:pPr>
            <w:r>
              <w:rPr>
                <w:u w:val="single"/>
              </w:rPr>
              <w:t>9,901</w:t>
            </w:r>
          </w:p>
        </w:tc>
      </w:tr>
    </w:tbl>
    <w:p w14:paraId="132BD8D0" w14:textId="77777777" w:rsidR="00DF1795" w:rsidRPr="00E958EC" w:rsidRDefault="00DF1795" w:rsidP="00DF1795">
      <w:pPr>
        <w:pStyle w:val="Whitespace"/>
      </w:pPr>
    </w:p>
    <w:p w14:paraId="14294CB3" w14:textId="77777777" w:rsidR="00DF1795" w:rsidRDefault="00D315BD" w:rsidP="00DF1795">
      <w:pPr>
        <w:pStyle w:val="Heading3"/>
        <w:spacing w:after="240"/>
      </w:pPr>
      <w:r>
        <w:t>14</w:t>
      </w:r>
      <w:r w:rsidR="00DF1795" w:rsidRPr="00717CA2">
        <w:t>. Financial instruments</w:t>
      </w:r>
    </w:p>
    <w:p w14:paraId="0F703E28" w14:textId="77777777" w:rsidR="00DF1795" w:rsidRPr="00BE4BB3" w:rsidRDefault="00DF1795" w:rsidP="00DF1795">
      <w:pPr>
        <w:pStyle w:val="Heading4"/>
        <w:spacing w:before="240"/>
      </w:pPr>
      <w:r w:rsidRPr="00BE4BB3">
        <w:t>Categories of financial instruments</w:t>
      </w:r>
    </w:p>
    <w:tbl>
      <w:tblPr>
        <w:tblStyle w:val="TableGridAnnualReport20"/>
        <w:tblW w:w="9299" w:type="dxa"/>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Caption w:val="Financial instruments - categories of financial instruments"/>
      </w:tblPr>
      <w:tblGrid>
        <w:gridCol w:w="1124"/>
        <w:gridCol w:w="6150"/>
        <w:gridCol w:w="2025"/>
      </w:tblGrid>
      <w:tr w:rsidR="00DF1795" w14:paraId="0F38D040" w14:textId="77777777" w:rsidTr="00506E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4" w:type="dxa"/>
            <w:hideMark/>
          </w:tcPr>
          <w:p w14:paraId="600D30D0" w14:textId="77777777" w:rsidR="00DF1795" w:rsidRPr="00A81238" w:rsidRDefault="00DF1795" w:rsidP="00B65749">
            <w:pPr>
              <w:pStyle w:val="Tableheadingrow1"/>
              <w:jc w:val="right"/>
            </w:pPr>
            <w:r w:rsidRPr="00A81238">
              <w:t>Actual</w:t>
            </w:r>
            <w:r w:rsidRPr="00A81238">
              <w:br/>
              <w:t>20</w:t>
            </w:r>
            <w:r w:rsidR="00B65749">
              <w:t>19</w:t>
            </w:r>
            <w:r w:rsidRPr="00A81238">
              <w:br/>
              <w:t>$(000)</w:t>
            </w:r>
          </w:p>
        </w:tc>
        <w:tc>
          <w:tcPr>
            <w:tcW w:w="6150" w:type="dxa"/>
          </w:tcPr>
          <w:p w14:paraId="751682D0" w14:textId="77777777" w:rsidR="00DF1795" w:rsidRPr="00A81238"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2025" w:type="dxa"/>
            <w:hideMark/>
          </w:tcPr>
          <w:p w14:paraId="7BA54AF0" w14:textId="77777777" w:rsidR="00DF1795" w:rsidRPr="00A81238" w:rsidRDefault="00DF1795" w:rsidP="00B65749">
            <w:pPr>
              <w:pStyle w:val="Tableheadingrow1"/>
              <w:jc w:val="right"/>
              <w:cnfStyle w:val="100000000000" w:firstRow="1" w:lastRow="0" w:firstColumn="0" w:lastColumn="0" w:oddVBand="0" w:evenVBand="0" w:oddHBand="0" w:evenHBand="0" w:firstRowFirstColumn="0" w:firstRowLastColumn="0" w:lastRowFirstColumn="0" w:lastRowLastColumn="0"/>
            </w:pPr>
            <w:r w:rsidRPr="00A81238">
              <w:t>Actual</w:t>
            </w:r>
            <w:r w:rsidRPr="00A81238">
              <w:br/>
              <w:t>20</w:t>
            </w:r>
            <w:r w:rsidR="00B65749">
              <w:t>20</w:t>
            </w:r>
            <w:r w:rsidRPr="00A81238">
              <w:br/>
              <w:t>$(000)</w:t>
            </w:r>
          </w:p>
        </w:tc>
      </w:tr>
      <w:tr w:rsidR="00DF1795" w14:paraId="065AB287" w14:textId="77777777" w:rsidTr="00506E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4" w:type="dxa"/>
            <w:tcBorders>
              <w:bottom w:val="single" w:sz="8" w:space="0" w:color="FFFFFF" w:themeColor="background1"/>
            </w:tcBorders>
          </w:tcPr>
          <w:p w14:paraId="1199F2DB" w14:textId="77777777" w:rsidR="00DF1795" w:rsidRPr="00A81238" w:rsidRDefault="00DF1795" w:rsidP="00506E02">
            <w:pPr>
              <w:pStyle w:val="Tablebodytextnospaceafter"/>
            </w:pPr>
          </w:p>
        </w:tc>
        <w:tc>
          <w:tcPr>
            <w:tcW w:w="6150" w:type="dxa"/>
            <w:shd w:val="clear" w:color="auto" w:fill="BFBFBF"/>
            <w:hideMark/>
          </w:tcPr>
          <w:p w14:paraId="5A067999" w14:textId="77777777" w:rsidR="00DF1795" w:rsidRPr="00964535"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r w:rsidRPr="00964535">
              <w:rPr>
                <w:rStyle w:val="Emphasis"/>
              </w:rPr>
              <w:t>Loans and receivables</w:t>
            </w:r>
          </w:p>
        </w:tc>
        <w:tc>
          <w:tcPr>
            <w:tcW w:w="2025" w:type="dxa"/>
            <w:shd w:val="clear" w:color="auto" w:fill="BFBFBF"/>
          </w:tcPr>
          <w:p w14:paraId="4573CBB5" w14:textId="77777777" w:rsidR="00DF1795" w:rsidRPr="00964535"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p>
        </w:tc>
      </w:tr>
      <w:tr w:rsidR="00B65749" w14:paraId="56C605E7" w14:textId="77777777" w:rsidTr="00506E0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4" w:type="dxa"/>
            <w:tcBorders>
              <w:bottom w:val="single" w:sz="8" w:space="0" w:color="FFFFFF" w:themeColor="background1"/>
            </w:tcBorders>
            <w:shd w:val="clear" w:color="auto" w:fill="E9E9E9"/>
          </w:tcPr>
          <w:p w14:paraId="607F9B5D" w14:textId="77777777" w:rsidR="00B65749" w:rsidRPr="00964535" w:rsidRDefault="00B65749" w:rsidP="00B65749">
            <w:pPr>
              <w:pStyle w:val="Tablebodytextnospaceafter"/>
              <w:jc w:val="right"/>
            </w:pPr>
            <w:r>
              <w:rPr>
                <w:rStyle w:val="Emphasis"/>
                <w:b w:val="0"/>
              </w:rPr>
              <w:t>7,622</w:t>
            </w:r>
          </w:p>
        </w:tc>
        <w:tc>
          <w:tcPr>
            <w:tcW w:w="6150" w:type="dxa"/>
            <w:hideMark/>
          </w:tcPr>
          <w:p w14:paraId="1A783314" w14:textId="77777777" w:rsidR="00B65749" w:rsidRPr="00A81238" w:rsidRDefault="00B65749" w:rsidP="00B65749">
            <w:pPr>
              <w:pStyle w:val="Tablebodytextnospaceafter"/>
              <w:cnfStyle w:val="000000010000" w:firstRow="0" w:lastRow="0" w:firstColumn="0" w:lastColumn="0" w:oddVBand="0" w:evenVBand="0" w:oddHBand="0" w:evenHBand="1" w:firstRowFirstColumn="0" w:firstRowLastColumn="0" w:lastRowFirstColumn="0" w:lastRowLastColumn="0"/>
            </w:pPr>
            <w:r w:rsidRPr="00A81238">
              <w:t>Cash and cash equivalents</w:t>
            </w:r>
          </w:p>
        </w:tc>
        <w:tc>
          <w:tcPr>
            <w:tcW w:w="2025" w:type="dxa"/>
          </w:tcPr>
          <w:p w14:paraId="104C3626" w14:textId="77777777" w:rsidR="00B65749" w:rsidRPr="00C11E2B" w:rsidRDefault="00BF1A16"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9,921</w:t>
            </w:r>
          </w:p>
        </w:tc>
      </w:tr>
      <w:tr w:rsidR="00B65749" w14:paraId="584C6665" w14:textId="77777777" w:rsidTr="00506E0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4" w:type="dxa"/>
            <w:tcBorders>
              <w:bottom w:val="single" w:sz="4" w:space="0" w:color="FFFFFF" w:themeColor="background1"/>
            </w:tcBorders>
            <w:shd w:val="clear" w:color="auto" w:fill="E9E9E9"/>
          </w:tcPr>
          <w:p w14:paraId="05DD4E4E" w14:textId="77777777" w:rsidR="00B65749" w:rsidRPr="00964535" w:rsidRDefault="00B65749" w:rsidP="00B65749">
            <w:pPr>
              <w:pStyle w:val="Tablebodytextnospaceafter"/>
              <w:jc w:val="right"/>
            </w:pPr>
            <w:r>
              <w:rPr>
                <w:rStyle w:val="Emphasis"/>
                <w:b w:val="0"/>
              </w:rPr>
              <w:t>-</w:t>
            </w:r>
          </w:p>
        </w:tc>
        <w:tc>
          <w:tcPr>
            <w:tcW w:w="6150" w:type="dxa"/>
            <w:hideMark/>
          </w:tcPr>
          <w:p w14:paraId="1611C295" w14:textId="7C048B33" w:rsidR="00B65749" w:rsidRPr="00A81238" w:rsidRDefault="00B65749" w:rsidP="004A55B3">
            <w:pPr>
              <w:pStyle w:val="Tablebodytextnospaceafter"/>
              <w:cnfStyle w:val="000000100000" w:firstRow="0" w:lastRow="0" w:firstColumn="0" w:lastColumn="0" w:oddVBand="0" w:evenVBand="0" w:oddHBand="1" w:evenHBand="0" w:firstRowFirstColumn="0" w:firstRowLastColumn="0" w:lastRowFirstColumn="0" w:lastRowLastColumn="0"/>
            </w:pPr>
            <w:r w:rsidRPr="00A81238">
              <w:t xml:space="preserve">Debtors and other receivables (note </w:t>
            </w:r>
            <w:r w:rsidR="004A55B3">
              <w:t>7</w:t>
            </w:r>
            <w:r w:rsidRPr="00A81238">
              <w:t>)</w:t>
            </w:r>
          </w:p>
        </w:tc>
        <w:tc>
          <w:tcPr>
            <w:tcW w:w="2025" w:type="dxa"/>
            <w:tcBorders>
              <w:bottom w:val="single" w:sz="4" w:space="0" w:color="FFFFFF" w:themeColor="background1"/>
            </w:tcBorders>
          </w:tcPr>
          <w:p w14:paraId="4262831A" w14:textId="77777777" w:rsidR="00B65749" w:rsidRPr="00C11E2B" w:rsidRDefault="00BF1A16"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24</w:t>
            </w:r>
          </w:p>
        </w:tc>
      </w:tr>
      <w:tr w:rsidR="00B65749" w14:paraId="4412FFB4" w14:textId="77777777" w:rsidTr="00506E0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4" w:type="dxa"/>
            <w:tcBorders>
              <w:top w:val="single" w:sz="4" w:space="0" w:color="FFFFFF" w:themeColor="background1"/>
              <w:bottom w:val="single" w:sz="4" w:space="0" w:color="FFFFFF" w:themeColor="background1"/>
            </w:tcBorders>
            <w:shd w:val="clear" w:color="auto" w:fill="E9E9E9"/>
          </w:tcPr>
          <w:p w14:paraId="06010464" w14:textId="77777777" w:rsidR="00B65749" w:rsidRPr="00964535" w:rsidRDefault="00B65749" w:rsidP="00B65749">
            <w:pPr>
              <w:pStyle w:val="Tablebodytextnospaceafter"/>
              <w:jc w:val="right"/>
            </w:pPr>
            <w:r>
              <w:rPr>
                <w:rStyle w:val="Emphasis"/>
                <w:b w:val="0"/>
              </w:rPr>
              <w:t>7,622</w:t>
            </w:r>
          </w:p>
        </w:tc>
        <w:tc>
          <w:tcPr>
            <w:tcW w:w="6150" w:type="dxa"/>
          </w:tcPr>
          <w:p w14:paraId="70121FAE" w14:textId="77777777" w:rsidR="00B65749" w:rsidRPr="00A81238" w:rsidRDefault="00B65749" w:rsidP="00B65749">
            <w:pPr>
              <w:pStyle w:val="Tablebodytextnospaceafter"/>
              <w:cnfStyle w:val="000000010000" w:firstRow="0" w:lastRow="0" w:firstColumn="0" w:lastColumn="0" w:oddVBand="0" w:evenVBand="0" w:oddHBand="0" w:evenHBand="1" w:firstRowFirstColumn="0" w:firstRowLastColumn="0" w:lastRowFirstColumn="0" w:lastRowLastColumn="0"/>
              <w:rPr>
                <w:b/>
              </w:rPr>
            </w:pPr>
            <w:r w:rsidRPr="00A81238">
              <w:rPr>
                <w:b/>
              </w:rPr>
              <w:t>Total</w:t>
            </w:r>
          </w:p>
        </w:tc>
        <w:tc>
          <w:tcPr>
            <w:tcW w:w="2025" w:type="dxa"/>
            <w:tcBorders>
              <w:top w:val="single" w:sz="4" w:space="0" w:color="FFFFFF" w:themeColor="background1"/>
              <w:bottom w:val="single" w:sz="4" w:space="0" w:color="FFFFFF" w:themeColor="background1"/>
            </w:tcBorders>
          </w:tcPr>
          <w:p w14:paraId="02564EA0" w14:textId="77777777" w:rsidR="00B65749" w:rsidRPr="00C11E2B" w:rsidRDefault="00BF1A16"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9,945</w:t>
            </w:r>
          </w:p>
        </w:tc>
      </w:tr>
      <w:tr w:rsidR="00B65749" w14:paraId="705272AB" w14:textId="77777777" w:rsidTr="00506E0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4" w:type="dxa"/>
            <w:tcBorders>
              <w:top w:val="single" w:sz="4" w:space="0" w:color="FFFFFF" w:themeColor="background1"/>
              <w:bottom w:val="single" w:sz="8" w:space="0" w:color="FFFFFF" w:themeColor="background1"/>
            </w:tcBorders>
          </w:tcPr>
          <w:p w14:paraId="27E88359" w14:textId="77777777" w:rsidR="00B65749" w:rsidRPr="00964535" w:rsidRDefault="00B65749" w:rsidP="00B65749">
            <w:pPr>
              <w:pStyle w:val="Tablebodytextnospaceafter"/>
              <w:jc w:val="right"/>
            </w:pPr>
          </w:p>
        </w:tc>
        <w:tc>
          <w:tcPr>
            <w:tcW w:w="6150" w:type="dxa"/>
            <w:shd w:val="clear" w:color="auto" w:fill="BFBFBF"/>
            <w:hideMark/>
          </w:tcPr>
          <w:p w14:paraId="1E03A77B" w14:textId="77777777" w:rsidR="00B65749" w:rsidRPr="00964535" w:rsidRDefault="00B65749" w:rsidP="00B65749">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r w:rsidRPr="00964535">
              <w:rPr>
                <w:rStyle w:val="Emphasis"/>
              </w:rPr>
              <w:t>Financial liabilities measured at amortised cost</w:t>
            </w:r>
          </w:p>
        </w:tc>
        <w:tc>
          <w:tcPr>
            <w:tcW w:w="2025" w:type="dxa"/>
            <w:tcBorders>
              <w:top w:val="single" w:sz="4" w:space="0" w:color="FFFFFF" w:themeColor="background1"/>
            </w:tcBorders>
            <w:shd w:val="clear" w:color="auto" w:fill="BFBFBF"/>
          </w:tcPr>
          <w:p w14:paraId="0D3CCB5D" w14:textId="77777777" w:rsidR="00B65749" w:rsidRPr="00964535" w:rsidRDefault="00B65749"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rPr>
            </w:pPr>
          </w:p>
        </w:tc>
      </w:tr>
      <w:tr w:rsidR="00B65749" w:rsidRPr="009F1576" w14:paraId="44DE2419" w14:textId="77777777" w:rsidTr="00506E0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4" w:type="dxa"/>
            <w:tcBorders>
              <w:bottom w:val="single" w:sz="8" w:space="0" w:color="FFFFFF" w:themeColor="background1"/>
            </w:tcBorders>
            <w:shd w:val="clear" w:color="auto" w:fill="E9E9E9"/>
          </w:tcPr>
          <w:p w14:paraId="2605F9B1" w14:textId="77777777" w:rsidR="00B65749" w:rsidRPr="00964535" w:rsidRDefault="00B65749" w:rsidP="00B65749">
            <w:pPr>
              <w:pStyle w:val="Tablebodytextnospaceafter"/>
              <w:jc w:val="right"/>
            </w:pPr>
            <w:r>
              <w:rPr>
                <w:rStyle w:val="Emphasis"/>
                <w:b w:val="0"/>
              </w:rPr>
              <w:t>1,237</w:t>
            </w:r>
          </w:p>
        </w:tc>
        <w:tc>
          <w:tcPr>
            <w:tcW w:w="6150" w:type="dxa"/>
            <w:hideMark/>
          </w:tcPr>
          <w:p w14:paraId="4E48C09C" w14:textId="555D1F62" w:rsidR="00B65749" w:rsidRPr="00A81238" w:rsidRDefault="00B65749" w:rsidP="004A55B3">
            <w:pPr>
              <w:pStyle w:val="Tablebodytextnospaceafter"/>
              <w:cnfStyle w:val="000000010000" w:firstRow="0" w:lastRow="0" w:firstColumn="0" w:lastColumn="0" w:oddVBand="0" w:evenVBand="0" w:oddHBand="0" w:evenHBand="1" w:firstRowFirstColumn="0" w:firstRowLastColumn="0" w:lastRowFirstColumn="0" w:lastRowLastColumn="0"/>
            </w:pPr>
            <w:r w:rsidRPr="00A81238">
              <w:t xml:space="preserve">Creditors and other payables (note </w:t>
            </w:r>
            <w:r w:rsidR="004A55B3">
              <w:t>10</w:t>
            </w:r>
            <w:r w:rsidRPr="00A81238">
              <w:t>)</w:t>
            </w:r>
          </w:p>
        </w:tc>
        <w:tc>
          <w:tcPr>
            <w:tcW w:w="2025" w:type="dxa"/>
          </w:tcPr>
          <w:p w14:paraId="5811FB2F" w14:textId="77777777" w:rsidR="00B65749" w:rsidRPr="009F1576" w:rsidRDefault="00622B6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1,259</w:t>
            </w:r>
          </w:p>
        </w:tc>
      </w:tr>
      <w:tr w:rsidR="00B65749" w:rsidRPr="009F1576" w14:paraId="2D9B6E71" w14:textId="77777777" w:rsidTr="00506E0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4" w:type="dxa"/>
            <w:tcBorders>
              <w:bottom w:val="single" w:sz="4" w:space="0" w:color="FFFFFF" w:themeColor="background1"/>
            </w:tcBorders>
            <w:shd w:val="clear" w:color="auto" w:fill="E9E9E9"/>
          </w:tcPr>
          <w:p w14:paraId="191BADBF" w14:textId="77777777" w:rsidR="00B65749" w:rsidRPr="00964535" w:rsidRDefault="00B65749" w:rsidP="00B65749">
            <w:pPr>
              <w:pStyle w:val="Tablebodytextnospaceafter"/>
              <w:jc w:val="right"/>
            </w:pPr>
            <w:r>
              <w:rPr>
                <w:rStyle w:val="Emphasis"/>
                <w:b w:val="0"/>
              </w:rPr>
              <w:t>915</w:t>
            </w:r>
          </w:p>
        </w:tc>
        <w:tc>
          <w:tcPr>
            <w:tcW w:w="6150" w:type="dxa"/>
            <w:hideMark/>
          </w:tcPr>
          <w:p w14:paraId="55E549FC" w14:textId="7089D62E" w:rsidR="00B65749" w:rsidRPr="00A81238" w:rsidRDefault="00B65749" w:rsidP="004A55B3">
            <w:pPr>
              <w:pStyle w:val="Tablebodytextnospaceafter"/>
              <w:cnfStyle w:val="000000100000" w:firstRow="0" w:lastRow="0" w:firstColumn="0" w:lastColumn="0" w:oddVBand="0" w:evenVBand="0" w:oddHBand="1" w:evenHBand="0" w:firstRowFirstColumn="0" w:firstRowLastColumn="0" w:lastRowFirstColumn="0" w:lastRowLastColumn="0"/>
            </w:pPr>
            <w:r w:rsidRPr="00A81238">
              <w:t xml:space="preserve">Employee entitlements (note </w:t>
            </w:r>
            <w:r w:rsidR="004A55B3">
              <w:t>12</w:t>
            </w:r>
            <w:r w:rsidRPr="00A81238">
              <w:t>)</w:t>
            </w:r>
          </w:p>
        </w:tc>
        <w:tc>
          <w:tcPr>
            <w:tcW w:w="2025" w:type="dxa"/>
            <w:tcBorders>
              <w:bottom w:val="single" w:sz="4" w:space="0" w:color="FFFFFF" w:themeColor="background1"/>
            </w:tcBorders>
          </w:tcPr>
          <w:p w14:paraId="58541AF8" w14:textId="77777777" w:rsidR="00B65749" w:rsidRPr="009F1576" w:rsidRDefault="00BF1A16"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1,077</w:t>
            </w:r>
          </w:p>
        </w:tc>
      </w:tr>
      <w:tr w:rsidR="00B65749" w:rsidRPr="009F1576" w14:paraId="6F3E9EEB" w14:textId="77777777" w:rsidTr="00506E0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4" w:type="dxa"/>
            <w:tcBorders>
              <w:top w:val="single" w:sz="4" w:space="0" w:color="FFFFFF" w:themeColor="background1"/>
              <w:bottom w:val="single" w:sz="4" w:space="0" w:color="FFFFFF" w:themeColor="background1"/>
            </w:tcBorders>
          </w:tcPr>
          <w:p w14:paraId="3EE8B06E" w14:textId="77777777" w:rsidR="00B65749" w:rsidRPr="00797C71" w:rsidRDefault="00B65749" w:rsidP="00B65749">
            <w:pPr>
              <w:pStyle w:val="Tablebodytextnospaceafter"/>
              <w:jc w:val="right"/>
              <w:rPr>
                <w:rStyle w:val="Emphasis"/>
                <w:u w:val="single"/>
              </w:rPr>
            </w:pPr>
            <w:r w:rsidRPr="00797C71">
              <w:rPr>
                <w:rStyle w:val="Emphasis"/>
                <w:u w:val="single"/>
              </w:rPr>
              <w:t>2,152</w:t>
            </w:r>
          </w:p>
        </w:tc>
        <w:tc>
          <w:tcPr>
            <w:tcW w:w="6150" w:type="dxa"/>
            <w:shd w:val="clear" w:color="auto" w:fill="BFBFBF"/>
          </w:tcPr>
          <w:p w14:paraId="7FC53B75" w14:textId="77777777" w:rsidR="00B65749" w:rsidRPr="00A81238" w:rsidRDefault="00B65749" w:rsidP="00B65749">
            <w:pPr>
              <w:pStyle w:val="Tablebodytextnospaceafter"/>
              <w:cnfStyle w:val="000000010000" w:firstRow="0" w:lastRow="0" w:firstColumn="0" w:lastColumn="0" w:oddVBand="0" w:evenVBand="0" w:oddHBand="0" w:evenHBand="1" w:firstRowFirstColumn="0" w:firstRowLastColumn="0" w:lastRowFirstColumn="0" w:lastRowLastColumn="0"/>
              <w:rPr>
                <w:b/>
              </w:rPr>
            </w:pPr>
            <w:r w:rsidRPr="00A81238">
              <w:rPr>
                <w:b/>
              </w:rPr>
              <w:t>Total</w:t>
            </w:r>
          </w:p>
        </w:tc>
        <w:tc>
          <w:tcPr>
            <w:tcW w:w="2025" w:type="dxa"/>
            <w:tcBorders>
              <w:top w:val="single" w:sz="4" w:space="0" w:color="FFFFFF" w:themeColor="background1"/>
              <w:bottom w:val="single" w:sz="4" w:space="0" w:color="FFFFFF" w:themeColor="background1"/>
            </w:tcBorders>
            <w:shd w:val="clear" w:color="auto" w:fill="BFBFBF"/>
          </w:tcPr>
          <w:p w14:paraId="4C86ECFE" w14:textId="77777777" w:rsidR="00B65749" w:rsidRPr="009F1576" w:rsidRDefault="00622B6E"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u w:val="single"/>
              </w:rPr>
            </w:pPr>
            <w:r>
              <w:rPr>
                <w:rStyle w:val="Emphasis"/>
                <w:b w:val="0"/>
                <w:u w:val="single"/>
              </w:rPr>
              <w:t>2,336</w:t>
            </w:r>
          </w:p>
        </w:tc>
      </w:tr>
    </w:tbl>
    <w:p w14:paraId="5063849F" w14:textId="77777777" w:rsidR="00DF1795" w:rsidRDefault="00DF1795" w:rsidP="00DF1795">
      <w:pPr>
        <w:pStyle w:val="Whitespace"/>
      </w:pPr>
    </w:p>
    <w:p w14:paraId="14E3AD4B" w14:textId="77777777" w:rsidR="00DF1795" w:rsidRPr="00A81238" w:rsidRDefault="00DF1795" w:rsidP="00DF1795">
      <w:pPr>
        <w:pStyle w:val="BodyText"/>
      </w:pPr>
      <w:r>
        <w:t>T</w:t>
      </w:r>
      <w:r w:rsidRPr="00A81238">
        <w:t>he carrying value of cash and cash equivalents approximates their fair value.</w:t>
      </w:r>
    </w:p>
    <w:p w14:paraId="7D7BCE70" w14:textId="77777777" w:rsidR="00DF1795" w:rsidRPr="00BE4BB3" w:rsidRDefault="00DF1795" w:rsidP="00DF1795">
      <w:pPr>
        <w:pStyle w:val="Heading3"/>
      </w:pPr>
      <w:r w:rsidRPr="00BE4BB3">
        <w:t>1</w:t>
      </w:r>
      <w:r w:rsidR="00D315BD">
        <w:t>5</w:t>
      </w:r>
      <w:r w:rsidRPr="00BE4BB3">
        <w:t>. Related party information</w:t>
      </w:r>
    </w:p>
    <w:p w14:paraId="11ABA7BC" w14:textId="77777777" w:rsidR="00DF1795" w:rsidRPr="000F40EF" w:rsidRDefault="00DF1795" w:rsidP="00DF1795">
      <w:pPr>
        <w:pStyle w:val="BodyText"/>
      </w:pPr>
      <w:r w:rsidRPr="000F40EF">
        <w:t>The Office is a wholly-owned e</w:t>
      </w:r>
      <w:r w:rsidR="00BF1A16" w:rsidRPr="000F40EF">
        <w:t>ntity of the Crown. The Ombudsma</w:t>
      </w:r>
      <w:r w:rsidRPr="000F40EF">
        <w:t>n act</w:t>
      </w:r>
      <w:r w:rsidR="00BF1A16" w:rsidRPr="000F40EF">
        <w:t>s</w:t>
      </w:r>
      <w:r w:rsidRPr="000F40EF">
        <w:t xml:space="preserve"> independently</w:t>
      </w:r>
      <w:r w:rsidR="00D77031">
        <w:t>, and the</w:t>
      </w:r>
      <w:r w:rsidR="00A32595">
        <w:t xml:space="preserve"> Office’s main source of revenue </w:t>
      </w:r>
      <w:r w:rsidR="00A64F4D">
        <w:t xml:space="preserve">is </w:t>
      </w:r>
      <w:r w:rsidR="00D77031">
        <w:t>Parliament.</w:t>
      </w:r>
    </w:p>
    <w:p w14:paraId="014E9352" w14:textId="77777777" w:rsidR="00DF1795" w:rsidRPr="000F40EF" w:rsidRDefault="00DF1795" w:rsidP="00DF1795">
      <w:pPr>
        <w:pStyle w:val="BodyText"/>
      </w:pPr>
      <w:r w:rsidRPr="000F40EF">
        <w:t>Related party disclosures have not been made for transactions with related parties that are within a normal supplier/recipient relationship on terms and conditions no more or less favourable than those that it is reasonable to expect the Office would have adopted in dealing with the party at arm’s length in the same circumstances. Further, transactions with government agencies (for example, government departments and Crown Entities) are not disclosed as related party transactions when they are consistent with the normal operating arrangements between government agencies and undertaken on the normal terms and conditions for such transactions.</w:t>
      </w:r>
    </w:p>
    <w:p w14:paraId="3E7650DC" w14:textId="77777777" w:rsidR="00DF1795" w:rsidRPr="001421EB" w:rsidRDefault="00DF1795" w:rsidP="00DF1795">
      <w:pPr>
        <w:pStyle w:val="BodyText"/>
      </w:pPr>
      <w:r w:rsidRPr="000F40EF">
        <w:t>All related party transactions have been entered into on an arm’s length basis.</w:t>
      </w:r>
    </w:p>
    <w:p w14:paraId="5C08D7DF" w14:textId="77777777" w:rsidR="00DF1795" w:rsidRPr="001421EB" w:rsidRDefault="00DF1795" w:rsidP="00DF1795">
      <w:pPr>
        <w:pStyle w:val="Heading4"/>
      </w:pPr>
      <w:r w:rsidRPr="001421EB">
        <w:t>Key management personnel compensation</w:t>
      </w:r>
    </w:p>
    <w:p w14:paraId="5A4E640C" w14:textId="77777777" w:rsidR="00DF1795" w:rsidRDefault="00DF1795" w:rsidP="00DF1795">
      <w:pPr>
        <w:pStyle w:val="BodyText"/>
      </w:pPr>
      <w:r w:rsidRPr="001421EB">
        <w:t xml:space="preserve">Remuneration and benefits of the senior management staff of </w:t>
      </w:r>
      <w:r w:rsidRPr="007E1D36">
        <w:t>the Office</w:t>
      </w:r>
      <w:r w:rsidRPr="001421EB">
        <w:t xml:space="preserve"> amounted to the following. </w:t>
      </w:r>
    </w:p>
    <w:tbl>
      <w:tblPr>
        <w:tblStyle w:val="TableGridAnnualReport21"/>
        <w:tblW w:w="9299" w:type="dxa"/>
        <w:tblInd w:w="0" w:type="dxa"/>
        <w:tblLayout w:type="fixed"/>
        <w:tblLook w:val="04A0" w:firstRow="1" w:lastRow="0" w:firstColumn="1" w:lastColumn="0" w:noHBand="0" w:noVBand="1"/>
        <w:tblCaption w:val="Key management personnel compensation"/>
      </w:tblPr>
      <w:tblGrid>
        <w:gridCol w:w="1037"/>
        <w:gridCol w:w="5057"/>
        <w:gridCol w:w="3205"/>
      </w:tblGrid>
      <w:tr w:rsidR="00DF1795" w14:paraId="2E506257" w14:textId="77777777" w:rsidTr="00506E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37" w:type="dxa"/>
            <w:hideMark/>
          </w:tcPr>
          <w:p w14:paraId="0C60F8A1" w14:textId="77777777" w:rsidR="00DF1795" w:rsidRPr="004A6C04" w:rsidRDefault="00DF1795" w:rsidP="00B65749">
            <w:pPr>
              <w:pStyle w:val="Tableheadingrow1"/>
              <w:jc w:val="right"/>
            </w:pPr>
            <w:r w:rsidRPr="004A6C04">
              <w:t>Actual</w:t>
            </w:r>
            <w:r w:rsidRPr="004A6C04">
              <w:br/>
              <w:t>20</w:t>
            </w:r>
            <w:r w:rsidR="00B65749">
              <w:t>19</w:t>
            </w:r>
            <w:r w:rsidRPr="004A6C04">
              <w:br/>
              <w:t>$(000)</w:t>
            </w:r>
          </w:p>
        </w:tc>
        <w:tc>
          <w:tcPr>
            <w:tcW w:w="5057" w:type="dxa"/>
          </w:tcPr>
          <w:p w14:paraId="7F2EEAE9" w14:textId="77777777"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3205" w:type="dxa"/>
            <w:hideMark/>
          </w:tcPr>
          <w:p w14:paraId="45F6F636" w14:textId="77777777" w:rsidR="00DF1795" w:rsidRPr="004A6C04" w:rsidRDefault="00DF1795" w:rsidP="00B65749">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t>Actual</w:t>
            </w:r>
            <w:r w:rsidRPr="004A6C04">
              <w:br/>
              <w:t>20</w:t>
            </w:r>
            <w:r w:rsidR="00B65749">
              <w:t>20</w:t>
            </w:r>
            <w:r w:rsidRPr="004A6C04">
              <w:br/>
              <w:t>$(000)</w:t>
            </w:r>
          </w:p>
        </w:tc>
      </w:tr>
      <w:tr w:rsidR="00DF1795" w14:paraId="67514134" w14:textId="77777777" w:rsidTr="00506E0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37" w:type="dxa"/>
            <w:tcBorders>
              <w:bottom w:val="single" w:sz="8" w:space="0" w:color="FFFFFF" w:themeColor="background1"/>
            </w:tcBorders>
            <w:shd w:val="clear" w:color="auto" w:fill="E9E9E9"/>
            <w:hideMark/>
          </w:tcPr>
          <w:p w14:paraId="5CD96C96" w14:textId="77777777" w:rsidR="00DF1795" w:rsidRPr="004A6C04" w:rsidRDefault="00DF1795" w:rsidP="00506E02">
            <w:pPr>
              <w:pStyle w:val="Tablebodytextnospaceafter"/>
            </w:pPr>
          </w:p>
        </w:tc>
        <w:tc>
          <w:tcPr>
            <w:tcW w:w="5057" w:type="dxa"/>
            <w:hideMark/>
          </w:tcPr>
          <w:p w14:paraId="1C278D30" w14:textId="77777777" w:rsidR="00DF1795" w:rsidRPr="004A6C04"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rPr>
                <w:rStyle w:val="Emphasis"/>
              </w:rPr>
            </w:pPr>
            <w:r w:rsidRPr="004A6C04">
              <w:rPr>
                <w:rStyle w:val="Emphasis"/>
              </w:rPr>
              <w:t>Leadership Team, including the Chief Ombudsman</w:t>
            </w:r>
          </w:p>
        </w:tc>
        <w:tc>
          <w:tcPr>
            <w:tcW w:w="3205" w:type="dxa"/>
            <w:hideMark/>
          </w:tcPr>
          <w:p w14:paraId="346023FC" w14:textId="77777777" w:rsidR="00DF1795" w:rsidRPr="004A6C04" w:rsidRDefault="00DF1795" w:rsidP="00506E02">
            <w:pPr>
              <w:pStyle w:val="Tablebodytextnospaceafter"/>
              <w:cnfStyle w:val="000000100000" w:firstRow="0" w:lastRow="0" w:firstColumn="0" w:lastColumn="0" w:oddVBand="0" w:evenVBand="0" w:oddHBand="1" w:evenHBand="0" w:firstRowFirstColumn="0" w:firstRowLastColumn="0" w:lastRowFirstColumn="0" w:lastRowLastColumn="0"/>
            </w:pPr>
          </w:p>
        </w:tc>
      </w:tr>
      <w:tr w:rsidR="00B65749" w14:paraId="17B6AA10" w14:textId="77777777" w:rsidTr="00506E0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37" w:type="dxa"/>
            <w:tcBorders>
              <w:top w:val="single" w:sz="4" w:space="0" w:color="FFFFFF" w:themeColor="background1"/>
              <w:bottom w:val="single" w:sz="8" w:space="0" w:color="FFFFFF" w:themeColor="background1"/>
            </w:tcBorders>
            <w:shd w:val="clear" w:color="auto" w:fill="E9E9E9"/>
            <w:hideMark/>
          </w:tcPr>
          <w:p w14:paraId="333F4CBF" w14:textId="77777777" w:rsidR="00B65749" w:rsidRPr="004A6C04" w:rsidRDefault="00B65749" w:rsidP="00B65749">
            <w:pPr>
              <w:pStyle w:val="Tablebodytextnospaceafter"/>
              <w:jc w:val="right"/>
            </w:pPr>
            <w:r>
              <w:rPr>
                <w:rStyle w:val="Emphasis"/>
                <w:b w:val="0"/>
              </w:rPr>
              <w:t>944</w:t>
            </w:r>
          </w:p>
        </w:tc>
        <w:tc>
          <w:tcPr>
            <w:tcW w:w="5057" w:type="dxa"/>
            <w:tcBorders>
              <w:top w:val="single" w:sz="4" w:space="0" w:color="FFFFFF" w:themeColor="background1"/>
            </w:tcBorders>
            <w:hideMark/>
          </w:tcPr>
          <w:p w14:paraId="1E700199" w14:textId="77777777" w:rsidR="00B65749" w:rsidRPr="004A6C04" w:rsidRDefault="00B65749" w:rsidP="00B65749">
            <w:pPr>
              <w:pStyle w:val="Tablebodytextnospaceafter"/>
              <w:cnfStyle w:val="000000010000" w:firstRow="0" w:lastRow="0" w:firstColumn="0" w:lastColumn="0" w:oddVBand="0" w:evenVBand="0" w:oddHBand="0" w:evenHBand="1" w:firstRowFirstColumn="0" w:firstRowLastColumn="0" w:lastRowFirstColumn="0" w:lastRowLastColumn="0"/>
            </w:pPr>
            <w:r w:rsidRPr="004A6C04">
              <w:t>Remuneration and other benefits</w:t>
            </w:r>
          </w:p>
        </w:tc>
        <w:tc>
          <w:tcPr>
            <w:tcW w:w="3205" w:type="dxa"/>
            <w:tcBorders>
              <w:top w:val="single" w:sz="4" w:space="0" w:color="FFFFFF" w:themeColor="background1"/>
            </w:tcBorders>
          </w:tcPr>
          <w:p w14:paraId="49FA05A0" w14:textId="72EA8BE8" w:rsidR="00B65749" w:rsidRPr="00C11E2B" w:rsidRDefault="004E0867" w:rsidP="00B65749">
            <w:pPr>
              <w:pStyle w:val="Tablebodytextnospaceafter"/>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1,</w:t>
            </w:r>
            <w:r w:rsidR="00FB1DA8">
              <w:rPr>
                <w:rStyle w:val="Emphasis"/>
                <w:b w:val="0"/>
              </w:rPr>
              <w:t>01</w:t>
            </w:r>
            <w:r>
              <w:rPr>
                <w:rStyle w:val="Emphasis"/>
                <w:b w:val="0"/>
              </w:rPr>
              <w:t>8</w:t>
            </w:r>
          </w:p>
        </w:tc>
      </w:tr>
      <w:tr w:rsidR="00B65749" w14:paraId="7DE99270" w14:textId="77777777" w:rsidTr="00506E0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37" w:type="dxa"/>
            <w:tcBorders>
              <w:bottom w:val="single" w:sz="4" w:space="0" w:color="FFFFFF" w:themeColor="background1"/>
            </w:tcBorders>
            <w:shd w:val="clear" w:color="auto" w:fill="E9E9E9"/>
            <w:hideMark/>
          </w:tcPr>
          <w:p w14:paraId="55A6E09B" w14:textId="77777777" w:rsidR="00B65749" w:rsidRPr="004A6C04" w:rsidRDefault="00B65749" w:rsidP="00B65749">
            <w:pPr>
              <w:pStyle w:val="Tablebodytextnospaceafter"/>
              <w:jc w:val="right"/>
            </w:pPr>
            <w:r>
              <w:rPr>
                <w:rStyle w:val="Emphasis"/>
                <w:b w:val="0"/>
              </w:rPr>
              <w:t>3</w:t>
            </w:r>
          </w:p>
        </w:tc>
        <w:tc>
          <w:tcPr>
            <w:tcW w:w="5057" w:type="dxa"/>
            <w:hideMark/>
          </w:tcPr>
          <w:p w14:paraId="7E038E5E" w14:textId="77777777" w:rsidR="00B65749" w:rsidRPr="004A6C04" w:rsidRDefault="00B65749" w:rsidP="00B65749">
            <w:pPr>
              <w:pStyle w:val="Tablebodytextnospaceafter"/>
              <w:cnfStyle w:val="000000100000" w:firstRow="0" w:lastRow="0" w:firstColumn="0" w:lastColumn="0" w:oddVBand="0" w:evenVBand="0" w:oddHBand="1" w:evenHBand="0" w:firstRowFirstColumn="0" w:firstRowLastColumn="0" w:lastRowFirstColumn="0" w:lastRowLastColumn="0"/>
            </w:pPr>
            <w:r w:rsidRPr="004A6C04">
              <w:t>Full-time equivalent staff</w:t>
            </w:r>
          </w:p>
        </w:tc>
        <w:tc>
          <w:tcPr>
            <w:tcW w:w="3205" w:type="dxa"/>
          </w:tcPr>
          <w:p w14:paraId="6979BA36" w14:textId="77777777" w:rsidR="00B65749" w:rsidRPr="00C11E2B" w:rsidRDefault="004E0867" w:rsidP="00B65749">
            <w:pPr>
              <w:pStyle w:val="Tablebodytextnospaceafter"/>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3</w:t>
            </w:r>
          </w:p>
        </w:tc>
      </w:tr>
    </w:tbl>
    <w:p w14:paraId="04A3D751" w14:textId="77777777" w:rsidR="00DF1795" w:rsidRPr="00E958EC" w:rsidRDefault="00DF1795" w:rsidP="00DF1795">
      <w:pPr>
        <w:pStyle w:val="Whitespace"/>
      </w:pPr>
    </w:p>
    <w:p w14:paraId="1C87DF06" w14:textId="77777777" w:rsidR="00DF1795" w:rsidRDefault="00DF1795" w:rsidP="00DF1795">
      <w:pPr>
        <w:pStyle w:val="Heading3"/>
      </w:pPr>
      <w:r w:rsidRPr="00BE4BB3">
        <w:t>1</w:t>
      </w:r>
      <w:r w:rsidR="00D315BD">
        <w:t>6</w:t>
      </w:r>
      <w:r w:rsidRPr="00BE4BB3">
        <w:t>. Events after the balance sheet date</w:t>
      </w:r>
    </w:p>
    <w:p w14:paraId="23839D2F" w14:textId="77777777" w:rsidR="00DF1795" w:rsidRPr="004A6C04" w:rsidRDefault="00DF1795" w:rsidP="00DF1795">
      <w:pPr>
        <w:pStyle w:val="BodyText"/>
      </w:pPr>
      <w:r w:rsidRPr="00DE31ED">
        <w:t>There were no post-balance sheet date events in regard to the Office’s financial statements</w:t>
      </w:r>
      <w:r w:rsidR="00DE31ED" w:rsidRPr="00DE31ED">
        <w:t xml:space="preserve"> for the year ended 30 June 2020</w:t>
      </w:r>
      <w:r w:rsidRPr="00DE31ED">
        <w:t>.</w:t>
      </w:r>
    </w:p>
    <w:p w14:paraId="0B31C9CD" w14:textId="77777777" w:rsidR="00F15331" w:rsidRDefault="00D315BD" w:rsidP="00F15331">
      <w:pPr>
        <w:pStyle w:val="Heading3"/>
        <w:rPr>
          <w:rFonts w:eastAsia="Times New Roman"/>
        </w:rPr>
      </w:pPr>
      <w:r>
        <w:rPr>
          <w:rFonts w:eastAsia="Times New Roman"/>
        </w:rPr>
        <w:t>17</w:t>
      </w:r>
      <w:r w:rsidR="00F15331">
        <w:rPr>
          <w:rFonts w:eastAsia="Times New Roman"/>
        </w:rPr>
        <w:t>. Significant variances from budgeted financial performance</w:t>
      </w:r>
    </w:p>
    <w:p w14:paraId="10177A05" w14:textId="77777777" w:rsidR="00F15331" w:rsidRPr="00A40F6F" w:rsidRDefault="00F15331" w:rsidP="00F15331">
      <w:pPr>
        <w:pStyle w:val="BodyText"/>
        <w:rPr>
          <w:color w:val="auto"/>
        </w:rPr>
      </w:pPr>
      <w:r w:rsidRPr="00A40F6F">
        <w:rPr>
          <w:color w:val="auto"/>
        </w:rPr>
        <w:t xml:space="preserve">The significant variances from budgeted financial performance are the cash balance, </w:t>
      </w:r>
      <w:r w:rsidR="00641C75">
        <w:rPr>
          <w:color w:val="auto"/>
        </w:rPr>
        <w:t xml:space="preserve">and </w:t>
      </w:r>
      <w:r w:rsidRPr="00A40F6F">
        <w:rPr>
          <w:color w:val="auto"/>
        </w:rPr>
        <w:t>purchase of intangible assets</w:t>
      </w:r>
      <w:r w:rsidR="00DE31ED" w:rsidRPr="00A40F6F">
        <w:rPr>
          <w:color w:val="auto"/>
        </w:rPr>
        <w:t>.</w:t>
      </w:r>
    </w:p>
    <w:p w14:paraId="6FB0BC4C" w14:textId="77777777" w:rsidR="00F15331" w:rsidRPr="00A40F6F" w:rsidRDefault="00F15331" w:rsidP="00F15331">
      <w:pPr>
        <w:pStyle w:val="BodyText"/>
        <w:rPr>
          <w:color w:val="auto"/>
        </w:rPr>
      </w:pPr>
      <w:r w:rsidRPr="00A40F6F">
        <w:rPr>
          <w:color w:val="auto"/>
        </w:rPr>
        <w:t>The cash variance results from the operating surplus to be returned in 20</w:t>
      </w:r>
      <w:r w:rsidR="00A40F6F" w:rsidRPr="00A40F6F">
        <w:rPr>
          <w:color w:val="auto"/>
        </w:rPr>
        <w:t>20/21</w:t>
      </w:r>
      <w:r w:rsidR="000728C6">
        <w:rPr>
          <w:color w:val="auto"/>
        </w:rPr>
        <w:t xml:space="preserve">, primarily caused by delays in recruitment and </w:t>
      </w:r>
      <w:r w:rsidR="0048447C">
        <w:rPr>
          <w:color w:val="auto"/>
        </w:rPr>
        <w:t xml:space="preserve">ICT </w:t>
      </w:r>
      <w:r w:rsidR="000728C6">
        <w:rPr>
          <w:color w:val="auto"/>
        </w:rPr>
        <w:t>projects</w:t>
      </w:r>
      <w:r w:rsidR="003C3875">
        <w:rPr>
          <w:color w:val="auto"/>
        </w:rPr>
        <w:t xml:space="preserve">. </w:t>
      </w:r>
      <w:r w:rsidR="000728C6">
        <w:rPr>
          <w:color w:val="auto"/>
        </w:rPr>
        <w:t xml:space="preserve">The cash balance was also impacted </w:t>
      </w:r>
      <w:r w:rsidR="00641C75">
        <w:rPr>
          <w:color w:val="auto"/>
        </w:rPr>
        <w:t>by a</w:t>
      </w:r>
      <w:r w:rsidR="000728C6">
        <w:rPr>
          <w:color w:val="auto"/>
        </w:rPr>
        <w:t xml:space="preserve"> delay in the purchase </w:t>
      </w:r>
      <w:r w:rsidR="00A02582">
        <w:rPr>
          <w:color w:val="auto"/>
        </w:rPr>
        <w:t>of intangible assets</w:t>
      </w:r>
      <w:r w:rsidR="00641C75">
        <w:rPr>
          <w:color w:val="auto"/>
        </w:rPr>
        <w:t>, as outlined below</w:t>
      </w:r>
      <w:r w:rsidR="00A02582">
        <w:rPr>
          <w:color w:val="auto"/>
        </w:rPr>
        <w:t>.</w:t>
      </w:r>
      <w:r w:rsidRPr="00A40F6F">
        <w:rPr>
          <w:color w:val="auto"/>
        </w:rPr>
        <w:t> </w:t>
      </w:r>
    </w:p>
    <w:p w14:paraId="6A34AF6F" w14:textId="77777777" w:rsidR="00F15331" w:rsidRPr="00A40F6F" w:rsidRDefault="00F15331" w:rsidP="00F15331">
      <w:pPr>
        <w:pStyle w:val="BodyText"/>
        <w:rPr>
          <w:color w:val="auto"/>
        </w:rPr>
      </w:pPr>
      <w:r w:rsidRPr="00A40F6F">
        <w:rPr>
          <w:color w:val="auto"/>
        </w:rPr>
        <w:t>Intangible assets were considerably lower than expected as there have been delays with the Case Management System replacement project.</w:t>
      </w:r>
    </w:p>
    <w:p w14:paraId="023B3109" w14:textId="77777777" w:rsidR="00DF1795" w:rsidRDefault="00DF1795" w:rsidP="00DF1795">
      <w:pPr>
        <w:spacing w:line="276" w:lineRule="auto"/>
      </w:pPr>
      <w:r>
        <w:br w:type="page"/>
      </w:r>
    </w:p>
    <w:p w14:paraId="33D4D57A" w14:textId="77777777" w:rsidR="00DF1795" w:rsidRPr="00F96A6B" w:rsidRDefault="00DF1795" w:rsidP="00DF1795">
      <w:pPr>
        <w:pStyle w:val="Heading2"/>
      </w:pPr>
      <w:bookmarkStart w:id="145" w:name="_Appropriation_statements_1"/>
      <w:bookmarkStart w:id="146" w:name="_Ref54687304"/>
      <w:bookmarkEnd w:id="145"/>
      <w:r w:rsidRPr="00F96A6B">
        <w:t>Appropriation statements</w:t>
      </w:r>
      <w:bookmarkEnd w:id="146"/>
    </w:p>
    <w:p w14:paraId="070E6D70" w14:textId="77777777" w:rsidR="00DF1795" w:rsidRDefault="00DF1795" w:rsidP="00DF1795">
      <w:pPr>
        <w:pStyle w:val="BodyText"/>
      </w:pPr>
      <w:r w:rsidRPr="004A6C04">
        <w:t>The following statements report information about the expenses and capital expenditure incurred against each appropriation administered by the Office for the year ended 30 June 20</w:t>
      </w:r>
      <w:r w:rsidR="00B65749">
        <w:t>20</w:t>
      </w:r>
      <w:r w:rsidRPr="004A6C04">
        <w:t xml:space="preserve">. </w:t>
      </w:r>
    </w:p>
    <w:p w14:paraId="4F890A13" w14:textId="77777777" w:rsidR="00DF1795" w:rsidRPr="00AB2FEF" w:rsidRDefault="00DF1795" w:rsidP="00DF1795">
      <w:pPr>
        <w:pStyle w:val="Heading3"/>
      </w:pPr>
      <w:r>
        <w:t>Statement of expenses and capital expenditure against appropriations for the year ended 30 June 20</w:t>
      </w:r>
      <w:r w:rsidR="00B65749">
        <w:t>20</w:t>
      </w:r>
    </w:p>
    <w:tbl>
      <w:tblPr>
        <w:tblStyle w:val="TableGridAnnualReport22"/>
        <w:tblW w:w="5000" w:type="pct"/>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Statement of expenses and capital expenditure against appropriations for the year ended 30 June 2017"/>
      </w:tblPr>
      <w:tblGrid>
        <w:gridCol w:w="1132"/>
        <w:gridCol w:w="3437"/>
        <w:gridCol w:w="1132"/>
        <w:gridCol w:w="1166"/>
        <w:gridCol w:w="1166"/>
        <w:gridCol w:w="1245"/>
      </w:tblGrid>
      <w:tr w:rsidR="00DF1795" w14:paraId="0D356536" w14:textId="77777777" w:rsidTr="00222C7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0" w:type="pct"/>
            <w:hideMark/>
          </w:tcPr>
          <w:p w14:paraId="57545112" w14:textId="77777777" w:rsidR="00DF1795" w:rsidRPr="004A6C04" w:rsidRDefault="00DF1795" w:rsidP="00506E02">
            <w:pPr>
              <w:pStyle w:val="Tableheadingrow1"/>
              <w:jc w:val="right"/>
            </w:pPr>
            <w:r w:rsidRPr="004A6C04">
              <w:t>30/06/1</w:t>
            </w:r>
            <w:r w:rsidR="00B65749">
              <w:t>9</w:t>
            </w:r>
            <w:r w:rsidRPr="004A6C04">
              <w:br/>
              <w:t>Actual</w:t>
            </w:r>
            <w:r w:rsidRPr="004A6C04">
              <w:br/>
            </w:r>
          </w:p>
          <w:p w14:paraId="58B6F508" w14:textId="77777777" w:rsidR="00DF1795" w:rsidRDefault="00DF1795" w:rsidP="00506E02">
            <w:pPr>
              <w:pStyle w:val="Tableheadingrow1"/>
              <w:jc w:val="right"/>
            </w:pPr>
          </w:p>
          <w:p w14:paraId="7DE31768" w14:textId="77777777" w:rsidR="00DF1795" w:rsidRPr="004A6C04" w:rsidRDefault="00DF1795" w:rsidP="00506E02">
            <w:pPr>
              <w:pStyle w:val="Tableheadingrow1"/>
              <w:jc w:val="right"/>
            </w:pPr>
            <w:r w:rsidRPr="004A6C04">
              <w:t>$(000)</w:t>
            </w:r>
          </w:p>
        </w:tc>
        <w:tc>
          <w:tcPr>
            <w:tcW w:w="1852" w:type="pct"/>
          </w:tcPr>
          <w:p w14:paraId="0C05F961" w14:textId="77777777"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610" w:type="pct"/>
            <w:hideMark/>
          </w:tcPr>
          <w:p w14:paraId="5C3CB6CF" w14:textId="77777777"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t>30/06/</w:t>
            </w:r>
            <w:r w:rsidR="00B65749">
              <w:t>20</w:t>
            </w:r>
            <w:r w:rsidRPr="004A6C04">
              <w:br/>
              <w:t>Actual</w:t>
            </w:r>
          </w:p>
          <w:p w14:paraId="203E025C" w14:textId="77777777"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br/>
            </w:r>
          </w:p>
          <w:p w14:paraId="05ED5120" w14:textId="77777777"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t>$(000)</w:t>
            </w:r>
          </w:p>
        </w:tc>
        <w:tc>
          <w:tcPr>
            <w:tcW w:w="628" w:type="pct"/>
          </w:tcPr>
          <w:p w14:paraId="7C4DF9F6" w14:textId="77777777"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t>30/06/</w:t>
            </w:r>
            <w:r w:rsidR="00B65749">
              <w:t>20</w:t>
            </w:r>
          </w:p>
          <w:p w14:paraId="567B3B31" w14:textId="77777777"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t xml:space="preserve">Main </w:t>
            </w:r>
            <w:r>
              <w:t>e</w:t>
            </w:r>
            <w:r w:rsidRPr="004A6C04">
              <w:t>stimates</w:t>
            </w:r>
          </w:p>
          <w:p w14:paraId="509AA523" w14:textId="77777777"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14:paraId="57BDFD7D" w14:textId="77777777"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t>$(000)</w:t>
            </w:r>
          </w:p>
        </w:tc>
        <w:tc>
          <w:tcPr>
            <w:tcW w:w="628" w:type="pct"/>
          </w:tcPr>
          <w:p w14:paraId="2EB29315" w14:textId="77777777"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t>30/06/</w:t>
            </w:r>
            <w:r w:rsidR="00B65749">
              <w:t>20</w:t>
            </w:r>
          </w:p>
          <w:p w14:paraId="13C14AF9" w14:textId="77777777"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t xml:space="preserve">Supp. </w:t>
            </w:r>
            <w:r>
              <w:t>e</w:t>
            </w:r>
            <w:r w:rsidRPr="004A6C04">
              <w:t>stimates</w:t>
            </w:r>
          </w:p>
          <w:p w14:paraId="7965EABA" w14:textId="77777777"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14:paraId="55EACB38" w14:textId="77777777"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t>$(000)</w:t>
            </w:r>
          </w:p>
        </w:tc>
        <w:tc>
          <w:tcPr>
            <w:tcW w:w="671" w:type="pct"/>
          </w:tcPr>
          <w:p w14:paraId="2B8301AE" w14:textId="77777777"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30/06/2</w:t>
            </w:r>
            <w:r w:rsidR="00B65749">
              <w:t>1</w:t>
            </w:r>
          </w:p>
          <w:p w14:paraId="5BE43DFC" w14:textId="77777777"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t>Unaudited</w:t>
            </w:r>
          </w:p>
          <w:p w14:paraId="5E2ADB37" w14:textId="77777777"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f</w:t>
            </w:r>
            <w:r w:rsidRPr="004A6C04">
              <w:t>orecast IPSAS</w:t>
            </w:r>
            <w:r>
              <w:t>*</w:t>
            </w:r>
          </w:p>
          <w:p w14:paraId="2D28B1B0" w14:textId="77777777" w:rsidR="00DF1795" w:rsidRPr="004A6C04"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4A6C04">
              <w:t>$(000)</w:t>
            </w:r>
          </w:p>
        </w:tc>
      </w:tr>
      <w:tr w:rsidR="00DF1795" w14:paraId="38094A26"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bottom w:val="single" w:sz="4" w:space="0" w:color="FFFFFF" w:themeColor="background1"/>
            </w:tcBorders>
            <w:shd w:val="clear" w:color="auto" w:fill="E9E9E9"/>
            <w:hideMark/>
          </w:tcPr>
          <w:p w14:paraId="54788BE7" w14:textId="77777777" w:rsidR="00DF1795" w:rsidRPr="00803CB2" w:rsidRDefault="00DF1795" w:rsidP="00506E02">
            <w:pPr>
              <w:pStyle w:val="Tablebodytext"/>
              <w:jc w:val="right"/>
            </w:pPr>
          </w:p>
        </w:tc>
        <w:tc>
          <w:tcPr>
            <w:tcW w:w="1852" w:type="pct"/>
            <w:hideMark/>
          </w:tcPr>
          <w:p w14:paraId="2F9BFB1B" w14:textId="77777777" w:rsidR="00DF1795" w:rsidRPr="00803CB2" w:rsidRDefault="00DF1795" w:rsidP="00506E02">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803CB2">
              <w:rPr>
                <w:rStyle w:val="Emphasis"/>
              </w:rPr>
              <w:t>Vote Ombudsmen</w:t>
            </w:r>
          </w:p>
          <w:p w14:paraId="0DFCFAA7" w14:textId="77777777" w:rsidR="00DF1795" w:rsidRPr="00803CB2" w:rsidRDefault="00DF1795" w:rsidP="00506E02">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803CB2">
              <w:rPr>
                <w:rStyle w:val="Emphasis"/>
              </w:rPr>
              <w:t>Appropriation for output expenses</w:t>
            </w:r>
          </w:p>
        </w:tc>
        <w:tc>
          <w:tcPr>
            <w:tcW w:w="610" w:type="pct"/>
            <w:hideMark/>
          </w:tcPr>
          <w:p w14:paraId="3D2882DA" w14:textId="77777777" w:rsidR="00DF1795" w:rsidRPr="00803CB2"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rPr>
                <w:rStyle w:val="Emphasis"/>
              </w:rPr>
            </w:pPr>
          </w:p>
        </w:tc>
        <w:tc>
          <w:tcPr>
            <w:tcW w:w="628" w:type="pct"/>
          </w:tcPr>
          <w:p w14:paraId="5630C926" w14:textId="77777777" w:rsidR="00DF1795" w:rsidRPr="004A6C04"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pPr>
          </w:p>
        </w:tc>
        <w:tc>
          <w:tcPr>
            <w:tcW w:w="628" w:type="pct"/>
          </w:tcPr>
          <w:p w14:paraId="28A19C7C" w14:textId="77777777" w:rsidR="00DF1795" w:rsidRPr="004A6C04"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pPr>
          </w:p>
        </w:tc>
        <w:tc>
          <w:tcPr>
            <w:tcW w:w="671" w:type="pct"/>
          </w:tcPr>
          <w:p w14:paraId="5AFD072E" w14:textId="77777777" w:rsidR="00DF1795" w:rsidRPr="004A6C04" w:rsidRDefault="00DF1795" w:rsidP="00506E02">
            <w:pPr>
              <w:pStyle w:val="Tablebodytext"/>
              <w:jc w:val="right"/>
              <w:cnfStyle w:val="000000100000" w:firstRow="0" w:lastRow="0" w:firstColumn="0" w:lastColumn="0" w:oddVBand="0" w:evenVBand="0" w:oddHBand="1" w:evenHBand="0" w:firstRowFirstColumn="0" w:firstRowLastColumn="0" w:lastRowFirstColumn="0" w:lastRowLastColumn="0"/>
            </w:pPr>
          </w:p>
        </w:tc>
      </w:tr>
      <w:tr w:rsidR="00D6031B" w14:paraId="04632BDD"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top w:val="single" w:sz="4" w:space="0" w:color="FFFFFF" w:themeColor="background1"/>
            </w:tcBorders>
            <w:shd w:val="clear" w:color="auto" w:fill="E9E9E9"/>
            <w:vAlign w:val="bottom"/>
            <w:hideMark/>
          </w:tcPr>
          <w:p w14:paraId="576E76DC" w14:textId="77777777" w:rsidR="00D6031B" w:rsidRPr="00803CB2" w:rsidRDefault="00D6031B" w:rsidP="00D6031B">
            <w:pPr>
              <w:pStyle w:val="Tablebodytext"/>
              <w:jc w:val="right"/>
            </w:pPr>
            <w:r>
              <w:rPr>
                <w:rStyle w:val="Emphasis"/>
                <w:b w:val="0"/>
              </w:rPr>
              <w:t>17,261</w:t>
            </w:r>
          </w:p>
        </w:tc>
        <w:tc>
          <w:tcPr>
            <w:tcW w:w="1852" w:type="pct"/>
            <w:hideMark/>
          </w:tcPr>
          <w:p w14:paraId="43D2B4B5" w14:textId="77777777" w:rsidR="00D6031B" w:rsidRPr="004A6C04" w:rsidRDefault="00D6031B" w:rsidP="00D6031B">
            <w:pPr>
              <w:pStyle w:val="Tablebodytext"/>
              <w:cnfStyle w:val="000000010000" w:firstRow="0" w:lastRow="0" w:firstColumn="0" w:lastColumn="0" w:oddVBand="0" w:evenVBand="0" w:oddHBand="0" w:evenHBand="1" w:firstRowFirstColumn="0" w:firstRowLastColumn="0" w:lastRowFirstColumn="0" w:lastRowLastColumn="0"/>
            </w:pPr>
            <w:r w:rsidRPr="004A6C04">
              <w:t>Investigation and resolution of complaints about government administration</w:t>
            </w:r>
          </w:p>
        </w:tc>
        <w:tc>
          <w:tcPr>
            <w:tcW w:w="610" w:type="pct"/>
            <w:vAlign w:val="bottom"/>
          </w:tcPr>
          <w:p w14:paraId="056B54FB" w14:textId="77777777" w:rsidR="00D6031B" w:rsidRPr="009F1576" w:rsidRDefault="005416EF" w:rsidP="00D6031B">
            <w:pPr>
              <w:pStyle w:val="Tablebodytext"/>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23,482</w:t>
            </w:r>
          </w:p>
        </w:tc>
        <w:tc>
          <w:tcPr>
            <w:tcW w:w="628" w:type="pct"/>
            <w:vAlign w:val="bottom"/>
          </w:tcPr>
          <w:p w14:paraId="01A7D0C4" w14:textId="77777777" w:rsidR="00D6031B" w:rsidRPr="00C73073" w:rsidRDefault="005416EF" w:rsidP="00D6031B">
            <w:pPr>
              <w:pStyle w:val="Tablebodytext"/>
              <w:jc w:val="right"/>
              <w:cnfStyle w:val="000000010000" w:firstRow="0" w:lastRow="0" w:firstColumn="0" w:lastColumn="0" w:oddVBand="0" w:evenVBand="0" w:oddHBand="0" w:evenHBand="1" w:firstRowFirstColumn="0" w:firstRowLastColumn="0" w:lastRowFirstColumn="0" w:lastRowLastColumn="0"/>
            </w:pPr>
            <w:r>
              <w:t>23,424</w:t>
            </w:r>
          </w:p>
        </w:tc>
        <w:tc>
          <w:tcPr>
            <w:tcW w:w="628" w:type="pct"/>
            <w:vAlign w:val="bottom"/>
          </w:tcPr>
          <w:p w14:paraId="1E00AFCB" w14:textId="77777777" w:rsidR="00D6031B" w:rsidRPr="0051762F" w:rsidRDefault="005416EF" w:rsidP="00D6031B">
            <w:pPr>
              <w:pStyle w:val="Tablebodytext"/>
              <w:jc w:val="right"/>
              <w:cnfStyle w:val="000000010000" w:firstRow="0" w:lastRow="0" w:firstColumn="0" w:lastColumn="0" w:oddVBand="0" w:evenVBand="0" w:oddHBand="0" w:evenHBand="1" w:firstRowFirstColumn="0" w:firstRowLastColumn="0" w:lastRowFirstColumn="0" w:lastRowLastColumn="0"/>
            </w:pPr>
            <w:r>
              <w:t>23,482</w:t>
            </w:r>
          </w:p>
        </w:tc>
        <w:tc>
          <w:tcPr>
            <w:tcW w:w="671" w:type="pct"/>
            <w:vAlign w:val="bottom"/>
          </w:tcPr>
          <w:p w14:paraId="1B64C841" w14:textId="77777777" w:rsidR="00D6031B" w:rsidRPr="00C73073" w:rsidRDefault="005416EF" w:rsidP="00D6031B">
            <w:pPr>
              <w:pStyle w:val="Tablebodytext"/>
              <w:jc w:val="right"/>
              <w:cnfStyle w:val="000000010000" w:firstRow="0" w:lastRow="0" w:firstColumn="0" w:lastColumn="0" w:oddVBand="0" w:evenVBand="0" w:oddHBand="0" w:evenHBand="1" w:firstRowFirstColumn="0" w:firstRowLastColumn="0" w:lastRowFirstColumn="0" w:lastRowLastColumn="0"/>
            </w:pPr>
            <w:r>
              <w:t>32,802</w:t>
            </w:r>
          </w:p>
        </w:tc>
      </w:tr>
      <w:tr w:rsidR="00D6031B" w14:paraId="3B767637"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bottom w:val="single" w:sz="4" w:space="0" w:color="FFFFFF" w:themeColor="background1"/>
            </w:tcBorders>
            <w:hideMark/>
          </w:tcPr>
          <w:p w14:paraId="6B9668A1" w14:textId="77777777" w:rsidR="00D6031B" w:rsidRPr="00803CB2" w:rsidRDefault="00D6031B" w:rsidP="00D6031B">
            <w:pPr>
              <w:pStyle w:val="Tablebodytext"/>
              <w:jc w:val="right"/>
            </w:pPr>
          </w:p>
        </w:tc>
        <w:tc>
          <w:tcPr>
            <w:tcW w:w="1852" w:type="pct"/>
            <w:shd w:val="clear" w:color="auto" w:fill="BFBFBF"/>
          </w:tcPr>
          <w:p w14:paraId="0438D88C" w14:textId="77777777" w:rsidR="00D6031B" w:rsidRPr="004A6C04" w:rsidRDefault="00D6031B" w:rsidP="00D6031B">
            <w:pPr>
              <w:pStyle w:val="Tablebodytext"/>
              <w:cnfStyle w:val="000000100000" w:firstRow="0" w:lastRow="0" w:firstColumn="0" w:lastColumn="0" w:oddVBand="0" w:evenVBand="0" w:oddHBand="1" w:evenHBand="0" w:firstRowFirstColumn="0" w:firstRowLastColumn="0" w:lastRowFirstColumn="0" w:lastRowLastColumn="0"/>
            </w:pPr>
          </w:p>
        </w:tc>
        <w:tc>
          <w:tcPr>
            <w:tcW w:w="610" w:type="pct"/>
            <w:shd w:val="clear" w:color="auto" w:fill="BFBFBF"/>
          </w:tcPr>
          <w:p w14:paraId="13D82BE2" w14:textId="77777777" w:rsidR="00D6031B" w:rsidRPr="009F1576" w:rsidRDefault="00D6031B" w:rsidP="00D6031B">
            <w:pPr>
              <w:pStyle w:val="Tablebodytext"/>
              <w:jc w:val="center"/>
              <w:cnfStyle w:val="000000100000" w:firstRow="0" w:lastRow="0" w:firstColumn="0" w:lastColumn="0" w:oddVBand="0" w:evenVBand="0" w:oddHBand="1" w:evenHBand="0" w:firstRowFirstColumn="0" w:firstRowLastColumn="0" w:lastRowFirstColumn="0" w:lastRowLastColumn="0"/>
              <w:rPr>
                <w:rStyle w:val="Emphasis"/>
                <w:b w:val="0"/>
              </w:rPr>
            </w:pPr>
          </w:p>
        </w:tc>
        <w:tc>
          <w:tcPr>
            <w:tcW w:w="628" w:type="pct"/>
            <w:shd w:val="clear" w:color="auto" w:fill="BFBFBF"/>
          </w:tcPr>
          <w:p w14:paraId="67183958" w14:textId="77777777" w:rsidR="00D6031B" w:rsidRPr="00C73073" w:rsidRDefault="00D6031B" w:rsidP="00D6031B">
            <w:pPr>
              <w:pStyle w:val="Tablebodytext"/>
              <w:jc w:val="right"/>
              <w:cnfStyle w:val="000000100000" w:firstRow="0" w:lastRow="0" w:firstColumn="0" w:lastColumn="0" w:oddVBand="0" w:evenVBand="0" w:oddHBand="1" w:evenHBand="0" w:firstRowFirstColumn="0" w:firstRowLastColumn="0" w:lastRowFirstColumn="0" w:lastRowLastColumn="0"/>
            </w:pPr>
          </w:p>
        </w:tc>
        <w:tc>
          <w:tcPr>
            <w:tcW w:w="628" w:type="pct"/>
            <w:shd w:val="clear" w:color="auto" w:fill="BFBFBF"/>
          </w:tcPr>
          <w:p w14:paraId="275CC04F" w14:textId="77777777" w:rsidR="00D6031B" w:rsidRPr="0051762F" w:rsidRDefault="00D6031B" w:rsidP="00D6031B">
            <w:pPr>
              <w:pStyle w:val="Tablebodytext"/>
              <w:jc w:val="right"/>
              <w:cnfStyle w:val="000000100000" w:firstRow="0" w:lastRow="0" w:firstColumn="0" w:lastColumn="0" w:oddVBand="0" w:evenVBand="0" w:oddHBand="1" w:evenHBand="0" w:firstRowFirstColumn="0" w:firstRowLastColumn="0" w:lastRowFirstColumn="0" w:lastRowLastColumn="0"/>
            </w:pPr>
          </w:p>
        </w:tc>
        <w:tc>
          <w:tcPr>
            <w:tcW w:w="671" w:type="pct"/>
            <w:shd w:val="clear" w:color="auto" w:fill="BFBFBF"/>
          </w:tcPr>
          <w:p w14:paraId="2C4A5A49" w14:textId="77777777" w:rsidR="00D6031B" w:rsidRPr="00C73073" w:rsidRDefault="00D6031B" w:rsidP="00D6031B">
            <w:pPr>
              <w:pStyle w:val="Tablebodytext"/>
              <w:jc w:val="right"/>
              <w:cnfStyle w:val="000000100000" w:firstRow="0" w:lastRow="0" w:firstColumn="0" w:lastColumn="0" w:oddVBand="0" w:evenVBand="0" w:oddHBand="1" w:evenHBand="0" w:firstRowFirstColumn="0" w:firstRowLastColumn="0" w:lastRowFirstColumn="0" w:lastRowLastColumn="0"/>
            </w:pPr>
          </w:p>
        </w:tc>
      </w:tr>
      <w:tr w:rsidR="00D6031B" w14:paraId="2A036143"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top w:val="single" w:sz="4" w:space="0" w:color="FFFFFF" w:themeColor="background1"/>
              <w:bottom w:val="single" w:sz="4" w:space="0" w:color="FFFFFF" w:themeColor="background1"/>
            </w:tcBorders>
            <w:shd w:val="clear" w:color="auto" w:fill="F2F2F2" w:themeFill="background1" w:themeFillShade="F2"/>
            <w:vAlign w:val="bottom"/>
          </w:tcPr>
          <w:p w14:paraId="4AA1F1B3" w14:textId="77777777" w:rsidR="00D6031B" w:rsidRPr="00803CB2" w:rsidRDefault="00D6031B" w:rsidP="00D6031B">
            <w:pPr>
              <w:pStyle w:val="Tablebodytext"/>
              <w:jc w:val="right"/>
            </w:pPr>
            <w:r>
              <w:rPr>
                <w:rStyle w:val="Emphasis"/>
                <w:b w:val="0"/>
              </w:rPr>
              <w:t>438</w:t>
            </w:r>
          </w:p>
        </w:tc>
        <w:tc>
          <w:tcPr>
            <w:tcW w:w="1852" w:type="pct"/>
            <w:shd w:val="clear" w:color="auto" w:fill="F2F2F2" w:themeFill="background1" w:themeFillShade="F2"/>
          </w:tcPr>
          <w:p w14:paraId="41C23213" w14:textId="77777777" w:rsidR="00D6031B" w:rsidRPr="004A6C04" w:rsidRDefault="00D6031B" w:rsidP="00D6031B">
            <w:pPr>
              <w:pStyle w:val="Tablebodytext"/>
              <w:cnfStyle w:val="000000010000" w:firstRow="0" w:lastRow="0" w:firstColumn="0" w:lastColumn="0" w:oddVBand="0" w:evenVBand="0" w:oddHBand="0" w:evenHBand="1" w:firstRowFirstColumn="0" w:firstRowLastColumn="0" w:lastRowFirstColumn="0" w:lastRowLastColumn="0"/>
            </w:pPr>
            <w:r w:rsidRPr="004A6C04">
              <w:t>Remuneration of Ombudsmen (Permanent Legislative Authority)</w:t>
            </w:r>
          </w:p>
        </w:tc>
        <w:tc>
          <w:tcPr>
            <w:tcW w:w="610" w:type="pct"/>
            <w:shd w:val="clear" w:color="auto" w:fill="F2F2F2" w:themeFill="background1" w:themeFillShade="F2"/>
            <w:vAlign w:val="bottom"/>
          </w:tcPr>
          <w:p w14:paraId="5207D8C5" w14:textId="77777777" w:rsidR="00D6031B" w:rsidRPr="009F1576" w:rsidRDefault="005416EF" w:rsidP="00D6031B">
            <w:pPr>
              <w:pStyle w:val="Tablebodytext"/>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463</w:t>
            </w:r>
          </w:p>
        </w:tc>
        <w:tc>
          <w:tcPr>
            <w:tcW w:w="628" w:type="pct"/>
            <w:shd w:val="clear" w:color="auto" w:fill="F2F2F2" w:themeFill="background1" w:themeFillShade="F2"/>
            <w:vAlign w:val="bottom"/>
          </w:tcPr>
          <w:p w14:paraId="1213DD8D" w14:textId="77777777" w:rsidR="00D6031B" w:rsidRPr="00C73073" w:rsidRDefault="00F3047F" w:rsidP="00D6031B">
            <w:pPr>
              <w:pStyle w:val="Tablebodytext"/>
              <w:jc w:val="right"/>
              <w:cnfStyle w:val="000000010000" w:firstRow="0" w:lastRow="0" w:firstColumn="0" w:lastColumn="0" w:oddVBand="0" w:evenVBand="0" w:oddHBand="0" w:evenHBand="1" w:firstRowFirstColumn="0" w:firstRowLastColumn="0" w:lastRowFirstColumn="0" w:lastRowLastColumn="0"/>
            </w:pPr>
            <w:r>
              <w:t>456</w:t>
            </w:r>
          </w:p>
        </w:tc>
        <w:tc>
          <w:tcPr>
            <w:tcW w:w="628" w:type="pct"/>
            <w:shd w:val="clear" w:color="auto" w:fill="F2F2F2" w:themeFill="background1" w:themeFillShade="F2"/>
            <w:vAlign w:val="bottom"/>
          </w:tcPr>
          <w:p w14:paraId="1F2737DA" w14:textId="77777777" w:rsidR="00D6031B" w:rsidRPr="0051762F" w:rsidRDefault="005416EF" w:rsidP="00D6031B">
            <w:pPr>
              <w:pStyle w:val="Tablebodytext"/>
              <w:jc w:val="right"/>
              <w:cnfStyle w:val="000000010000" w:firstRow="0" w:lastRow="0" w:firstColumn="0" w:lastColumn="0" w:oddVBand="0" w:evenVBand="0" w:oddHBand="0" w:evenHBand="1" w:firstRowFirstColumn="0" w:firstRowLastColumn="0" w:lastRowFirstColumn="0" w:lastRowLastColumn="0"/>
            </w:pPr>
            <w:r>
              <w:t>463</w:t>
            </w:r>
          </w:p>
        </w:tc>
        <w:tc>
          <w:tcPr>
            <w:tcW w:w="671" w:type="pct"/>
            <w:shd w:val="clear" w:color="auto" w:fill="F2F2F2" w:themeFill="background1" w:themeFillShade="F2"/>
            <w:vAlign w:val="bottom"/>
          </w:tcPr>
          <w:p w14:paraId="3E966091" w14:textId="77777777" w:rsidR="00D6031B" w:rsidRPr="00C73073" w:rsidRDefault="005416EF" w:rsidP="00D6031B">
            <w:pPr>
              <w:pStyle w:val="Tablebodytext"/>
              <w:jc w:val="right"/>
              <w:cnfStyle w:val="000000010000" w:firstRow="0" w:lastRow="0" w:firstColumn="0" w:lastColumn="0" w:oddVBand="0" w:evenVBand="0" w:oddHBand="0" w:evenHBand="1" w:firstRowFirstColumn="0" w:firstRowLastColumn="0" w:lastRowFirstColumn="0" w:lastRowLastColumn="0"/>
            </w:pPr>
            <w:r>
              <w:t>463</w:t>
            </w:r>
          </w:p>
        </w:tc>
      </w:tr>
      <w:tr w:rsidR="00D6031B" w14:paraId="6870DEFF"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top w:val="single" w:sz="4" w:space="0" w:color="FFFFFF" w:themeColor="background1"/>
              <w:bottom w:val="single" w:sz="4" w:space="0" w:color="FFFFFF" w:themeColor="background1"/>
            </w:tcBorders>
            <w:shd w:val="clear" w:color="auto" w:fill="BFBFBF" w:themeFill="background1" w:themeFillShade="BF"/>
          </w:tcPr>
          <w:p w14:paraId="5EB6FEDC" w14:textId="77777777" w:rsidR="00D6031B" w:rsidRPr="005416EF" w:rsidRDefault="00D6031B" w:rsidP="00D6031B">
            <w:pPr>
              <w:pStyle w:val="Tablebodytext"/>
              <w:jc w:val="right"/>
              <w:rPr>
                <w:rStyle w:val="Emphasis"/>
                <w:b w:val="0"/>
              </w:rPr>
            </w:pPr>
            <w:r w:rsidRPr="005416EF">
              <w:rPr>
                <w:rStyle w:val="Emphasis"/>
                <w:b w:val="0"/>
              </w:rPr>
              <w:t>17,699</w:t>
            </w:r>
          </w:p>
        </w:tc>
        <w:tc>
          <w:tcPr>
            <w:tcW w:w="1852" w:type="pct"/>
            <w:shd w:val="clear" w:color="auto" w:fill="BFBFBF" w:themeFill="background1" w:themeFillShade="BF"/>
          </w:tcPr>
          <w:p w14:paraId="2D5C2E9E" w14:textId="77777777" w:rsidR="00D6031B" w:rsidRPr="004A6C04" w:rsidRDefault="00D6031B" w:rsidP="00D6031B">
            <w:pPr>
              <w:pStyle w:val="Tablebodytext"/>
              <w:cnfStyle w:val="000000100000" w:firstRow="0" w:lastRow="0" w:firstColumn="0" w:lastColumn="0" w:oddVBand="0" w:evenVBand="0" w:oddHBand="1" w:evenHBand="0" w:firstRowFirstColumn="0" w:firstRowLastColumn="0" w:lastRowFirstColumn="0" w:lastRowLastColumn="0"/>
            </w:pPr>
            <w:r w:rsidRPr="004A6C04">
              <w:t>Sub total</w:t>
            </w:r>
          </w:p>
        </w:tc>
        <w:tc>
          <w:tcPr>
            <w:tcW w:w="610" w:type="pct"/>
            <w:shd w:val="clear" w:color="auto" w:fill="BFBFBF" w:themeFill="background1" w:themeFillShade="BF"/>
          </w:tcPr>
          <w:p w14:paraId="44751E11" w14:textId="77777777" w:rsidR="00D6031B" w:rsidRPr="009F1576" w:rsidRDefault="00F3047F" w:rsidP="00D6031B">
            <w:pPr>
              <w:pStyle w:val="Tablebodytext"/>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23,945</w:t>
            </w:r>
          </w:p>
        </w:tc>
        <w:tc>
          <w:tcPr>
            <w:tcW w:w="628" w:type="pct"/>
            <w:shd w:val="clear" w:color="auto" w:fill="BFBFBF" w:themeFill="background1" w:themeFillShade="BF"/>
          </w:tcPr>
          <w:p w14:paraId="5C0F54A1" w14:textId="77777777" w:rsidR="00D6031B" w:rsidRPr="00C73073" w:rsidRDefault="00F3047F" w:rsidP="00D6031B">
            <w:pPr>
              <w:pStyle w:val="Tablebodytext"/>
              <w:jc w:val="right"/>
              <w:cnfStyle w:val="000000100000" w:firstRow="0" w:lastRow="0" w:firstColumn="0" w:lastColumn="0" w:oddVBand="0" w:evenVBand="0" w:oddHBand="1" w:evenHBand="0" w:firstRowFirstColumn="0" w:firstRowLastColumn="0" w:lastRowFirstColumn="0" w:lastRowLastColumn="0"/>
            </w:pPr>
            <w:r>
              <w:t>23,880</w:t>
            </w:r>
          </w:p>
        </w:tc>
        <w:tc>
          <w:tcPr>
            <w:tcW w:w="628" w:type="pct"/>
            <w:shd w:val="clear" w:color="auto" w:fill="BFBFBF" w:themeFill="background1" w:themeFillShade="BF"/>
          </w:tcPr>
          <w:p w14:paraId="532E9840" w14:textId="77777777" w:rsidR="00D6031B" w:rsidRPr="0051762F" w:rsidRDefault="00F3047F" w:rsidP="00D6031B">
            <w:pPr>
              <w:pStyle w:val="Tablebodytext"/>
              <w:jc w:val="right"/>
              <w:cnfStyle w:val="000000100000" w:firstRow="0" w:lastRow="0" w:firstColumn="0" w:lastColumn="0" w:oddVBand="0" w:evenVBand="0" w:oddHBand="1" w:evenHBand="0" w:firstRowFirstColumn="0" w:firstRowLastColumn="0" w:lastRowFirstColumn="0" w:lastRowLastColumn="0"/>
            </w:pPr>
            <w:r>
              <w:t>23,945</w:t>
            </w:r>
          </w:p>
        </w:tc>
        <w:tc>
          <w:tcPr>
            <w:tcW w:w="671" w:type="pct"/>
            <w:shd w:val="clear" w:color="auto" w:fill="BFBFBF" w:themeFill="background1" w:themeFillShade="BF"/>
          </w:tcPr>
          <w:p w14:paraId="3D93C171" w14:textId="77777777" w:rsidR="00D6031B" w:rsidRPr="00C73073" w:rsidRDefault="00F3047F" w:rsidP="00D6031B">
            <w:pPr>
              <w:pStyle w:val="Tablebodytext"/>
              <w:jc w:val="right"/>
              <w:cnfStyle w:val="000000100000" w:firstRow="0" w:lastRow="0" w:firstColumn="0" w:lastColumn="0" w:oddVBand="0" w:evenVBand="0" w:oddHBand="1" w:evenHBand="0" w:firstRowFirstColumn="0" w:firstRowLastColumn="0" w:lastRowFirstColumn="0" w:lastRowLastColumn="0"/>
            </w:pPr>
            <w:r>
              <w:t>33,265</w:t>
            </w:r>
          </w:p>
        </w:tc>
      </w:tr>
      <w:tr w:rsidR="00D6031B" w14:paraId="3E87FFED"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top w:val="single" w:sz="4" w:space="0" w:color="FFFFFF" w:themeColor="background1"/>
              <w:bottom w:val="single" w:sz="4" w:space="0" w:color="FFFFFF" w:themeColor="background1"/>
            </w:tcBorders>
            <w:shd w:val="clear" w:color="auto" w:fill="F2F2F2" w:themeFill="background1" w:themeFillShade="F2"/>
            <w:vAlign w:val="bottom"/>
          </w:tcPr>
          <w:p w14:paraId="4D27B966" w14:textId="77777777" w:rsidR="00D6031B" w:rsidRPr="00803CB2" w:rsidRDefault="00D6031B" w:rsidP="00D6031B">
            <w:pPr>
              <w:pStyle w:val="Tablebodytext"/>
              <w:jc w:val="right"/>
            </w:pPr>
            <w:r>
              <w:rPr>
                <w:rStyle w:val="Emphasis"/>
                <w:b w:val="0"/>
              </w:rPr>
              <w:t>591</w:t>
            </w:r>
          </w:p>
        </w:tc>
        <w:tc>
          <w:tcPr>
            <w:tcW w:w="1852" w:type="pct"/>
            <w:shd w:val="clear" w:color="auto" w:fill="F2F2F2" w:themeFill="background1" w:themeFillShade="F2"/>
          </w:tcPr>
          <w:p w14:paraId="080052F4" w14:textId="2B064462" w:rsidR="00D6031B" w:rsidRPr="004A6C04" w:rsidRDefault="00D6031B" w:rsidP="00D9516F">
            <w:pPr>
              <w:pStyle w:val="Tablebodytext"/>
              <w:cnfStyle w:val="000000010000" w:firstRow="0" w:lastRow="0" w:firstColumn="0" w:lastColumn="0" w:oddVBand="0" w:evenVBand="0" w:oddHBand="0" w:evenHBand="1" w:firstRowFirstColumn="0" w:firstRowLastColumn="0" w:lastRowFirstColumn="0" w:lastRowLastColumn="0"/>
            </w:pPr>
            <w:r w:rsidRPr="004A6C04">
              <w:t xml:space="preserve">Office of the </w:t>
            </w:r>
            <w:r w:rsidR="00D9516F" w:rsidRPr="004A6C04">
              <w:t>Ombudsm</w:t>
            </w:r>
            <w:r w:rsidR="00D9516F">
              <w:t>a</w:t>
            </w:r>
            <w:r w:rsidR="00D9516F" w:rsidRPr="004A6C04">
              <w:t xml:space="preserve">n </w:t>
            </w:r>
            <w:r w:rsidRPr="004A6C04">
              <w:t>appropriation for capital expenditure (Permanent Legislative Authority)</w:t>
            </w:r>
          </w:p>
        </w:tc>
        <w:tc>
          <w:tcPr>
            <w:tcW w:w="610" w:type="pct"/>
            <w:shd w:val="clear" w:color="auto" w:fill="F2F2F2" w:themeFill="background1" w:themeFillShade="F2"/>
            <w:vAlign w:val="bottom"/>
          </w:tcPr>
          <w:p w14:paraId="0F7B0667" w14:textId="77777777" w:rsidR="00D6031B" w:rsidRPr="009F1576" w:rsidRDefault="005416EF" w:rsidP="00D6031B">
            <w:pPr>
              <w:pStyle w:val="Tablebodytext"/>
              <w:jc w:val="right"/>
              <w:cnfStyle w:val="000000010000" w:firstRow="0" w:lastRow="0" w:firstColumn="0" w:lastColumn="0" w:oddVBand="0" w:evenVBand="0" w:oddHBand="0" w:evenHBand="1" w:firstRowFirstColumn="0" w:firstRowLastColumn="0" w:lastRowFirstColumn="0" w:lastRowLastColumn="0"/>
              <w:rPr>
                <w:rStyle w:val="Emphasis"/>
                <w:b w:val="0"/>
              </w:rPr>
            </w:pPr>
            <w:r>
              <w:rPr>
                <w:rStyle w:val="Emphasis"/>
                <w:b w:val="0"/>
              </w:rPr>
              <w:t>1,</w:t>
            </w:r>
            <w:r w:rsidR="001B584C">
              <w:rPr>
                <w:rStyle w:val="Emphasis"/>
                <w:b w:val="0"/>
              </w:rPr>
              <w:t>015</w:t>
            </w:r>
          </w:p>
        </w:tc>
        <w:tc>
          <w:tcPr>
            <w:tcW w:w="628" w:type="pct"/>
            <w:shd w:val="clear" w:color="auto" w:fill="F2F2F2" w:themeFill="background1" w:themeFillShade="F2"/>
            <w:vAlign w:val="bottom"/>
          </w:tcPr>
          <w:p w14:paraId="7DB153E3" w14:textId="77777777" w:rsidR="00D6031B" w:rsidRPr="00C73073" w:rsidRDefault="00F3047F" w:rsidP="00D6031B">
            <w:pPr>
              <w:pStyle w:val="Tablebodytext"/>
              <w:jc w:val="right"/>
              <w:cnfStyle w:val="000000010000" w:firstRow="0" w:lastRow="0" w:firstColumn="0" w:lastColumn="0" w:oddVBand="0" w:evenVBand="0" w:oddHBand="0" w:evenHBand="1" w:firstRowFirstColumn="0" w:firstRowLastColumn="0" w:lastRowFirstColumn="0" w:lastRowLastColumn="0"/>
            </w:pPr>
            <w:r>
              <w:t>2,082</w:t>
            </w:r>
          </w:p>
        </w:tc>
        <w:tc>
          <w:tcPr>
            <w:tcW w:w="628" w:type="pct"/>
            <w:shd w:val="clear" w:color="auto" w:fill="F2F2F2" w:themeFill="background1" w:themeFillShade="F2"/>
            <w:vAlign w:val="bottom"/>
          </w:tcPr>
          <w:p w14:paraId="16EC2DB1" w14:textId="77777777" w:rsidR="00D6031B" w:rsidRPr="0051762F" w:rsidRDefault="007C571C" w:rsidP="00D6031B">
            <w:pPr>
              <w:pStyle w:val="Tablebodytext"/>
              <w:jc w:val="right"/>
              <w:cnfStyle w:val="000000010000" w:firstRow="0" w:lastRow="0" w:firstColumn="0" w:lastColumn="0" w:oddVBand="0" w:evenVBand="0" w:oddHBand="0" w:evenHBand="1" w:firstRowFirstColumn="0" w:firstRowLastColumn="0" w:lastRowFirstColumn="0" w:lastRowLastColumn="0"/>
            </w:pPr>
            <w:r>
              <w:t>-</w:t>
            </w:r>
          </w:p>
        </w:tc>
        <w:tc>
          <w:tcPr>
            <w:tcW w:w="671" w:type="pct"/>
            <w:shd w:val="clear" w:color="auto" w:fill="F2F2F2" w:themeFill="background1" w:themeFillShade="F2"/>
            <w:vAlign w:val="bottom"/>
          </w:tcPr>
          <w:p w14:paraId="7DA1AD73" w14:textId="77777777" w:rsidR="00D6031B" w:rsidRPr="00C73073" w:rsidRDefault="00F3047F" w:rsidP="00D6031B">
            <w:pPr>
              <w:pStyle w:val="Tablebodytext"/>
              <w:jc w:val="right"/>
              <w:cnfStyle w:val="000000010000" w:firstRow="0" w:lastRow="0" w:firstColumn="0" w:lastColumn="0" w:oddVBand="0" w:evenVBand="0" w:oddHBand="0" w:evenHBand="1" w:firstRowFirstColumn="0" w:firstRowLastColumn="0" w:lastRowFirstColumn="0" w:lastRowLastColumn="0"/>
            </w:pPr>
            <w:r>
              <w:t>1,456</w:t>
            </w:r>
          </w:p>
        </w:tc>
      </w:tr>
      <w:tr w:rsidR="00D6031B" w14:paraId="308C3A2A"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10" w:type="pct"/>
            <w:tcBorders>
              <w:top w:val="single" w:sz="4" w:space="0" w:color="FFFFFF" w:themeColor="background1"/>
            </w:tcBorders>
            <w:shd w:val="clear" w:color="auto" w:fill="BFBFBF" w:themeFill="background1" w:themeFillShade="BF"/>
          </w:tcPr>
          <w:p w14:paraId="0271F75A" w14:textId="77777777" w:rsidR="00D6031B" w:rsidRPr="005416EF" w:rsidRDefault="00D6031B" w:rsidP="00D6031B">
            <w:pPr>
              <w:pStyle w:val="Tablebodytext"/>
              <w:jc w:val="right"/>
              <w:rPr>
                <w:rStyle w:val="Emphasis"/>
                <w:b w:val="0"/>
                <w:u w:val="single"/>
              </w:rPr>
            </w:pPr>
            <w:r w:rsidRPr="005416EF">
              <w:rPr>
                <w:rStyle w:val="Emphasis"/>
                <w:b w:val="0"/>
                <w:u w:val="single"/>
              </w:rPr>
              <w:t>18,290</w:t>
            </w:r>
          </w:p>
        </w:tc>
        <w:tc>
          <w:tcPr>
            <w:tcW w:w="1852" w:type="pct"/>
            <w:shd w:val="clear" w:color="auto" w:fill="BFBFBF" w:themeFill="background1" w:themeFillShade="BF"/>
          </w:tcPr>
          <w:p w14:paraId="692AD969" w14:textId="77777777" w:rsidR="00D6031B" w:rsidRPr="00803CB2" w:rsidRDefault="00D6031B" w:rsidP="00D6031B">
            <w:pPr>
              <w:pStyle w:val="Tablebodytext"/>
              <w:cnfStyle w:val="000000100000" w:firstRow="0" w:lastRow="0" w:firstColumn="0" w:lastColumn="0" w:oddVBand="0" w:evenVBand="0" w:oddHBand="1" w:evenHBand="0" w:firstRowFirstColumn="0" w:firstRowLastColumn="0" w:lastRowFirstColumn="0" w:lastRowLastColumn="0"/>
              <w:rPr>
                <w:rStyle w:val="Emphasis"/>
              </w:rPr>
            </w:pPr>
            <w:r w:rsidRPr="00803CB2">
              <w:rPr>
                <w:rStyle w:val="Emphasis"/>
              </w:rPr>
              <w:t>Total</w:t>
            </w:r>
          </w:p>
        </w:tc>
        <w:tc>
          <w:tcPr>
            <w:tcW w:w="610" w:type="pct"/>
            <w:shd w:val="clear" w:color="auto" w:fill="BFBFBF" w:themeFill="background1" w:themeFillShade="BF"/>
          </w:tcPr>
          <w:p w14:paraId="2BE3874F" w14:textId="77777777" w:rsidR="00D6031B" w:rsidRPr="009F1576" w:rsidRDefault="005416EF" w:rsidP="00D6031B">
            <w:pPr>
              <w:pStyle w:val="Tablebodytext"/>
              <w:jc w:val="right"/>
              <w:cnfStyle w:val="000000100000" w:firstRow="0" w:lastRow="0" w:firstColumn="0" w:lastColumn="0" w:oddVBand="0" w:evenVBand="0" w:oddHBand="1" w:evenHBand="0" w:firstRowFirstColumn="0" w:firstRowLastColumn="0" w:lastRowFirstColumn="0" w:lastRowLastColumn="0"/>
              <w:rPr>
                <w:rStyle w:val="Emphasis"/>
                <w:b w:val="0"/>
                <w:u w:val="single"/>
              </w:rPr>
            </w:pPr>
            <w:r>
              <w:rPr>
                <w:rStyle w:val="Emphasis"/>
                <w:b w:val="0"/>
                <w:u w:val="single"/>
              </w:rPr>
              <w:t>2</w:t>
            </w:r>
            <w:r w:rsidR="001B584C">
              <w:rPr>
                <w:rStyle w:val="Emphasis"/>
                <w:b w:val="0"/>
                <w:u w:val="single"/>
              </w:rPr>
              <w:t>4,960</w:t>
            </w:r>
          </w:p>
        </w:tc>
        <w:tc>
          <w:tcPr>
            <w:tcW w:w="628" w:type="pct"/>
            <w:shd w:val="clear" w:color="auto" w:fill="BFBFBF" w:themeFill="background1" w:themeFillShade="BF"/>
          </w:tcPr>
          <w:p w14:paraId="52CABD56" w14:textId="77777777" w:rsidR="00D6031B" w:rsidRPr="00C73073" w:rsidRDefault="005416EF" w:rsidP="00D6031B">
            <w:pPr>
              <w:pStyle w:val="Tablebodytext"/>
              <w:jc w:val="right"/>
              <w:cnfStyle w:val="000000100000" w:firstRow="0" w:lastRow="0" w:firstColumn="0" w:lastColumn="0" w:oddVBand="0" w:evenVBand="0" w:oddHBand="1" w:evenHBand="0" w:firstRowFirstColumn="0" w:firstRowLastColumn="0" w:lastRowFirstColumn="0" w:lastRowLastColumn="0"/>
              <w:rPr>
                <w:u w:val="single"/>
              </w:rPr>
            </w:pPr>
            <w:r>
              <w:rPr>
                <w:u w:val="single"/>
              </w:rPr>
              <w:t>25,962</w:t>
            </w:r>
          </w:p>
        </w:tc>
        <w:tc>
          <w:tcPr>
            <w:tcW w:w="628" w:type="pct"/>
            <w:shd w:val="clear" w:color="auto" w:fill="BFBFBF" w:themeFill="background1" w:themeFillShade="BF"/>
          </w:tcPr>
          <w:p w14:paraId="46CE6BB3" w14:textId="77777777" w:rsidR="00D6031B" w:rsidRPr="0051762F" w:rsidRDefault="005416EF" w:rsidP="00D6031B">
            <w:pPr>
              <w:pStyle w:val="Tablebodytext"/>
              <w:jc w:val="right"/>
              <w:cnfStyle w:val="000000100000" w:firstRow="0" w:lastRow="0" w:firstColumn="0" w:lastColumn="0" w:oddVBand="0" w:evenVBand="0" w:oddHBand="1" w:evenHBand="0" w:firstRowFirstColumn="0" w:firstRowLastColumn="0" w:lastRowFirstColumn="0" w:lastRowLastColumn="0"/>
              <w:rPr>
                <w:u w:val="single"/>
              </w:rPr>
            </w:pPr>
            <w:r>
              <w:rPr>
                <w:u w:val="single"/>
              </w:rPr>
              <w:t>23,945</w:t>
            </w:r>
          </w:p>
        </w:tc>
        <w:tc>
          <w:tcPr>
            <w:tcW w:w="671" w:type="pct"/>
            <w:shd w:val="clear" w:color="auto" w:fill="BFBFBF" w:themeFill="background1" w:themeFillShade="BF"/>
          </w:tcPr>
          <w:p w14:paraId="78069B99" w14:textId="77777777" w:rsidR="00D6031B" w:rsidRPr="00C73073" w:rsidRDefault="007C571C" w:rsidP="00D6031B">
            <w:pPr>
              <w:pStyle w:val="Tablebodytext"/>
              <w:jc w:val="right"/>
              <w:cnfStyle w:val="000000100000" w:firstRow="0" w:lastRow="0" w:firstColumn="0" w:lastColumn="0" w:oddVBand="0" w:evenVBand="0" w:oddHBand="1" w:evenHBand="0" w:firstRowFirstColumn="0" w:firstRowLastColumn="0" w:lastRowFirstColumn="0" w:lastRowLastColumn="0"/>
              <w:rPr>
                <w:u w:val="single"/>
              </w:rPr>
            </w:pPr>
            <w:r>
              <w:rPr>
                <w:u w:val="single"/>
              </w:rPr>
              <w:t>34,721</w:t>
            </w:r>
          </w:p>
        </w:tc>
      </w:tr>
    </w:tbl>
    <w:p w14:paraId="0EA02139" w14:textId="77777777" w:rsidR="00DF1795" w:rsidRDefault="00DF1795" w:rsidP="00DF1795">
      <w:pPr>
        <w:pStyle w:val="Whitespace"/>
      </w:pPr>
    </w:p>
    <w:p w14:paraId="30273185" w14:textId="0D1BC9D4" w:rsidR="00DF1795" w:rsidRDefault="00DF1795" w:rsidP="00DF1795">
      <w:pPr>
        <w:pStyle w:val="BodyText"/>
        <w:sectPr w:rsidR="00DF1795" w:rsidSect="001A0640">
          <w:footerReference w:type="default" r:id="rId51"/>
          <w:footerReference w:type="first" r:id="rId52"/>
          <w:endnotePr>
            <w:numFmt w:val="decimal"/>
          </w:endnotePr>
          <w:pgSz w:w="11906" w:h="16838" w:code="9"/>
          <w:pgMar w:top="2438" w:right="1304" w:bottom="1701" w:left="1304" w:header="680" w:footer="680" w:gutter="0"/>
          <w:cols w:space="708"/>
          <w:docGrid w:linePitch="360"/>
        </w:sectPr>
      </w:pPr>
      <w:r>
        <w:t xml:space="preserve">End of year performance information is reported in the </w:t>
      </w:r>
      <w:hyperlink w:anchor="_Statement_of_objectives" w:history="1">
        <w:r>
          <w:rPr>
            <w:rStyle w:val="Hyperlink"/>
          </w:rPr>
          <w:t>S</w:t>
        </w:r>
        <w:r w:rsidRPr="00F833A3">
          <w:rPr>
            <w:rStyle w:val="Hyperlink"/>
          </w:rPr>
          <w:t>tatement of objectives and service performance</w:t>
        </w:r>
      </w:hyperlink>
      <w:r>
        <w:t>.</w:t>
      </w:r>
    </w:p>
    <w:p w14:paraId="6AA37C6D" w14:textId="77777777" w:rsidR="00DF1795" w:rsidRDefault="00DF1795" w:rsidP="00DF1795">
      <w:pPr>
        <w:pStyle w:val="Heading3"/>
        <w:spacing w:before="0"/>
      </w:pPr>
      <w:r w:rsidRPr="00BE4BB3">
        <w:t xml:space="preserve">Statement of </w:t>
      </w:r>
      <w:r>
        <w:t>expenses and capital</w:t>
      </w:r>
      <w:r w:rsidRPr="00BE4BB3">
        <w:t xml:space="preserve"> expenditure </w:t>
      </w:r>
      <w:r>
        <w:t xml:space="preserve">incurred without, or in excess of, appropriation or authority </w:t>
      </w:r>
      <w:r w:rsidRPr="00BE4BB3">
        <w:t xml:space="preserve">for the year ended 30 June </w:t>
      </w:r>
      <w:r w:rsidR="00D6031B" w:rsidRPr="00BE4BB3">
        <w:t>20</w:t>
      </w:r>
      <w:r w:rsidR="00D6031B">
        <w:t>20</w:t>
      </w:r>
    </w:p>
    <w:p w14:paraId="1CE95BE2" w14:textId="77777777" w:rsidR="00DF1795" w:rsidRPr="00DE4E15" w:rsidRDefault="00DF1795" w:rsidP="00DF1795">
      <w:pPr>
        <w:pStyle w:val="BodyText"/>
      </w:pPr>
      <w:r w:rsidRPr="00443ECF">
        <w:t xml:space="preserve">There was no unappropriated expenditure for </w:t>
      </w:r>
      <w:r w:rsidR="00443ECF" w:rsidRPr="00443ECF">
        <w:t>2020/21 (201</w:t>
      </w:r>
      <w:r w:rsidR="00D6031B" w:rsidRPr="00443ECF">
        <w:t>9</w:t>
      </w:r>
      <w:r w:rsidR="00443ECF" w:rsidRPr="00443ECF">
        <w:t>/20</w:t>
      </w:r>
      <w:r w:rsidRPr="00443ECF">
        <w:t xml:space="preserve"> Nil).</w:t>
      </w:r>
    </w:p>
    <w:p w14:paraId="3F76B15D" w14:textId="77777777" w:rsidR="00DF1795" w:rsidRDefault="00DF1795" w:rsidP="00DF1795">
      <w:pPr>
        <w:pStyle w:val="Heading3"/>
        <w:spacing w:before="0"/>
      </w:pPr>
      <w:r w:rsidRPr="00B24883">
        <w:t xml:space="preserve">Statement of </w:t>
      </w:r>
      <w:r w:rsidRPr="007E1D36">
        <w:t>the Office’</w:t>
      </w:r>
      <w:r w:rsidRPr="00B24883">
        <w:t>s capital injections for the year ended 30</w:t>
      </w:r>
      <w:r>
        <w:t xml:space="preserve"> June </w:t>
      </w:r>
      <w:r w:rsidR="00D6031B">
        <w:t>2020</w:t>
      </w:r>
    </w:p>
    <w:tbl>
      <w:tblPr>
        <w:tblStyle w:val="TableGridAnnualReport23"/>
        <w:tblW w:w="9299" w:type="dxa"/>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Caption w:val="Statement of the Office’s capital injections for the year ended 30 June 2017"/>
      </w:tblPr>
      <w:tblGrid>
        <w:gridCol w:w="1262"/>
        <w:gridCol w:w="2697"/>
        <w:gridCol w:w="1276"/>
        <w:gridCol w:w="1284"/>
        <w:gridCol w:w="1268"/>
        <w:gridCol w:w="1512"/>
      </w:tblGrid>
      <w:tr w:rsidR="00DF1795" w14:paraId="6DFB5E0D" w14:textId="77777777" w:rsidTr="00506E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2" w:type="dxa"/>
            <w:hideMark/>
          </w:tcPr>
          <w:p w14:paraId="477F0278" w14:textId="77777777" w:rsidR="00DF1795" w:rsidRPr="00DE4E15" w:rsidRDefault="00DF1795" w:rsidP="00506E02">
            <w:pPr>
              <w:pStyle w:val="Tableheadingrow1"/>
              <w:jc w:val="right"/>
            </w:pPr>
            <w:r w:rsidRPr="00DE4E15">
              <w:t>30/06/1</w:t>
            </w:r>
            <w:r w:rsidR="00D6031B">
              <w:t>9</w:t>
            </w:r>
            <w:r w:rsidRPr="00DE4E15">
              <w:br/>
              <w:t>Actual</w:t>
            </w:r>
            <w:r w:rsidRPr="00DE4E15">
              <w:br/>
            </w:r>
          </w:p>
          <w:p w14:paraId="6E8E8C95" w14:textId="77777777" w:rsidR="00DF1795" w:rsidRDefault="00DF1795" w:rsidP="00506E02">
            <w:pPr>
              <w:pStyle w:val="Tableheadingrow1"/>
              <w:jc w:val="right"/>
            </w:pPr>
          </w:p>
          <w:p w14:paraId="6DB42BE8" w14:textId="77777777" w:rsidR="00DF1795" w:rsidRPr="00DE4E15" w:rsidRDefault="00DF1795" w:rsidP="00506E02">
            <w:pPr>
              <w:pStyle w:val="Tableheadingrow1"/>
              <w:jc w:val="right"/>
            </w:pPr>
            <w:r w:rsidRPr="00DE4E15">
              <w:t>$(000)</w:t>
            </w:r>
          </w:p>
        </w:tc>
        <w:tc>
          <w:tcPr>
            <w:tcW w:w="2697" w:type="dxa"/>
          </w:tcPr>
          <w:p w14:paraId="3405662F" w14:textId="77777777" w:rsidR="00DF1795" w:rsidRPr="00DE4E1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tc>
        <w:tc>
          <w:tcPr>
            <w:tcW w:w="1276" w:type="dxa"/>
            <w:hideMark/>
          </w:tcPr>
          <w:p w14:paraId="4E2DD923" w14:textId="77777777"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w:t>
            </w:r>
            <w:r w:rsidR="00D6031B">
              <w:t>20</w:t>
            </w:r>
            <w:r>
              <w:br/>
              <w:t>Actual</w:t>
            </w:r>
          </w:p>
          <w:p w14:paraId="4FEFF92B" w14:textId="77777777" w:rsidR="00DF1795" w:rsidRPr="00DE4E1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14:paraId="4436BE36" w14:textId="77777777"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14:paraId="032C046C" w14:textId="77777777" w:rsidR="00DF1795" w:rsidRPr="00DE4E1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DE4E15">
              <w:t>$(000)</w:t>
            </w:r>
          </w:p>
        </w:tc>
        <w:tc>
          <w:tcPr>
            <w:tcW w:w="1284" w:type="dxa"/>
          </w:tcPr>
          <w:p w14:paraId="4AB25ECD" w14:textId="77777777"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w:t>
            </w:r>
            <w:r w:rsidR="00D6031B">
              <w:t>20</w:t>
            </w:r>
          </w:p>
          <w:p w14:paraId="37EBC7D3" w14:textId="77777777"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Main estimates</w:t>
            </w:r>
          </w:p>
          <w:p w14:paraId="6B5DC2F7" w14:textId="77777777"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14:paraId="070D6B5B" w14:textId="77777777" w:rsidR="00DF1795" w:rsidRPr="00DE4E1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$(000)</w:t>
            </w:r>
          </w:p>
        </w:tc>
        <w:tc>
          <w:tcPr>
            <w:tcW w:w="1268" w:type="dxa"/>
          </w:tcPr>
          <w:p w14:paraId="28DC2BA5" w14:textId="77777777" w:rsidR="00DF1795" w:rsidRPr="00DE4E1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DE4E15">
              <w:t>30/06/</w:t>
            </w:r>
            <w:r w:rsidR="00D6031B">
              <w:t>20</w:t>
            </w:r>
          </w:p>
          <w:p w14:paraId="21832B84" w14:textId="77777777" w:rsidR="00DF1795" w:rsidRPr="00DE4E1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DE4E15">
              <w:t xml:space="preserve">Supp. </w:t>
            </w:r>
            <w:r>
              <w:t>e</w:t>
            </w:r>
            <w:r w:rsidRPr="00DE4E15">
              <w:t>stimates</w:t>
            </w:r>
          </w:p>
          <w:p w14:paraId="402920DF" w14:textId="77777777" w:rsidR="00DF179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p>
          <w:p w14:paraId="04DEF484" w14:textId="77777777" w:rsidR="00DF1795" w:rsidRPr="00DE4E1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DE4E15">
              <w:t>$(000)</w:t>
            </w:r>
          </w:p>
        </w:tc>
        <w:tc>
          <w:tcPr>
            <w:tcW w:w="1512" w:type="dxa"/>
          </w:tcPr>
          <w:p w14:paraId="785715D6" w14:textId="77777777" w:rsidR="00DF1795" w:rsidRPr="00DE4E1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30/06/</w:t>
            </w:r>
            <w:r w:rsidR="00D6031B">
              <w:t>21</w:t>
            </w:r>
          </w:p>
          <w:p w14:paraId="3FEDA130" w14:textId="77777777" w:rsidR="00DF1795" w:rsidRPr="00DE4E1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DE4E15">
              <w:t>Unaudited</w:t>
            </w:r>
          </w:p>
          <w:p w14:paraId="1A4D7E63" w14:textId="77777777" w:rsidR="00DF1795" w:rsidRPr="00DE4E1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t>f</w:t>
            </w:r>
            <w:r w:rsidRPr="00DE4E15">
              <w:t>orecast IPSAS</w:t>
            </w:r>
            <w:r>
              <w:t>*</w:t>
            </w:r>
          </w:p>
          <w:p w14:paraId="29F66E8A" w14:textId="77777777" w:rsidR="00DF1795" w:rsidRPr="00DE4E15" w:rsidRDefault="00DF1795" w:rsidP="00506E02">
            <w:pPr>
              <w:pStyle w:val="Tableheadingrow1"/>
              <w:jc w:val="right"/>
              <w:cnfStyle w:val="100000000000" w:firstRow="1" w:lastRow="0" w:firstColumn="0" w:lastColumn="0" w:oddVBand="0" w:evenVBand="0" w:oddHBand="0" w:evenHBand="0" w:firstRowFirstColumn="0" w:firstRowLastColumn="0" w:lastRowFirstColumn="0" w:lastRowLastColumn="0"/>
            </w:pPr>
            <w:r w:rsidRPr="00DE4E15">
              <w:t>$(000)</w:t>
            </w:r>
          </w:p>
        </w:tc>
      </w:tr>
      <w:tr w:rsidR="00DF1795" w14:paraId="5F22027B" w14:textId="77777777" w:rsidTr="004A55B3">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1262" w:type="dxa"/>
            <w:shd w:val="clear" w:color="auto" w:fill="F2F2F2" w:themeFill="background1" w:themeFillShade="F2"/>
            <w:vAlign w:val="bottom"/>
          </w:tcPr>
          <w:p w14:paraId="5F540238" w14:textId="77777777" w:rsidR="00DF1795" w:rsidRPr="00DE4E15" w:rsidRDefault="00D6031B" w:rsidP="004A55B3">
            <w:pPr>
              <w:pStyle w:val="Tablebodytext"/>
              <w:jc w:val="right"/>
            </w:pPr>
            <w:r>
              <w:rPr>
                <w:rStyle w:val="Emphasis"/>
                <w:b w:val="0"/>
              </w:rPr>
              <w:t>2,321</w:t>
            </w:r>
          </w:p>
        </w:tc>
        <w:tc>
          <w:tcPr>
            <w:tcW w:w="2697" w:type="dxa"/>
            <w:shd w:val="clear" w:color="auto" w:fill="F2F2F2" w:themeFill="background1" w:themeFillShade="F2"/>
          </w:tcPr>
          <w:p w14:paraId="34E614F5" w14:textId="2A7A3C3E" w:rsidR="00DF1795" w:rsidRPr="00DE4E15" w:rsidRDefault="00DF1795" w:rsidP="00D9516F">
            <w:pPr>
              <w:pStyle w:val="Tablebodytext"/>
              <w:cnfStyle w:val="000000100000" w:firstRow="0" w:lastRow="0" w:firstColumn="0" w:lastColumn="0" w:oddVBand="0" w:evenVBand="0" w:oddHBand="1" w:evenHBand="0" w:firstRowFirstColumn="0" w:firstRowLastColumn="0" w:lastRowFirstColumn="0" w:lastRowLastColumn="0"/>
            </w:pPr>
            <w:r w:rsidRPr="00DE4E15">
              <w:t xml:space="preserve">Office of the </w:t>
            </w:r>
            <w:r w:rsidR="00D9516F" w:rsidRPr="00DE4E15">
              <w:t>Ombudsm</w:t>
            </w:r>
            <w:r w:rsidR="00D9516F">
              <w:t>a</w:t>
            </w:r>
            <w:r w:rsidR="00D9516F" w:rsidRPr="00DE4E15">
              <w:t xml:space="preserve">n </w:t>
            </w:r>
            <w:r w:rsidRPr="00DE4E15">
              <w:t>appropriation for capital expenditure (Permanent Legislative Authority)</w:t>
            </w:r>
          </w:p>
        </w:tc>
        <w:tc>
          <w:tcPr>
            <w:tcW w:w="1276" w:type="dxa"/>
            <w:shd w:val="clear" w:color="auto" w:fill="F2F2F2" w:themeFill="background1" w:themeFillShade="F2"/>
            <w:vAlign w:val="bottom"/>
          </w:tcPr>
          <w:p w14:paraId="79BEC315" w14:textId="77777777" w:rsidR="00DF1795" w:rsidRPr="00B524DA" w:rsidRDefault="00443ECF" w:rsidP="004A55B3">
            <w:pPr>
              <w:pStyle w:val="Tablebodytext"/>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1,882</w:t>
            </w:r>
          </w:p>
        </w:tc>
        <w:tc>
          <w:tcPr>
            <w:tcW w:w="1284" w:type="dxa"/>
            <w:shd w:val="clear" w:color="auto" w:fill="F2F2F2" w:themeFill="background1" w:themeFillShade="F2"/>
            <w:vAlign w:val="bottom"/>
          </w:tcPr>
          <w:p w14:paraId="264EF2CB" w14:textId="77777777" w:rsidR="00DF1795" w:rsidRPr="00B524DA" w:rsidRDefault="00443ECF" w:rsidP="004A55B3">
            <w:pPr>
              <w:pStyle w:val="Tablebodytext"/>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1,882</w:t>
            </w:r>
          </w:p>
        </w:tc>
        <w:tc>
          <w:tcPr>
            <w:tcW w:w="1268" w:type="dxa"/>
            <w:shd w:val="clear" w:color="auto" w:fill="F2F2F2" w:themeFill="background1" w:themeFillShade="F2"/>
            <w:vAlign w:val="bottom"/>
          </w:tcPr>
          <w:p w14:paraId="3DC51A75" w14:textId="77777777" w:rsidR="00DF1795" w:rsidRPr="00B524DA" w:rsidRDefault="00443ECF" w:rsidP="004A55B3">
            <w:pPr>
              <w:pStyle w:val="Tablebodytext"/>
              <w:jc w:val="right"/>
              <w:cnfStyle w:val="000000100000" w:firstRow="0" w:lastRow="0" w:firstColumn="0" w:lastColumn="0" w:oddVBand="0" w:evenVBand="0" w:oddHBand="1" w:evenHBand="0" w:firstRowFirstColumn="0" w:firstRowLastColumn="0" w:lastRowFirstColumn="0" w:lastRowLastColumn="0"/>
              <w:rPr>
                <w:rStyle w:val="Emphasis"/>
                <w:b w:val="0"/>
              </w:rPr>
            </w:pPr>
            <w:r>
              <w:rPr>
                <w:rStyle w:val="Emphasis"/>
                <w:b w:val="0"/>
              </w:rPr>
              <w:t>1,882</w:t>
            </w:r>
          </w:p>
        </w:tc>
        <w:tc>
          <w:tcPr>
            <w:tcW w:w="1512" w:type="dxa"/>
            <w:shd w:val="clear" w:color="auto" w:fill="F2F2F2" w:themeFill="background1" w:themeFillShade="F2"/>
            <w:vAlign w:val="bottom"/>
          </w:tcPr>
          <w:p w14:paraId="4D94C3A2" w14:textId="77777777" w:rsidR="00DF1795" w:rsidRPr="00917188" w:rsidRDefault="00F3047F" w:rsidP="004A55B3">
            <w:pPr>
              <w:pStyle w:val="Tablebodytext"/>
              <w:jc w:val="right"/>
              <w:cnfStyle w:val="000000100000" w:firstRow="0" w:lastRow="0" w:firstColumn="0" w:lastColumn="0" w:oddVBand="0" w:evenVBand="0" w:oddHBand="1" w:evenHBand="0" w:firstRowFirstColumn="0" w:firstRowLastColumn="0" w:lastRowFirstColumn="0" w:lastRowLastColumn="0"/>
            </w:pPr>
            <w:r>
              <w:t>1,256</w:t>
            </w:r>
          </w:p>
        </w:tc>
      </w:tr>
    </w:tbl>
    <w:p w14:paraId="36C6005A" w14:textId="77777777" w:rsidR="00DF1795" w:rsidRDefault="00DF1795" w:rsidP="00DF1795">
      <w:pPr>
        <w:pStyle w:val="Whitespace"/>
      </w:pPr>
    </w:p>
    <w:p w14:paraId="6508441A" w14:textId="77777777" w:rsidR="00DF1795" w:rsidRPr="00B24883" w:rsidRDefault="00DF1795" w:rsidP="00DF1795">
      <w:pPr>
        <w:pStyle w:val="Heading3"/>
      </w:pPr>
      <w:r w:rsidRPr="00B24883">
        <w:t xml:space="preserve">Statement of </w:t>
      </w:r>
      <w:r w:rsidRPr="007E1D36">
        <w:t>the Office’s</w:t>
      </w:r>
      <w:r w:rsidRPr="00B24883">
        <w:t xml:space="preserve"> capital injections without, or in excess of, authority for </w:t>
      </w:r>
      <w:r>
        <w:t>the year ended 30 June 20</w:t>
      </w:r>
      <w:r w:rsidR="00D6031B">
        <w:t>20</w:t>
      </w:r>
    </w:p>
    <w:p w14:paraId="09297742" w14:textId="77777777" w:rsidR="00DF1795" w:rsidRDefault="00DF1795" w:rsidP="00DF1795">
      <w:pPr>
        <w:pStyle w:val="BodyText"/>
        <w:rPr>
          <w:color w:val="auto"/>
        </w:rPr>
      </w:pPr>
      <w:r w:rsidRPr="00443ECF">
        <w:rPr>
          <w:rStyle w:val="BodyTextChar"/>
        </w:rPr>
        <w:t>The Office has not received any capital injections during the year without, or in excess of, authority.</w:t>
      </w:r>
    </w:p>
    <w:p w14:paraId="16D0E257" w14:textId="77777777" w:rsidR="00DF1795" w:rsidRDefault="00DF1795" w:rsidP="00DF1795">
      <w:pPr>
        <w:pStyle w:val="BodyText"/>
      </w:pPr>
    </w:p>
    <w:p w14:paraId="6687E265" w14:textId="77777777" w:rsidR="00DF1795" w:rsidRDefault="00DF1795" w:rsidP="00DF1795">
      <w:pPr>
        <w:spacing w:line="276" w:lineRule="auto"/>
        <w:sectPr w:rsidR="00DF1795" w:rsidSect="001A0640">
          <w:footerReference w:type="default" r:id="rId53"/>
          <w:footerReference w:type="first" r:id="rId54"/>
          <w:endnotePr>
            <w:numFmt w:val="decimal"/>
          </w:endnotePr>
          <w:pgSz w:w="11906" w:h="16838" w:code="9"/>
          <w:pgMar w:top="2438" w:right="1304" w:bottom="1701" w:left="1304" w:header="680" w:footer="680" w:gutter="0"/>
          <w:cols w:space="708"/>
          <w:docGrid w:linePitch="360"/>
        </w:sectPr>
      </w:pPr>
      <w:bookmarkStart w:id="147" w:name="_Statement_of_changes"/>
      <w:bookmarkStart w:id="148" w:name="_Statement_of_cash"/>
      <w:bookmarkStart w:id="149" w:name="_Statement_of_commitments"/>
      <w:bookmarkStart w:id="150" w:name="_Statement_of_contingent"/>
      <w:bookmarkStart w:id="151" w:name="_Notes_to_the"/>
      <w:bookmarkStart w:id="152" w:name="_Appropriation_statements"/>
      <w:bookmarkEnd w:id="147"/>
      <w:bookmarkEnd w:id="148"/>
      <w:bookmarkEnd w:id="149"/>
      <w:bookmarkEnd w:id="150"/>
      <w:bookmarkEnd w:id="151"/>
      <w:bookmarkEnd w:id="152"/>
    </w:p>
    <w:p w14:paraId="06051EC7" w14:textId="77777777" w:rsidR="00DF1795" w:rsidRPr="00B36520" w:rsidRDefault="00DF1795" w:rsidP="00DF1795">
      <w:pPr>
        <w:pStyle w:val="HeadingPart"/>
      </w:pPr>
      <w:r>
        <w:rPr>
          <w:noProof/>
          <w:lang w:eastAsia="en-NZ"/>
        </w:rPr>
        <mc:AlternateContent>
          <mc:Choice Requires="wps">
            <w:drawing>
              <wp:anchor distT="0" distB="0" distL="114300" distR="114300" simplePos="0" relativeHeight="251685888" behindDoc="0" locked="0" layoutInCell="1" allowOverlap="1" wp14:anchorId="69F7352B" wp14:editId="4BBF9BE5">
                <wp:simplePos x="0" y="0"/>
                <wp:positionH relativeFrom="page">
                  <wp:posOffset>5537606</wp:posOffset>
                </wp:positionH>
                <wp:positionV relativeFrom="page">
                  <wp:posOffset>1536193</wp:posOffset>
                </wp:positionV>
                <wp:extent cx="1332865" cy="1938528"/>
                <wp:effectExtent l="0" t="0" r="0" b="5080"/>
                <wp:wrapNone/>
                <wp:docPr id="9" name="Text Box 12" title="Illustrative element - the numbe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1938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A87BD" w14:textId="77777777" w:rsidR="0099164B" w:rsidRPr="00C95275" w:rsidRDefault="0099164B" w:rsidP="00DF1795">
                            <w:pPr>
                              <w:spacing w:after="0"/>
                              <w:jc w:val="right"/>
                              <w:rPr>
                                <w:rFonts w:ascii="Lucida Sans" w:hAnsi="Lucida Sans" w:cs="Lucida Sans"/>
                                <w:color w:val="2BB673"/>
                                <w:sz w:val="280"/>
                                <w:szCs w:val="280"/>
                              </w:rPr>
                            </w:pPr>
                            <w:r>
                              <w:rPr>
                                <w:rFonts w:ascii="Lucida Sans" w:hAnsi="Lucida Sans" w:cs="Lucida Sans"/>
                                <w:color w:val="2BB673"/>
                                <w:sz w:val="280"/>
                                <w:szCs w:val="280"/>
                              </w:rPr>
                              <w:t>7</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7352B" id="Text Box 12" o:spid="_x0000_s1032" type="#_x0000_t202" alt="Title: Illustrative element - the number '7'" style="position:absolute;margin-left:436.05pt;margin-top:120.95pt;width:104.95pt;height:152.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" filled="f" stroked="f">
                <v:textbox>
                  <w:txbxContent>
                    <w:p w14:paraId="2D4A87BD" w14:textId="77777777" w:rsidR="0099164B" w:rsidRPr="00C95275" w:rsidRDefault="0099164B" w:rsidP="00DF1795">
                      <w:pPr>
                        <w:spacing w:after="0"/>
                        <w:jc w:val="right"/>
                        <w:rPr>
                          <w:rFonts w:ascii="Lucida Sans" w:hAnsi="Lucida Sans" w:cs="Lucida Sans"/>
                          <w:color w:val="2BB673"/>
                          <w:sz w:val="280"/>
                          <w:szCs w:val="280"/>
                        </w:rPr>
                      </w:pPr>
                      <w:r>
                        <w:rPr>
                          <w:rFonts w:ascii="Lucida Sans" w:hAnsi="Lucida Sans" w:cs="Lucida Sans"/>
                          <w:color w:val="2BB673"/>
                          <w:sz w:val="280"/>
                          <w:szCs w:val="280"/>
                        </w:rPr>
                        <w:t>7</w:t>
                      </w:r>
                    </w:p>
                  </w:txbxContent>
                </v:textbox>
                <w10:wrap anchorx="page" anchory="page"/>
              </v:shape>
            </w:pict>
          </mc:Fallback>
        </mc:AlternateContent>
      </w:r>
    </w:p>
    <w:p w14:paraId="0D7A62DB" w14:textId="5BC86211" w:rsidR="00DF1795" w:rsidRDefault="00DF1795" w:rsidP="00DF1795">
      <w:pPr>
        <w:pStyle w:val="Heading1"/>
        <w:pageBreakBefore w:val="0"/>
        <w:tabs>
          <w:tab w:val="right" w:pos="9014"/>
        </w:tabs>
        <w:spacing w:after="1680"/>
      </w:pPr>
      <w:bookmarkStart w:id="153" w:name="_Analysis,_statistics_and"/>
      <w:bookmarkStart w:id="154" w:name="_Ref336348687"/>
      <w:bookmarkEnd w:id="153"/>
      <w:r w:rsidRPr="00BE4BB3">
        <w:t>Analysis, statistics</w:t>
      </w:r>
      <w:r w:rsidR="001A0640">
        <w:t>,</w:t>
      </w:r>
      <w:r w:rsidRPr="00BE4BB3">
        <w:t xml:space="preserve"> and directory</w:t>
      </w:r>
      <w:bookmarkEnd w:id="154"/>
      <w:r>
        <w:tab/>
      </w:r>
    </w:p>
    <w:tbl>
      <w:tblPr>
        <w:tblStyle w:val="TableGridAnnualReport"/>
        <w:tblW w:w="9278" w:type="dxa"/>
        <w:tblInd w:w="10" w:type="dxa"/>
        <w:tblBorders>
          <w:left w:val="single" w:sz="8" w:space="0" w:color="FFFFFF" w:themeColor="background1"/>
          <w:bottom w:val="single" w:sz="8" w:space="0" w:color="auto"/>
          <w:right w:val="single" w:sz="8" w:space="0" w:color="FFFFFF" w:themeColor="background1"/>
          <w:insideH w:val="single" w:sz="8" w:space="0" w:color="auto"/>
          <w:insideV w:val="single" w:sz="8" w:space="0" w:color="FFFFFF" w:themeColor="background1"/>
        </w:tblBorders>
        <w:shd w:val="clear" w:color="000000" w:fill="auto"/>
        <w:tblLook w:val="04A0" w:firstRow="1" w:lastRow="0" w:firstColumn="1" w:lastColumn="0" w:noHBand="0" w:noVBand="1"/>
        <w:tblCaption w:val="Contents Section 7"/>
      </w:tblPr>
      <w:tblGrid>
        <w:gridCol w:w="8191"/>
        <w:gridCol w:w="1087"/>
      </w:tblGrid>
      <w:tr w:rsidR="002B6A66" w:rsidRPr="00BA7B4D" w14:paraId="44A8F652" w14:textId="77777777" w:rsidTr="002B6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1" w:type="dxa"/>
            <w:tcBorders>
              <w:top w:val="single" w:sz="4" w:space="0" w:color="auto"/>
              <w:left w:val="single" w:sz="8" w:space="0" w:color="FFFFFF"/>
              <w:bottom w:val="single" w:sz="4" w:space="0" w:color="auto"/>
              <w:right w:val="single" w:sz="8" w:space="0" w:color="FFFFFF"/>
            </w:tcBorders>
            <w:shd w:val="clear" w:color="000000" w:fill="auto"/>
          </w:tcPr>
          <w:p w14:paraId="2B2F25A1" w14:textId="74BB0EAC" w:rsidR="002B6A66" w:rsidRDefault="005B795D" w:rsidP="0081525B">
            <w:pPr>
              <w:spacing w:before="120" w:after="120" w:line="276" w:lineRule="auto"/>
            </w:pPr>
            <w:hyperlink w:anchor="_Throughput_of_complaints," w:history="1">
              <w:r w:rsidR="002B6A66" w:rsidRPr="002D3B5E">
                <w:rPr>
                  <w:rStyle w:val="Hyperlink"/>
                </w:rPr>
                <w:t>OPCAT inspections</w:t>
              </w:r>
            </w:hyperlink>
          </w:p>
        </w:tc>
        <w:tc>
          <w:tcPr>
            <w:tcW w:w="1087" w:type="dxa"/>
            <w:tcBorders>
              <w:left w:val="single" w:sz="8" w:space="0" w:color="FFFFFF"/>
            </w:tcBorders>
            <w:shd w:val="clear" w:color="000000" w:fill="auto"/>
            <w:vAlign w:val="center"/>
          </w:tcPr>
          <w:p w14:paraId="4AC3628F" w14:textId="6A3FCFFE" w:rsidR="002B6A66" w:rsidRPr="00BA7B4D" w:rsidRDefault="00BA7B4D" w:rsidP="0081525B">
            <w:pPr>
              <w:spacing w:before="120" w:after="120" w:line="276" w:lineRule="auto"/>
              <w:jc w:val="right"/>
              <w:cnfStyle w:val="100000000000" w:firstRow="1" w:lastRow="0" w:firstColumn="0" w:lastColumn="0" w:oddVBand="0" w:evenVBand="0" w:oddHBand="0" w:evenHBand="0" w:firstRowFirstColumn="0" w:firstRowLastColumn="0" w:lastRowFirstColumn="0" w:lastRowLastColumn="0"/>
              <w:rPr>
                <w:sz w:val="25"/>
                <w:szCs w:val="25"/>
              </w:rPr>
            </w:pPr>
            <w:r w:rsidRPr="00BA7B4D">
              <w:fldChar w:fldCharType="begin"/>
            </w:r>
            <w:r w:rsidRPr="00BA7B4D">
              <w:rPr>
                <w:sz w:val="25"/>
                <w:szCs w:val="25"/>
              </w:rPr>
              <w:instrText xml:space="preserve"> PAGEREF _Ref54703127 \h </w:instrText>
            </w:r>
            <w:r w:rsidRPr="00BA7B4D">
              <w:fldChar w:fldCharType="separate"/>
            </w:r>
            <w:r w:rsidR="00E36674">
              <w:rPr>
                <w:noProof/>
                <w:sz w:val="25"/>
                <w:szCs w:val="25"/>
              </w:rPr>
              <w:t>108</w:t>
            </w:r>
            <w:r w:rsidRPr="00BA7B4D">
              <w:fldChar w:fldCharType="end"/>
            </w:r>
          </w:p>
        </w:tc>
      </w:tr>
      <w:tr w:rsidR="002B6A66" w:rsidRPr="00BA7B4D" w14:paraId="370B4C1B" w14:textId="77777777" w:rsidTr="002B6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1" w:type="dxa"/>
            <w:tcBorders>
              <w:top w:val="single" w:sz="4" w:space="0" w:color="auto"/>
              <w:left w:val="single" w:sz="8" w:space="0" w:color="FFFFFF"/>
              <w:bottom w:val="single" w:sz="4" w:space="0" w:color="auto"/>
              <w:right w:val="single" w:sz="8" w:space="0" w:color="FFFFFF"/>
            </w:tcBorders>
            <w:shd w:val="clear" w:color="000000" w:fill="auto"/>
          </w:tcPr>
          <w:p w14:paraId="20FE709F" w14:textId="2D1B3038" w:rsidR="002B6A66" w:rsidRPr="005107B4" w:rsidRDefault="005B795D" w:rsidP="0081525B">
            <w:pPr>
              <w:spacing w:before="120" w:after="120" w:line="276" w:lineRule="auto"/>
              <w:rPr>
                <w:sz w:val="25"/>
                <w:szCs w:val="25"/>
              </w:rPr>
            </w:pPr>
            <w:hyperlink w:anchor="_Throughput_of_complaints,_1" w:history="1">
              <w:r w:rsidR="002B6A66" w:rsidRPr="00C648CA">
                <w:rPr>
                  <w:rStyle w:val="Hyperlink"/>
                </w:rPr>
                <w:t>Throughput of complaints, other contacts and monitoring activities</w:t>
              </w:r>
            </w:hyperlink>
          </w:p>
        </w:tc>
        <w:tc>
          <w:tcPr>
            <w:tcW w:w="1087" w:type="dxa"/>
            <w:tcBorders>
              <w:top w:val="nil"/>
              <w:left w:val="single" w:sz="8" w:space="0" w:color="FFFFFF"/>
            </w:tcBorders>
            <w:shd w:val="clear" w:color="000000" w:fill="auto"/>
            <w:vAlign w:val="center"/>
          </w:tcPr>
          <w:p w14:paraId="5C334C84" w14:textId="66634BC3" w:rsidR="002B6A66" w:rsidRPr="00BA7B4D" w:rsidRDefault="00BA7B4D" w:rsidP="0081525B">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sidRPr="00BA7B4D">
              <w:rPr>
                <w:sz w:val="25"/>
                <w:szCs w:val="25"/>
              </w:rPr>
              <w:fldChar w:fldCharType="begin"/>
            </w:r>
            <w:r w:rsidRPr="00BA7B4D">
              <w:rPr>
                <w:sz w:val="25"/>
                <w:szCs w:val="25"/>
              </w:rPr>
              <w:instrText xml:space="preserve"> PAGEREF _Ref54703134 \h </w:instrText>
            </w:r>
            <w:r w:rsidRPr="00BA7B4D">
              <w:rPr>
                <w:sz w:val="25"/>
                <w:szCs w:val="25"/>
              </w:rPr>
            </w:r>
            <w:r w:rsidRPr="00BA7B4D">
              <w:rPr>
                <w:sz w:val="25"/>
                <w:szCs w:val="25"/>
              </w:rPr>
              <w:fldChar w:fldCharType="separate"/>
            </w:r>
            <w:r w:rsidR="00E36674">
              <w:rPr>
                <w:noProof/>
                <w:sz w:val="25"/>
                <w:szCs w:val="25"/>
              </w:rPr>
              <w:t>111</w:t>
            </w:r>
            <w:r w:rsidRPr="00BA7B4D">
              <w:rPr>
                <w:sz w:val="25"/>
                <w:szCs w:val="25"/>
              </w:rPr>
              <w:fldChar w:fldCharType="end"/>
            </w:r>
          </w:p>
        </w:tc>
      </w:tr>
      <w:tr w:rsidR="002B6A66" w:rsidRPr="00BA7B4D" w14:paraId="19ECDF4C" w14:textId="77777777" w:rsidTr="002B6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1" w:type="dxa"/>
            <w:tcBorders>
              <w:top w:val="single" w:sz="4" w:space="0" w:color="auto"/>
              <w:left w:val="single" w:sz="8" w:space="0" w:color="FFFFFF"/>
              <w:bottom w:val="single" w:sz="4" w:space="0" w:color="auto"/>
              <w:right w:val="single" w:sz="8" w:space="0" w:color="FFFFFF"/>
            </w:tcBorders>
            <w:shd w:val="clear" w:color="000000" w:fill="auto"/>
          </w:tcPr>
          <w:p w14:paraId="47736DB7" w14:textId="0A5E58E0" w:rsidR="002B6A66" w:rsidRDefault="005B795D" w:rsidP="0081525B">
            <w:pPr>
              <w:spacing w:before="120" w:after="120" w:line="276" w:lineRule="auto"/>
            </w:pPr>
            <w:hyperlink w:anchor="_Contact_type—who_matters_1" w:history="1">
              <w:r w:rsidR="002B6A66" w:rsidRPr="00C648CA">
                <w:rPr>
                  <w:rStyle w:val="Hyperlink"/>
                </w:rPr>
                <w:t>Contact typ</w:t>
              </w:r>
              <w:r w:rsidR="002B6A66">
                <w:rPr>
                  <w:rStyle w:val="Hyperlink"/>
                </w:rPr>
                <w:t>e—who matters were received from</w:t>
              </w:r>
            </w:hyperlink>
          </w:p>
        </w:tc>
        <w:tc>
          <w:tcPr>
            <w:tcW w:w="1087" w:type="dxa"/>
            <w:tcBorders>
              <w:left w:val="single" w:sz="8" w:space="0" w:color="FFFFFF"/>
            </w:tcBorders>
            <w:shd w:val="clear" w:color="000000" w:fill="auto"/>
            <w:vAlign w:val="center"/>
          </w:tcPr>
          <w:p w14:paraId="3244F161" w14:textId="4D69D9FF" w:rsidR="002B6A66" w:rsidRPr="00BA7B4D" w:rsidRDefault="00BA7B4D" w:rsidP="0081525B">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sidRPr="00BA7B4D">
              <w:rPr>
                <w:sz w:val="25"/>
                <w:szCs w:val="25"/>
              </w:rPr>
              <w:fldChar w:fldCharType="begin"/>
            </w:r>
            <w:r w:rsidRPr="00BA7B4D">
              <w:rPr>
                <w:sz w:val="25"/>
                <w:szCs w:val="25"/>
              </w:rPr>
              <w:instrText xml:space="preserve"> PAGEREF _Ref54703140 \h </w:instrText>
            </w:r>
            <w:r w:rsidRPr="00BA7B4D">
              <w:rPr>
                <w:sz w:val="25"/>
                <w:szCs w:val="25"/>
              </w:rPr>
            </w:r>
            <w:r w:rsidRPr="00BA7B4D">
              <w:rPr>
                <w:sz w:val="25"/>
                <w:szCs w:val="25"/>
              </w:rPr>
              <w:fldChar w:fldCharType="separate"/>
            </w:r>
            <w:r w:rsidR="00E36674">
              <w:rPr>
                <w:noProof/>
                <w:sz w:val="25"/>
                <w:szCs w:val="25"/>
              </w:rPr>
              <w:t>113</w:t>
            </w:r>
            <w:r w:rsidRPr="00BA7B4D">
              <w:rPr>
                <w:sz w:val="25"/>
                <w:szCs w:val="25"/>
              </w:rPr>
              <w:fldChar w:fldCharType="end"/>
            </w:r>
          </w:p>
        </w:tc>
      </w:tr>
      <w:tr w:rsidR="002B6A66" w:rsidRPr="00BA7B4D" w14:paraId="61135E92" w14:textId="77777777" w:rsidTr="002B6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1" w:type="dxa"/>
            <w:tcBorders>
              <w:top w:val="single" w:sz="4" w:space="0" w:color="auto"/>
              <w:left w:val="single" w:sz="8" w:space="0" w:color="FFFFFF"/>
              <w:bottom w:val="single" w:sz="4" w:space="0" w:color="auto"/>
              <w:right w:val="single" w:sz="8" w:space="0" w:color="FFFFFF"/>
            </w:tcBorders>
            <w:shd w:val="clear" w:color="000000" w:fill="auto"/>
          </w:tcPr>
          <w:p w14:paraId="2F3F1DE8" w14:textId="70DCD776" w:rsidR="002B6A66" w:rsidRPr="005107B4" w:rsidRDefault="005B795D" w:rsidP="0081525B">
            <w:pPr>
              <w:spacing w:before="120" w:after="120" w:line="276" w:lineRule="auto"/>
              <w:rPr>
                <w:sz w:val="25"/>
                <w:szCs w:val="25"/>
              </w:rPr>
            </w:pPr>
            <w:hyperlink w:anchor="_Age_profile_of_1" w:history="1">
              <w:r w:rsidR="002B6A66" w:rsidRPr="00C648CA">
                <w:rPr>
                  <w:rStyle w:val="Hyperlink"/>
                </w:rPr>
                <w:t>Age profile of open and closed complaints and other contacts</w:t>
              </w:r>
            </w:hyperlink>
          </w:p>
        </w:tc>
        <w:tc>
          <w:tcPr>
            <w:tcW w:w="1087" w:type="dxa"/>
            <w:tcBorders>
              <w:left w:val="single" w:sz="8" w:space="0" w:color="FFFFFF"/>
            </w:tcBorders>
            <w:shd w:val="clear" w:color="000000" w:fill="auto"/>
            <w:vAlign w:val="center"/>
          </w:tcPr>
          <w:p w14:paraId="236B2912" w14:textId="13467230" w:rsidR="002B6A66" w:rsidRPr="00BA7B4D" w:rsidRDefault="00BA7B4D" w:rsidP="0081525B">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sidRPr="00BA7B4D">
              <w:rPr>
                <w:sz w:val="25"/>
                <w:szCs w:val="25"/>
              </w:rPr>
              <w:fldChar w:fldCharType="begin"/>
            </w:r>
            <w:r w:rsidRPr="00BA7B4D">
              <w:rPr>
                <w:sz w:val="25"/>
                <w:szCs w:val="25"/>
              </w:rPr>
              <w:instrText xml:space="preserve"> PAGEREF _Ref54703146 \h </w:instrText>
            </w:r>
            <w:r w:rsidRPr="00BA7B4D">
              <w:rPr>
                <w:sz w:val="25"/>
                <w:szCs w:val="25"/>
              </w:rPr>
            </w:r>
            <w:r w:rsidRPr="00BA7B4D">
              <w:rPr>
                <w:sz w:val="25"/>
                <w:szCs w:val="25"/>
              </w:rPr>
              <w:fldChar w:fldCharType="separate"/>
            </w:r>
            <w:r w:rsidR="00E36674">
              <w:rPr>
                <w:noProof/>
                <w:sz w:val="25"/>
                <w:szCs w:val="25"/>
              </w:rPr>
              <w:t>114</w:t>
            </w:r>
            <w:r w:rsidRPr="00BA7B4D">
              <w:rPr>
                <w:sz w:val="25"/>
                <w:szCs w:val="25"/>
              </w:rPr>
              <w:fldChar w:fldCharType="end"/>
            </w:r>
          </w:p>
        </w:tc>
      </w:tr>
      <w:tr w:rsidR="002B6A66" w:rsidRPr="00BA7B4D" w14:paraId="2F42979A" w14:textId="77777777" w:rsidTr="002B6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1" w:type="dxa"/>
            <w:tcBorders>
              <w:top w:val="single" w:sz="4" w:space="0" w:color="auto"/>
              <w:left w:val="single" w:sz="8" w:space="0" w:color="FFFFFF"/>
              <w:bottom w:val="single" w:sz="4" w:space="0" w:color="auto"/>
              <w:right w:val="single" w:sz="8" w:space="0" w:color="FFFFFF"/>
            </w:tcBorders>
            <w:shd w:val="clear" w:color="000000" w:fill="auto"/>
          </w:tcPr>
          <w:p w14:paraId="3F1FE85F" w14:textId="109750F1" w:rsidR="002B6A66" w:rsidRPr="005107B4" w:rsidRDefault="005B795D" w:rsidP="0081525B">
            <w:pPr>
              <w:spacing w:before="120" w:after="120" w:line="276" w:lineRule="auto"/>
              <w:rPr>
                <w:sz w:val="25"/>
                <w:szCs w:val="25"/>
              </w:rPr>
            </w:pPr>
            <w:hyperlink w:anchor="_Detailed_analysis_of" w:history="1">
              <w:r w:rsidR="002B6A66" w:rsidRPr="00C648CA">
                <w:rPr>
                  <w:rStyle w:val="Hyperlink"/>
                </w:rPr>
                <w:t>Detailed analysis of complaints and other contacts</w:t>
              </w:r>
            </w:hyperlink>
          </w:p>
        </w:tc>
        <w:tc>
          <w:tcPr>
            <w:tcW w:w="1087" w:type="dxa"/>
            <w:tcBorders>
              <w:left w:val="single" w:sz="8" w:space="0" w:color="FFFFFF"/>
            </w:tcBorders>
            <w:shd w:val="clear" w:color="000000" w:fill="auto"/>
            <w:vAlign w:val="center"/>
          </w:tcPr>
          <w:p w14:paraId="46225C7A" w14:textId="25E76FA6" w:rsidR="002B6A66" w:rsidRPr="00BA7B4D" w:rsidRDefault="00BA7B4D" w:rsidP="0081525B">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sidRPr="00BA7B4D">
              <w:rPr>
                <w:sz w:val="25"/>
                <w:szCs w:val="25"/>
              </w:rPr>
              <w:fldChar w:fldCharType="begin"/>
            </w:r>
            <w:r w:rsidRPr="00BA7B4D">
              <w:rPr>
                <w:sz w:val="25"/>
                <w:szCs w:val="25"/>
              </w:rPr>
              <w:instrText xml:space="preserve"> PAGEREF _Ref54703154 \h </w:instrText>
            </w:r>
            <w:r w:rsidRPr="00BA7B4D">
              <w:rPr>
                <w:sz w:val="25"/>
                <w:szCs w:val="25"/>
              </w:rPr>
            </w:r>
            <w:r w:rsidRPr="00BA7B4D">
              <w:rPr>
                <w:sz w:val="25"/>
                <w:szCs w:val="25"/>
              </w:rPr>
              <w:fldChar w:fldCharType="separate"/>
            </w:r>
            <w:r w:rsidR="00E36674">
              <w:rPr>
                <w:noProof/>
                <w:sz w:val="25"/>
                <w:szCs w:val="25"/>
              </w:rPr>
              <w:t>115</w:t>
            </w:r>
            <w:r w:rsidRPr="00BA7B4D">
              <w:rPr>
                <w:sz w:val="25"/>
                <w:szCs w:val="25"/>
              </w:rPr>
              <w:fldChar w:fldCharType="end"/>
            </w:r>
          </w:p>
        </w:tc>
      </w:tr>
      <w:tr w:rsidR="002B6A66" w:rsidRPr="00BA7B4D" w14:paraId="78E483F2" w14:textId="77777777" w:rsidTr="002B6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1" w:type="dxa"/>
            <w:tcBorders>
              <w:top w:val="single" w:sz="4" w:space="0" w:color="auto"/>
              <w:left w:val="single" w:sz="8" w:space="0" w:color="FFFFFF"/>
              <w:bottom w:val="single" w:sz="4" w:space="0" w:color="auto"/>
              <w:right w:val="single" w:sz="8" w:space="0" w:color="FFFFFF"/>
            </w:tcBorders>
            <w:shd w:val="clear" w:color="000000" w:fill="auto"/>
          </w:tcPr>
          <w:p w14:paraId="28BEBC46" w14:textId="3AB30BA5" w:rsidR="002B6A66" w:rsidRPr="005107B4" w:rsidRDefault="005B795D" w:rsidP="0081525B">
            <w:pPr>
              <w:spacing w:before="120" w:after="120" w:line="276" w:lineRule="auto"/>
              <w:rPr>
                <w:sz w:val="25"/>
                <w:szCs w:val="25"/>
              </w:rPr>
            </w:pPr>
            <w:hyperlink w:anchor="_Geographical_distribution_of" w:history="1">
              <w:r w:rsidR="002B6A66" w:rsidRPr="00C648CA">
                <w:rPr>
                  <w:rStyle w:val="Hyperlink"/>
                </w:rPr>
                <w:t>Geographical distribution of complaints and other contacts</w:t>
              </w:r>
            </w:hyperlink>
          </w:p>
        </w:tc>
        <w:tc>
          <w:tcPr>
            <w:tcW w:w="1087" w:type="dxa"/>
            <w:tcBorders>
              <w:left w:val="single" w:sz="8" w:space="0" w:color="FFFFFF"/>
            </w:tcBorders>
            <w:shd w:val="clear" w:color="000000" w:fill="auto"/>
            <w:vAlign w:val="center"/>
          </w:tcPr>
          <w:p w14:paraId="38498E4A" w14:textId="0738EA1D" w:rsidR="002B6A66" w:rsidRPr="00BA7B4D" w:rsidRDefault="00BA7B4D" w:rsidP="0081525B">
            <w:pPr>
              <w:spacing w:before="120" w:after="120" w:line="276" w:lineRule="auto"/>
              <w:jc w:val="right"/>
              <w:cnfStyle w:val="000000100000" w:firstRow="0" w:lastRow="0" w:firstColumn="0" w:lastColumn="0" w:oddVBand="0" w:evenVBand="0" w:oddHBand="1" w:evenHBand="0" w:firstRowFirstColumn="0" w:firstRowLastColumn="0" w:lastRowFirstColumn="0" w:lastRowLastColumn="0"/>
              <w:rPr>
                <w:sz w:val="25"/>
                <w:szCs w:val="25"/>
              </w:rPr>
            </w:pPr>
            <w:r w:rsidRPr="00BA7B4D">
              <w:rPr>
                <w:sz w:val="25"/>
                <w:szCs w:val="25"/>
              </w:rPr>
              <w:fldChar w:fldCharType="begin"/>
            </w:r>
            <w:r w:rsidRPr="00BA7B4D">
              <w:rPr>
                <w:sz w:val="25"/>
                <w:szCs w:val="25"/>
              </w:rPr>
              <w:instrText xml:space="preserve"> PAGEREF _Ref54703162 \h </w:instrText>
            </w:r>
            <w:r w:rsidRPr="00BA7B4D">
              <w:rPr>
                <w:sz w:val="25"/>
                <w:szCs w:val="25"/>
              </w:rPr>
            </w:r>
            <w:r w:rsidRPr="00BA7B4D">
              <w:rPr>
                <w:sz w:val="25"/>
                <w:szCs w:val="25"/>
              </w:rPr>
              <w:fldChar w:fldCharType="separate"/>
            </w:r>
            <w:r w:rsidR="00E36674">
              <w:rPr>
                <w:noProof/>
                <w:sz w:val="25"/>
                <w:szCs w:val="25"/>
              </w:rPr>
              <w:t>134</w:t>
            </w:r>
            <w:r w:rsidRPr="00BA7B4D">
              <w:rPr>
                <w:sz w:val="25"/>
                <w:szCs w:val="25"/>
              </w:rPr>
              <w:fldChar w:fldCharType="end"/>
            </w:r>
          </w:p>
        </w:tc>
      </w:tr>
      <w:tr w:rsidR="002B6A66" w:rsidRPr="00BA7B4D" w14:paraId="785AADA7" w14:textId="77777777" w:rsidTr="002B6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1" w:type="dxa"/>
            <w:tcBorders>
              <w:top w:val="single" w:sz="4" w:space="0" w:color="auto"/>
              <w:left w:val="single" w:sz="8" w:space="0" w:color="FFFFFF"/>
              <w:bottom w:val="single" w:sz="4" w:space="0" w:color="auto"/>
              <w:right w:val="single" w:sz="8" w:space="0" w:color="FFFFFF"/>
            </w:tcBorders>
            <w:shd w:val="clear" w:color="000000" w:fill="auto"/>
          </w:tcPr>
          <w:p w14:paraId="71A6DDA9" w14:textId="2D7A2145" w:rsidR="002B6A66" w:rsidRPr="005107B4" w:rsidRDefault="005B795D" w:rsidP="0081525B">
            <w:pPr>
              <w:spacing w:before="120" w:after="120" w:line="276" w:lineRule="auto"/>
              <w:rPr>
                <w:sz w:val="25"/>
                <w:szCs w:val="25"/>
              </w:rPr>
            </w:pPr>
            <w:hyperlink w:anchor="_Directory" w:history="1">
              <w:r w:rsidR="002B6A66" w:rsidRPr="00C648CA">
                <w:rPr>
                  <w:rStyle w:val="Hyperlink"/>
                </w:rPr>
                <w:t>Directory</w:t>
              </w:r>
            </w:hyperlink>
          </w:p>
        </w:tc>
        <w:tc>
          <w:tcPr>
            <w:tcW w:w="1087" w:type="dxa"/>
            <w:tcBorders>
              <w:left w:val="single" w:sz="8" w:space="0" w:color="FFFFFF"/>
            </w:tcBorders>
            <w:shd w:val="clear" w:color="000000" w:fill="auto"/>
            <w:vAlign w:val="center"/>
          </w:tcPr>
          <w:p w14:paraId="29929B40" w14:textId="62612E73" w:rsidR="002B6A66" w:rsidRPr="00BA7B4D" w:rsidRDefault="00BA7B4D" w:rsidP="0081525B">
            <w:pPr>
              <w:spacing w:before="120" w:after="120" w:line="276" w:lineRule="auto"/>
              <w:jc w:val="right"/>
              <w:cnfStyle w:val="000000010000" w:firstRow="0" w:lastRow="0" w:firstColumn="0" w:lastColumn="0" w:oddVBand="0" w:evenVBand="0" w:oddHBand="0" w:evenHBand="1" w:firstRowFirstColumn="0" w:firstRowLastColumn="0" w:lastRowFirstColumn="0" w:lastRowLastColumn="0"/>
              <w:rPr>
                <w:sz w:val="25"/>
                <w:szCs w:val="25"/>
              </w:rPr>
            </w:pPr>
            <w:r w:rsidRPr="00BA7B4D">
              <w:rPr>
                <w:sz w:val="25"/>
                <w:szCs w:val="25"/>
              </w:rPr>
              <w:fldChar w:fldCharType="begin"/>
            </w:r>
            <w:r w:rsidRPr="00BA7B4D">
              <w:rPr>
                <w:sz w:val="25"/>
                <w:szCs w:val="25"/>
              </w:rPr>
              <w:instrText xml:space="preserve"> PAGEREF _Ref54703168 \h </w:instrText>
            </w:r>
            <w:r w:rsidRPr="00BA7B4D">
              <w:rPr>
                <w:sz w:val="25"/>
                <w:szCs w:val="25"/>
              </w:rPr>
            </w:r>
            <w:r w:rsidRPr="00BA7B4D">
              <w:rPr>
                <w:sz w:val="25"/>
                <w:szCs w:val="25"/>
              </w:rPr>
              <w:fldChar w:fldCharType="separate"/>
            </w:r>
            <w:r w:rsidR="00E36674">
              <w:rPr>
                <w:noProof/>
                <w:sz w:val="25"/>
                <w:szCs w:val="25"/>
              </w:rPr>
              <w:t>135</w:t>
            </w:r>
            <w:r w:rsidRPr="00BA7B4D">
              <w:rPr>
                <w:sz w:val="25"/>
                <w:szCs w:val="25"/>
              </w:rPr>
              <w:fldChar w:fldCharType="end"/>
            </w:r>
          </w:p>
        </w:tc>
      </w:tr>
    </w:tbl>
    <w:p w14:paraId="49C4E3D7" w14:textId="77777777" w:rsidR="00DF1795" w:rsidRDefault="00DF1795" w:rsidP="00DF1795">
      <w:pPr>
        <w:spacing w:line="276" w:lineRule="auto"/>
      </w:pPr>
      <w:r>
        <w:br w:type="page"/>
      </w:r>
    </w:p>
    <w:p w14:paraId="216598D5" w14:textId="77777777" w:rsidR="008B7C14" w:rsidRDefault="007802A1" w:rsidP="002733A7">
      <w:pPr>
        <w:pStyle w:val="Heading2"/>
        <w:rPr>
          <w:noProof/>
        </w:rPr>
      </w:pPr>
      <w:bookmarkStart w:id="155" w:name="_Throughput_of_complaints,"/>
      <w:bookmarkStart w:id="156" w:name="_OPCAT_inspections"/>
      <w:bookmarkStart w:id="157" w:name="_Ref54703127"/>
      <w:bookmarkStart w:id="158" w:name="_Ref336352975"/>
      <w:bookmarkEnd w:id="155"/>
      <w:bookmarkEnd w:id="156"/>
      <w:r>
        <w:rPr>
          <w:noProof/>
        </w:rPr>
        <w:t>OPCAT inspections</w:t>
      </w:r>
      <w:bookmarkEnd w:id="157"/>
    </w:p>
    <w:p w14:paraId="51A4E22B" w14:textId="53054A27" w:rsidR="008B7C14" w:rsidRDefault="008B7C14" w:rsidP="008B7C14">
      <w:pPr>
        <w:pStyle w:val="BodyText"/>
      </w:pPr>
      <w:r>
        <w:t xml:space="preserve">The 84 visits and inspections were at the sites set out in the table below. </w:t>
      </w:r>
    </w:p>
    <w:tbl>
      <w:tblPr>
        <w:tblStyle w:val="TableGridAnnualReport"/>
        <w:tblW w:w="9123" w:type="dxa"/>
        <w:tblLook w:val="0420" w:firstRow="1" w:lastRow="0" w:firstColumn="0" w:lastColumn="0" w:noHBand="0" w:noVBand="1"/>
        <w:tblCaption w:val="Table for formatting purposes"/>
      </w:tblPr>
      <w:tblGrid>
        <w:gridCol w:w="5660"/>
        <w:gridCol w:w="1843"/>
        <w:gridCol w:w="1620"/>
      </w:tblGrid>
      <w:tr w:rsidR="005F7C9F" w:rsidRPr="001A3451" w14:paraId="38BD6637" w14:textId="77777777" w:rsidTr="00222C74">
        <w:trPr>
          <w:cnfStyle w:val="100000000000" w:firstRow="1" w:lastRow="0" w:firstColumn="0" w:lastColumn="0" w:oddVBand="0" w:evenVBand="0" w:oddHBand="0" w:evenHBand="0" w:firstRowFirstColumn="0" w:firstRowLastColumn="0" w:lastRowFirstColumn="0" w:lastRowLastColumn="0"/>
          <w:trHeight w:val="218"/>
        </w:trPr>
        <w:tc>
          <w:tcPr>
            <w:tcW w:w="5660" w:type="dxa"/>
            <w:noWrap/>
            <w:hideMark/>
          </w:tcPr>
          <w:p w14:paraId="227EBF96" w14:textId="77777777" w:rsidR="005F7C9F" w:rsidRPr="00442048" w:rsidRDefault="005F7C9F" w:rsidP="00442048">
            <w:pPr>
              <w:pStyle w:val="Tableheadingrow1"/>
              <w:rPr>
                <w:b/>
                <w:lang w:eastAsia="en-NZ"/>
              </w:rPr>
            </w:pPr>
            <w:r w:rsidRPr="00442048">
              <w:rPr>
                <w:b/>
                <w:lang w:eastAsia="en-NZ"/>
              </w:rPr>
              <w:t>Name of facility</w:t>
            </w:r>
          </w:p>
        </w:tc>
        <w:tc>
          <w:tcPr>
            <w:tcW w:w="1843" w:type="dxa"/>
            <w:hideMark/>
          </w:tcPr>
          <w:p w14:paraId="1C0B8562" w14:textId="77777777" w:rsidR="005F7C9F" w:rsidRPr="00442048" w:rsidRDefault="005F7C9F" w:rsidP="00442048">
            <w:pPr>
              <w:pStyle w:val="Tableheadingrow1"/>
              <w:rPr>
                <w:b/>
              </w:rPr>
            </w:pPr>
            <w:r w:rsidRPr="00442048">
              <w:rPr>
                <w:b/>
              </w:rPr>
              <w:t>Type of visit</w:t>
            </w:r>
          </w:p>
        </w:tc>
        <w:tc>
          <w:tcPr>
            <w:tcW w:w="1620" w:type="dxa"/>
          </w:tcPr>
          <w:p w14:paraId="591FEC69" w14:textId="2019E24E" w:rsidR="005F7C9F" w:rsidRPr="00442048" w:rsidRDefault="005F7C9F" w:rsidP="00442048">
            <w:pPr>
              <w:pStyle w:val="Tableheadingrow1"/>
              <w:rPr>
                <w:b/>
              </w:rPr>
            </w:pPr>
          </w:p>
        </w:tc>
      </w:tr>
      <w:tr w:rsidR="00EC41FA" w:rsidRPr="001A3451" w14:paraId="0D48A637" w14:textId="77777777" w:rsidTr="00222C74">
        <w:trPr>
          <w:cnfStyle w:val="000000100000" w:firstRow="0" w:lastRow="0" w:firstColumn="0" w:lastColumn="0" w:oddVBand="0" w:evenVBand="0" w:oddHBand="1" w:evenHBand="0" w:firstRowFirstColumn="0" w:firstRowLastColumn="0" w:lastRowFirstColumn="0" w:lastRowLastColumn="0"/>
          <w:trHeight w:val="74"/>
        </w:trPr>
        <w:tc>
          <w:tcPr>
            <w:tcW w:w="5660" w:type="dxa"/>
            <w:shd w:val="clear" w:color="auto" w:fill="BFBFBF"/>
            <w:noWrap/>
          </w:tcPr>
          <w:p w14:paraId="3897CE5D" w14:textId="77777777" w:rsidR="00EC41FA" w:rsidRPr="00442048" w:rsidRDefault="00EC41FA" w:rsidP="00442048">
            <w:pPr>
              <w:pStyle w:val="Tablesinglespacedparagraph"/>
              <w:rPr>
                <w:b/>
                <w:lang w:eastAsia="en-NZ"/>
              </w:rPr>
            </w:pPr>
            <w:r w:rsidRPr="00442048">
              <w:rPr>
                <w:b/>
                <w:lang w:eastAsia="en-NZ"/>
              </w:rPr>
              <w:t>Aged Care</w:t>
            </w:r>
          </w:p>
        </w:tc>
        <w:tc>
          <w:tcPr>
            <w:tcW w:w="1843" w:type="dxa"/>
            <w:shd w:val="clear" w:color="auto" w:fill="BFBFBF"/>
          </w:tcPr>
          <w:p w14:paraId="32D4A58B" w14:textId="77777777" w:rsidR="00EC41FA" w:rsidRPr="00442048" w:rsidRDefault="00EC41FA" w:rsidP="00442048">
            <w:pPr>
              <w:pStyle w:val="Tablesinglespacedparagraph"/>
              <w:rPr>
                <w:b/>
                <w:lang w:eastAsia="en-NZ"/>
              </w:rPr>
            </w:pPr>
          </w:p>
        </w:tc>
        <w:tc>
          <w:tcPr>
            <w:tcW w:w="1620" w:type="dxa"/>
            <w:shd w:val="clear" w:color="auto" w:fill="BFBFBF"/>
          </w:tcPr>
          <w:p w14:paraId="55071F4D" w14:textId="69A6A1BD" w:rsidR="00EC41FA" w:rsidRPr="00442048" w:rsidRDefault="00EC41FA" w:rsidP="00442048">
            <w:pPr>
              <w:pStyle w:val="Tablesinglespacedparagraph"/>
              <w:rPr>
                <w:b/>
                <w:lang w:eastAsia="en-NZ"/>
              </w:rPr>
            </w:pPr>
          </w:p>
        </w:tc>
      </w:tr>
      <w:tr w:rsidR="00442048" w:rsidRPr="001A3451" w14:paraId="40BB738F" w14:textId="77777777" w:rsidTr="00222C74">
        <w:trPr>
          <w:cnfStyle w:val="000000010000" w:firstRow="0" w:lastRow="0" w:firstColumn="0" w:lastColumn="0" w:oddVBand="0" w:evenVBand="0" w:oddHBand="0" w:evenHBand="1" w:firstRowFirstColumn="0" w:firstRowLastColumn="0" w:lastRowFirstColumn="0" w:lastRowLastColumn="0"/>
          <w:trHeight w:val="300"/>
        </w:trPr>
        <w:tc>
          <w:tcPr>
            <w:tcW w:w="5660" w:type="dxa"/>
            <w:noWrap/>
            <w:hideMark/>
          </w:tcPr>
          <w:p w14:paraId="371D4C45" w14:textId="77777777" w:rsidR="00442048" w:rsidRPr="001A3451" w:rsidRDefault="00442048" w:rsidP="00442048">
            <w:pPr>
              <w:pStyle w:val="Tablesinglespacedparagraph"/>
              <w:rPr>
                <w:lang w:eastAsia="en-NZ"/>
              </w:rPr>
            </w:pPr>
            <w:r w:rsidRPr="001A3451">
              <w:rPr>
                <w:lang w:eastAsia="en-NZ"/>
              </w:rPr>
              <w:t>Anne Maree Gardens</w:t>
            </w:r>
          </w:p>
        </w:tc>
        <w:tc>
          <w:tcPr>
            <w:tcW w:w="1843" w:type="dxa"/>
            <w:noWrap/>
            <w:hideMark/>
          </w:tcPr>
          <w:p w14:paraId="7A03C70F" w14:textId="77777777" w:rsidR="00442048" w:rsidRPr="001A3451" w:rsidRDefault="00442048" w:rsidP="00442048">
            <w:pPr>
              <w:pStyle w:val="Tablesinglespacedparagraph"/>
              <w:rPr>
                <w:lang w:eastAsia="en-NZ"/>
              </w:rPr>
            </w:pPr>
            <w:r w:rsidRPr="001A3451">
              <w:rPr>
                <w:lang w:eastAsia="en-NZ"/>
              </w:rPr>
              <w:t>Orientation Visit</w:t>
            </w:r>
          </w:p>
        </w:tc>
        <w:tc>
          <w:tcPr>
            <w:tcW w:w="1620" w:type="dxa"/>
            <w:noWrap/>
            <w:hideMark/>
          </w:tcPr>
          <w:p w14:paraId="7DF87C09" w14:textId="77777777" w:rsidR="00442048" w:rsidRPr="001A3451" w:rsidRDefault="00442048" w:rsidP="00442048">
            <w:pPr>
              <w:pStyle w:val="Tablesinglespacedparagraph"/>
              <w:rPr>
                <w:lang w:eastAsia="en-NZ"/>
              </w:rPr>
            </w:pPr>
            <w:r w:rsidRPr="001A3451">
              <w:rPr>
                <w:lang w:eastAsia="en-NZ"/>
              </w:rPr>
              <w:t>Announced</w:t>
            </w:r>
          </w:p>
        </w:tc>
      </w:tr>
      <w:tr w:rsidR="00442048" w:rsidRPr="001A3451" w14:paraId="04360ECD"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noWrap/>
            <w:hideMark/>
          </w:tcPr>
          <w:p w14:paraId="724D0C63" w14:textId="77777777" w:rsidR="00442048" w:rsidRPr="001A3451" w:rsidRDefault="00442048" w:rsidP="00442048">
            <w:pPr>
              <w:pStyle w:val="Tablesinglespacedparagraph"/>
              <w:rPr>
                <w:lang w:eastAsia="en-NZ"/>
              </w:rPr>
            </w:pPr>
            <w:r w:rsidRPr="001A3451">
              <w:rPr>
                <w:lang w:eastAsia="en-NZ"/>
              </w:rPr>
              <w:t>Awanui Rest Home</w:t>
            </w:r>
          </w:p>
        </w:tc>
        <w:tc>
          <w:tcPr>
            <w:tcW w:w="1843" w:type="dxa"/>
            <w:noWrap/>
            <w:hideMark/>
          </w:tcPr>
          <w:p w14:paraId="10E13132" w14:textId="77777777" w:rsidR="00442048" w:rsidRPr="001A3451" w:rsidRDefault="00442048" w:rsidP="00442048">
            <w:pPr>
              <w:pStyle w:val="Tablesinglespacedparagraph"/>
              <w:rPr>
                <w:lang w:eastAsia="en-NZ"/>
              </w:rPr>
            </w:pPr>
            <w:r w:rsidRPr="001A3451">
              <w:rPr>
                <w:lang w:eastAsia="en-NZ"/>
              </w:rPr>
              <w:t>Orientation Visit</w:t>
            </w:r>
          </w:p>
        </w:tc>
        <w:tc>
          <w:tcPr>
            <w:tcW w:w="1620" w:type="dxa"/>
            <w:noWrap/>
            <w:hideMark/>
          </w:tcPr>
          <w:p w14:paraId="2A290F20" w14:textId="77777777" w:rsidR="00442048" w:rsidRPr="001A3451" w:rsidRDefault="00442048" w:rsidP="00442048">
            <w:pPr>
              <w:pStyle w:val="Tablesinglespacedparagraph"/>
              <w:rPr>
                <w:lang w:eastAsia="en-NZ"/>
              </w:rPr>
            </w:pPr>
            <w:r w:rsidRPr="001A3451">
              <w:rPr>
                <w:lang w:eastAsia="en-NZ"/>
              </w:rPr>
              <w:t>Announced</w:t>
            </w:r>
          </w:p>
        </w:tc>
      </w:tr>
      <w:tr w:rsidR="00442048" w:rsidRPr="001A3451" w14:paraId="6FA9A23F"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noWrap/>
            <w:hideMark/>
          </w:tcPr>
          <w:p w14:paraId="28E28F96" w14:textId="77777777" w:rsidR="00442048" w:rsidRPr="001A3451" w:rsidRDefault="00442048" w:rsidP="00442048">
            <w:pPr>
              <w:pStyle w:val="Tablesinglespacedparagraph"/>
              <w:rPr>
                <w:lang w:eastAsia="en-NZ"/>
              </w:rPr>
            </w:pPr>
            <w:r w:rsidRPr="001A3451">
              <w:rPr>
                <w:lang w:eastAsia="en-NZ"/>
              </w:rPr>
              <w:t>Bradford Manor</w:t>
            </w:r>
          </w:p>
        </w:tc>
        <w:tc>
          <w:tcPr>
            <w:tcW w:w="1843" w:type="dxa"/>
            <w:noWrap/>
            <w:hideMark/>
          </w:tcPr>
          <w:p w14:paraId="16AB416A" w14:textId="77777777" w:rsidR="00442048" w:rsidRPr="001A3451" w:rsidRDefault="00442048" w:rsidP="00442048">
            <w:pPr>
              <w:pStyle w:val="Tablesinglespacedparagraph"/>
              <w:rPr>
                <w:lang w:eastAsia="en-NZ"/>
              </w:rPr>
            </w:pPr>
            <w:r w:rsidRPr="001A3451">
              <w:rPr>
                <w:lang w:eastAsia="en-NZ"/>
              </w:rPr>
              <w:t>Orientation Visit</w:t>
            </w:r>
          </w:p>
        </w:tc>
        <w:tc>
          <w:tcPr>
            <w:tcW w:w="1620" w:type="dxa"/>
            <w:noWrap/>
            <w:hideMark/>
          </w:tcPr>
          <w:p w14:paraId="42F943C5" w14:textId="77777777" w:rsidR="00442048" w:rsidRPr="001A3451" w:rsidRDefault="00442048" w:rsidP="00442048">
            <w:pPr>
              <w:pStyle w:val="Tablesinglespacedparagraph"/>
              <w:rPr>
                <w:lang w:eastAsia="en-NZ"/>
              </w:rPr>
            </w:pPr>
            <w:r w:rsidRPr="001A3451">
              <w:rPr>
                <w:lang w:eastAsia="en-NZ"/>
              </w:rPr>
              <w:t>Announced</w:t>
            </w:r>
          </w:p>
        </w:tc>
      </w:tr>
      <w:tr w:rsidR="00442048" w:rsidRPr="001A3451" w14:paraId="4A8A2D3C" w14:textId="77777777" w:rsidTr="00222C74">
        <w:trPr>
          <w:cnfStyle w:val="000000100000" w:firstRow="0" w:lastRow="0" w:firstColumn="0" w:lastColumn="0" w:oddVBand="0" w:evenVBand="0" w:oddHBand="1" w:evenHBand="0" w:firstRowFirstColumn="0" w:firstRowLastColumn="0" w:lastRowFirstColumn="0" w:lastRowLastColumn="0"/>
          <w:trHeight w:val="74"/>
        </w:trPr>
        <w:tc>
          <w:tcPr>
            <w:tcW w:w="5660" w:type="dxa"/>
            <w:noWrap/>
            <w:hideMark/>
          </w:tcPr>
          <w:p w14:paraId="59C2483E" w14:textId="77777777" w:rsidR="00442048" w:rsidRPr="001A3451" w:rsidRDefault="00442048" w:rsidP="00442048">
            <w:pPr>
              <w:pStyle w:val="Tablesinglespacedparagraph"/>
              <w:rPr>
                <w:lang w:eastAsia="en-NZ"/>
              </w:rPr>
            </w:pPr>
            <w:r w:rsidRPr="001A3451">
              <w:rPr>
                <w:lang w:eastAsia="en-NZ"/>
              </w:rPr>
              <w:t xml:space="preserve">Clare House </w:t>
            </w:r>
          </w:p>
        </w:tc>
        <w:tc>
          <w:tcPr>
            <w:tcW w:w="1843" w:type="dxa"/>
            <w:noWrap/>
            <w:hideMark/>
          </w:tcPr>
          <w:p w14:paraId="0D5A4805" w14:textId="77777777" w:rsidR="00442048" w:rsidRPr="001A3451" w:rsidRDefault="00442048" w:rsidP="00442048">
            <w:pPr>
              <w:pStyle w:val="Tablesinglespacedparagraph"/>
              <w:rPr>
                <w:lang w:eastAsia="en-NZ"/>
              </w:rPr>
            </w:pPr>
            <w:r w:rsidRPr="001A3451">
              <w:rPr>
                <w:lang w:eastAsia="en-NZ"/>
              </w:rPr>
              <w:t>Orientation Visit</w:t>
            </w:r>
          </w:p>
        </w:tc>
        <w:tc>
          <w:tcPr>
            <w:tcW w:w="1620" w:type="dxa"/>
            <w:noWrap/>
            <w:hideMark/>
          </w:tcPr>
          <w:p w14:paraId="5B89A4F5" w14:textId="77777777" w:rsidR="00442048" w:rsidRPr="001A3451" w:rsidRDefault="00442048" w:rsidP="00442048">
            <w:pPr>
              <w:pStyle w:val="Tablesinglespacedparagraph"/>
              <w:rPr>
                <w:lang w:eastAsia="en-NZ"/>
              </w:rPr>
            </w:pPr>
            <w:r w:rsidRPr="001A3451">
              <w:rPr>
                <w:lang w:eastAsia="en-NZ"/>
              </w:rPr>
              <w:t>Announced</w:t>
            </w:r>
          </w:p>
        </w:tc>
      </w:tr>
      <w:tr w:rsidR="00442048" w:rsidRPr="001A3451" w14:paraId="3D4D845F" w14:textId="77777777" w:rsidTr="00222C74">
        <w:trPr>
          <w:cnfStyle w:val="000000010000" w:firstRow="0" w:lastRow="0" w:firstColumn="0" w:lastColumn="0" w:oddVBand="0" w:evenVBand="0" w:oddHBand="0" w:evenHBand="1" w:firstRowFirstColumn="0" w:firstRowLastColumn="0" w:lastRowFirstColumn="0" w:lastRowLastColumn="0"/>
          <w:trHeight w:val="323"/>
        </w:trPr>
        <w:tc>
          <w:tcPr>
            <w:tcW w:w="5660" w:type="dxa"/>
            <w:noWrap/>
            <w:hideMark/>
          </w:tcPr>
          <w:p w14:paraId="31F635A8" w14:textId="77777777" w:rsidR="00442048" w:rsidRPr="001A3451" w:rsidRDefault="00442048" w:rsidP="00442048">
            <w:pPr>
              <w:pStyle w:val="Tablesinglespacedparagraph"/>
              <w:rPr>
                <w:lang w:eastAsia="en-NZ"/>
              </w:rPr>
            </w:pPr>
            <w:r w:rsidRPr="001A3451">
              <w:rPr>
                <w:lang w:eastAsia="en-NZ"/>
              </w:rPr>
              <w:t>COVID-19 aged care (12 facilities)</w:t>
            </w:r>
          </w:p>
        </w:tc>
        <w:tc>
          <w:tcPr>
            <w:tcW w:w="1843" w:type="dxa"/>
            <w:noWrap/>
            <w:hideMark/>
          </w:tcPr>
          <w:p w14:paraId="4D754639" w14:textId="77777777" w:rsidR="00442048" w:rsidRPr="001A3451" w:rsidRDefault="00442048" w:rsidP="00442048">
            <w:pPr>
              <w:pStyle w:val="Tablesinglespacedparagraph"/>
              <w:rPr>
                <w:lang w:eastAsia="en-NZ"/>
              </w:rPr>
            </w:pPr>
            <w:r w:rsidRPr="001A3451">
              <w:rPr>
                <w:lang w:eastAsia="en-NZ"/>
              </w:rPr>
              <w:t>COVID-19</w:t>
            </w:r>
          </w:p>
        </w:tc>
        <w:tc>
          <w:tcPr>
            <w:tcW w:w="1620" w:type="dxa"/>
            <w:noWrap/>
            <w:hideMark/>
          </w:tcPr>
          <w:p w14:paraId="2713CA88" w14:textId="77777777" w:rsidR="00442048" w:rsidRPr="001A3451" w:rsidRDefault="00442048" w:rsidP="00442048">
            <w:pPr>
              <w:pStyle w:val="Tablesinglespacedparagraph"/>
              <w:rPr>
                <w:lang w:eastAsia="en-NZ"/>
              </w:rPr>
            </w:pPr>
            <w:r w:rsidRPr="001A3451">
              <w:rPr>
                <w:lang w:eastAsia="en-NZ"/>
              </w:rPr>
              <w:t>Announced</w:t>
            </w:r>
          </w:p>
        </w:tc>
      </w:tr>
      <w:tr w:rsidR="00442048" w:rsidRPr="001A3451" w14:paraId="7DBEB99F"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noWrap/>
            <w:hideMark/>
          </w:tcPr>
          <w:p w14:paraId="61DBF67E" w14:textId="77777777" w:rsidR="00442048" w:rsidRPr="001A3451" w:rsidRDefault="00442048" w:rsidP="00442048">
            <w:pPr>
              <w:pStyle w:val="Tablesinglespacedparagraph"/>
              <w:rPr>
                <w:lang w:eastAsia="en-NZ"/>
              </w:rPr>
            </w:pPr>
            <w:r w:rsidRPr="001A3451">
              <w:rPr>
                <w:lang w:eastAsia="en-NZ"/>
              </w:rPr>
              <w:t>Dunblane Rest Home and Village</w:t>
            </w:r>
          </w:p>
        </w:tc>
        <w:tc>
          <w:tcPr>
            <w:tcW w:w="1843" w:type="dxa"/>
            <w:noWrap/>
            <w:hideMark/>
          </w:tcPr>
          <w:p w14:paraId="4E8C32A3" w14:textId="77777777" w:rsidR="00442048" w:rsidRPr="001A3451" w:rsidRDefault="00442048" w:rsidP="00442048">
            <w:pPr>
              <w:pStyle w:val="Tablesinglespacedparagraph"/>
              <w:rPr>
                <w:lang w:eastAsia="en-NZ"/>
              </w:rPr>
            </w:pPr>
            <w:r w:rsidRPr="001A3451">
              <w:rPr>
                <w:lang w:eastAsia="en-NZ"/>
              </w:rPr>
              <w:t>Orientation Visit</w:t>
            </w:r>
          </w:p>
        </w:tc>
        <w:tc>
          <w:tcPr>
            <w:tcW w:w="1620" w:type="dxa"/>
            <w:noWrap/>
            <w:hideMark/>
          </w:tcPr>
          <w:p w14:paraId="737F8282" w14:textId="77777777" w:rsidR="00442048" w:rsidRPr="001A3451" w:rsidRDefault="00442048" w:rsidP="00442048">
            <w:pPr>
              <w:pStyle w:val="Tablesinglespacedparagraph"/>
              <w:rPr>
                <w:lang w:eastAsia="en-NZ"/>
              </w:rPr>
            </w:pPr>
            <w:r w:rsidRPr="001A3451">
              <w:rPr>
                <w:lang w:eastAsia="en-NZ"/>
              </w:rPr>
              <w:t>Announced</w:t>
            </w:r>
          </w:p>
        </w:tc>
      </w:tr>
      <w:tr w:rsidR="00442048" w:rsidRPr="001A3451" w14:paraId="1D878669"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noWrap/>
            <w:hideMark/>
          </w:tcPr>
          <w:p w14:paraId="18E40778" w14:textId="77777777" w:rsidR="00442048" w:rsidRPr="001A3451" w:rsidRDefault="00442048" w:rsidP="00442048">
            <w:pPr>
              <w:pStyle w:val="Tablesinglespacedparagraph"/>
              <w:rPr>
                <w:lang w:eastAsia="en-NZ"/>
              </w:rPr>
            </w:pPr>
            <w:r w:rsidRPr="001A3451">
              <w:rPr>
                <w:lang w:eastAsia="en-NZ"/>
              </w:rPr>
              <w:t>Heretaunga Rest Home &amp; Village</w:t>
            </w:r>
          </w:p>
        </w:tc>
        <w:tc>
          <w:tcPr>
            <w:tcW w:w="1843" w:type="dxa"/>
            <w:noWrap/>
            <w:hideMark/>
          </w:tcPr>
          <w:p w14:paraId="7EFF400F" w14:textId="77777777" w:rsidR="00442048" w:rsidRPr="001A3451" w:rsidRDefault="00442048" w:rsidP="00442048">
            <w:pPr>
              <w:pStyle w:val="Tablesinglespacedparagraph"/>
              <w:rPr>
                <w:lang w:eastAsia="en-NZ"/>
              </w:rPr>
            </w:pPr>
            <w:r w:rsidRPr="001A3451">
              <w:rPr>
                <w:lang w:eastAsia="en-NZ"/>
              </w:rPr>
              <w:t>Orientation Visit</w:t>
            </w:r>
          </w:p>
        </w:tc>
        <w:tc>
          <w:tcPr>
            <w:tcW w:w="1620" w:type="dxa"/>
            <w:noWrap/>
            <w:hideMark/>
          </w:tcPr>
          <w:p w14:paraId="21498BDE" w14:textId="77777777" w:rsidR="00442048" w:rsidRPr="001A3451" w:rsidRDefault="00442048" w:rsidP="00442048">
            <w:pPr>
              <w:pStyle w:val="Tablesinglespacedparagraph"/>
              <w:rPr>
                <w:lang w:eastAsia="en-NZ"/>
              </w:rPr>
            </w:pPr>
            <w:r w:rsidRPr="001A3451">
              <w:rPr>
                <w:lang w:eastAsia="en-NZ"/>
              </w:rPr>
              <w:t>Announced</w:t>
            </w:r>
          </w:p>
        </w:tc>
      </w:tr>
      <w:tr w:rsidR="00442048" w:rsidRPr="001A3451" w14:paraId="7908EEF7"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noWrap/>
            <w:hideMark/>
          </w:tcPr>
          <w:p w14:paraId="733C3DE9" w14:textId="77777777" w:rsidR="00442048" w:rsidRPr="001A3451" w:rsidRDefault="00442048" w:rsidP="00442048">
            <w:pPr>
              <w:pStyle w:val="Tablesinglespacedparagraph"/>
              <w:rPr>
                <w:lang w:eastAsia="en-NZ"/>
              </w:rPr>
            </w:pPr>
            <w:r w:rsidRPr="001A3451">
              <w:rPr>
                <w:lang w:eastAsia="en-NZ"/>
              </w:rPr>
              <w:t>Hillcrest Hospital</w:t>
            </w:r>
          </w:p>
        </w:tc>
        <w:tc>
          <w:tcPr>
            <w:tcW w:w="1843" w:type="dxa"/>
            <w:noWrap/>
            <w:hideMark/>
          </w:tcPr>
          <w:p w14:paraId="692016B1" w14:textId="77777777" w:rsidR="00442048" w:rsidRPr="001A3451" w:rsidRDefault="00442048" w:rsidP="00442048">
            <w:pPr>
              <w:pStyle w:val="Tablesinglespacedparagraph"/>
              <w:rPr>
                <w:lang w:eastAsia="en-NZ"/>
              </w:rPr>
            </w:pPr>
            <w:r w:rsidRPr="001A3451">
              <w:rPr>
                <w:lang w:eastAsia="en-NZ"/>
              </w:rPr>
              <w:t>Orientation Visit</w:t>
            </w:r>
          </w:p>
        </w:tc>
        <w:tc>
          <w:tcPr>
            <w:tcW w:w="1620" w:type="dxa"/>
            <w:noWrap/>
            <w:hideMark/>
          </w:tcPr>
          <w:p w14:paraId="0F1378AB" w14:textId="77777777" w:rsidR="00442048" w:rsidRPr="001A3451" w:rsidRDefault="00442048" w:rsidP="00442048">
            <w:pPr>
              <w:pStyle w:val="Tablesinglespacedparagraph"/>
              <w:rPr>
                <w:lang w:eastAsia="en-NZ"/>
              </w:rPr>
            </w:pPr>
            <w:r w:rsidRPr="001A3451">
              <w:rPr>
                <w:lang w:eastAsia="en-NZ"/>
              </w:rPr>
              <w:t>Announced</w:t>
            </w:r>
          </w:p>
        </w:tc>
      </w:tr>
      <w:tr w:rsidR="00442048" w:rsidRPr="001A3451" w14:paraId="37937B1B"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noWrap/>
            <w:hideMark/>
          </w:tcPr>
          <w:p w14:paraId="66C4786F" w14:textId="77777777" w:rsidR="00442048" w:rsidRPr="001A3451" w:rsidRDefault="00442048" w:rsidP="00442048">
            <w:pPr>
              <w:pStyle w:val="Tablesinglespacedparagraph"/>
              <w:rPr>
                <w:lang w:eastAsia="en-NZ"/>
              </w:rPr>
            </w:pPr>
            <w:r w:rsidRPr="001A3451">
              <w:rPr>
                <w:lang w:eastAsia="en-NZ"/>
              </w:rPr>
              <w:t>Kiri Te Kanawa Retirement Village</w:t>
            </w:r>
          </w:p>
        </w:tc>
        <w:tc>
          <w:tcPr>
            <w:tcW w:w="1843" w:type="dxa"/>
            <w:noWrap/>
            <w:hideMark/>
          </w:tcPr>
          <w:p w14:paraId="1A4D1A29" w14:textId="77777777" w:rsidR="00442048" w:rsidRPr="001A3451" w:rsidRDefault="00442048" w:rsidP="00442048">
            <w:pPr>
              <w:pStyle w:val="Tablesinglespacedparagraph"/>
              <w:rPr>
                <w:lang w:eastAsia="en-NZ"/>
              </w:rPr>
            </w:pPr>
            <w:r w:rsidRPr="001A3451">
              <w:rPr>
                <w:lang w:eastAsia="en-NZ"/>
              </w:rPr>
              <w:t>Orientation Visit</w:t>
            </w:r>
          </w:p>
        </w:tc>
        <w:tc>
          <w:tcPr>
            <w:tcW w:w="1620" w:type="dxa"/>
            <w:noWrap/>
            <w:hideMark/>
          </w:tcPr>
          <w:p w14:paraId="1AF15696" w14:textId="77777777" w:rsidR="00442048" w:rsidRPr="001A3451" w:rsidRDefault="00442048" w:rsidP="00442048">
            <w:pPr>
              <w:pStyle w:val="Tablesinglespacedparagraph"/>
              <w:rPr>
                <w:lang w:eastAsia="en-NZ"/>
              </w:rPr>
            </w:pPr>
            <w:r w:rsidRPr="001A3451">
              <w:rPr>
                <w:lang w:eastAsia="en-NZ"/>
              </w:rPr>
              <w:t>Announced</w:t>
            </w:r>
          </w:p>
        </w:tc>
      </w:tr>
      <w:tr w:rsidR="00442048" w:rsidRPr="001A3451" w14:paraId="460A2CB4" w14:textId="77777777" w:rsidTr="00222C74">
        <w:trPr>
          <w:cnfStyle w:val="000000100000" w:firstRow="0" w:lastRow="0" w:firstColumn="0" w:lastColumn="0" w:oddVBand="0" w:evenVBand="0" w:oddHBand="1" w:evenHBand="0" w:firstRowFirstColumn="0" w:firstRowLastColumn="0" w:lastRowFirstColumn="0" w:lastRowLastColumn="0"/>
          <w:trHeight w:val="74"/>
        </w:trPr>
        <w:tc>
          <w:tcPr>
            <w:tcW w:w="5660" w:type="dxa"/>
            <w:noWrap/>
            <w:hideMark/>
          </w:tcPr>
          <w:p w14:paraId="2FE680A5" w14:textId="77777777" w:rsidR="00442048" w:rsidRPr="001A3451" w:rsidRDefault="00442048" w:rsidP="00442048">
            <w:pPr>
              <w:pStyle w:val="Tablesinglespacedparagraph"/>
              <w:rPr>
                <w:lang w:eastAsia="en-NZ"/>
              </w:rPr>
            </w:pPr>
            <w:r w:rsidRPr="001A3451">
              <w:rPr>
                <w:lang w:eastAsia="en-NZ"/>
              </w:rPr>
              <w:t>Leslie Groves Hospital</w:t>
            </w:r>
          </w:p>
        </w:tc>
        <w:tc>
          <w:tcPr>
            <w:tcW w:w="1843" w:type="dxa"/>
            <w:noWrap/>
            <w:hideMark/>
          </w:tcPr>
          <w:p w14:paraId="38E1F882" w14:textId="77777777" w:rsidR="00442048" w:rsidRPr="001A3451" w:rsidRDefault="00442048" w:rsidP="00442048">
            <w:pPr>
              <w:pStyle w:val="Tablesinglespacedparagraph"/>
              <w:rPr>
                <w:lang w:eastAsia="en-NZ"/>
              </w:rPr>
            </w:pPr>
            <w:r w:rsidRPr="001A3451">
              <w:rPr>
                <w:lang w:eastAsia="en-NZ"/>
              </w:rPr>
              <w:t>Orientation Visit</w:t>
            </w:r>
          </w:p>
        </w:tc>
        <w:tc>
          <w:tcPr>
            <w:tcW w:w="1620" w:type="dxa"/>
            <w:noWrap/>
            <w:hideMark/>
          </w:tcPr>
          <w:p w14:paraId="50076067" w14:textId="77777777" w:rsidR="00442048" w:rsidRPr="001A3451" w:rsidRDefault="00442048" w:rsidP="00442048">
            <w:pPr>
              <w:pStyle w:val="Tablesinglespacedparagraph"/>
              <w:rPr>
                <w:lang w:eastAsia="en-NZ"/>
              </w:rPr>
            </w:pPr>
            <w:r w:rsidRPr="001A3451">
              <w:rPr>
                <w:lang w:eastAsia="en-NZ"/>
              </w:rPr>
              <w:t>Announced</w:t>
            </w:r>
          </w:p>
        </w:tc>
      </w:tr>
      <w:tr w:rsidR="00442048" w:rsidRPr="001A3451" w14:paraId="0F603E8F"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noWrap/>
            <w:hideMark/>
          </w:tcPr>
          <w:p w14:paraId="0F61D4B4" w14:textId="77777777" w:rsidR="00442048" w:rsidRPr="001A3451" w:rsidRDefault="00442048" w:rsidP="00442048">
            <w:pPr>
              <w:pStyle w:val="Tablesinglespacedparagraph"/>
              <w:rPr>
                <w:lang w:eastAsia="en-NZ"/>
              </w:rPr>
            </w:pPr>
            <w:r w:rsidRPr="001A3451">
              <w:rPr>
                <w:lang w:eastAsia="en-NZ"/>
              </w:rPr>
              <w:t>Manor Park Private Hospital</w:t>
            </w:r>
          </w:p>
        </w:tc>
        <w:tc>
          <w:tcPr>
            <w:tcW w:w="1843" w:type="dxa"/>
            <w:noWrap/>
            <w:hideMark/>
          </w:tcPr>
          <w:p w14:paraId="3729B2AA" w14:textId="77777777" w:rsidR="00442048" w:rsidRPr="001A3451" w:rsidRDefault="00442048" w:rsidP="00442048">
            <w:pPr>
              <w:pStyle w:val="Tablesinglespacedparagraph"/>
              <w:rPr>
                <w:lang w:eastAsia="en-NZ"/>
              </w:rPr>
            </w:pPr>
            <w:r w:rsidRPr="001A3451">
              <w:rPr>
                <w:lang w:eastAsia="en-NZ"/>
              </w:rPr>
              <w:t>Orientation Visit</w:t>
            </w:r>
          </w:p>
        </w:tc>
        <w:tc>
          <w:tcPr>
            <w:tcW w:w="1620" w:type="dxa"/>
            <w:noWrap/>
            <w:hideMark/>
          </w:tcPr>
          <w:p w14:paraId="55B80337" w14:textId="77777777" w:rsidR="00442048" w:rsidRPr="001A3451" w:rsidRDefault="00442048" w:rsidP="00442048">
            <w:pPr>
              <w:pStyle w:val="Tablesinglespacedparagraph"/>
              <w:rPr>
                <w:lang w:eastAsia="en-NZ"/>
              </w:rPr>
            </w:pPr>
            <w:r w:rsidRPr="001A3451">
              <w:rPr>
                <w:lang w:eastAsia="en-NZ"/>
              </w:rPr>
              <w:t>Announced</w:t>
            </w:r>
          </w:p>
        </w:tc>
      </w:tr>
      <w:tr w:rsidR="00442048" w:rsidRPr="001A3451" w14:paraId="43E49181"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noWrap/>
            <w:hideMark/>
          </w:tcPr>
          <w:p w14:paraId="7A4CA4CD" w14:textId="77777777" w:rsidR="00442048" w:rsidRPr="001A3451" w:rsidRDefault="00442048" w:rsidP="00442048">
            <w:pPr>
              <w:pStyle w:val="Tablesinglespacedparagraph"/>
              <w:rPr>
                <w:lang w:eastAsia="en-NZ"/>
              </w:rPr>
            </w:pPr>
            <w:r w:rsidRPr="001A3451">
              <w:rPr>
                <w:lang w:eastAsia="en-NZ"/>
              </w:rPr>
              <w:t>Millvale House Miramar</w:t>
            </w:r>
          </w:p>
        </w:tc>
        <w:tc>
          <w:tcPr>
            <w:tcW w:w="1843" w:type="dxa"/>
            <w:noWrap/>
            <w:hideMark/>
          </w:tcPr>
          <w:p w14:paraId="695B36CB" w14:textId="77777777" w:rsidR="00442048" w:rsidRPr="001A3451" w:rsidRDefault="00442048" w:rsidP="00442048">
            <w:pPr>
              <w:pStyle w:val="Tablesinglespacedparagraph"/>
              <w:rPr>
                <w:lang w:eastAsia="en-NZ"/>
              </w:rPr>
            </w:pPr>
            <w:r w:rsidRPr="001A3451">
              <w:rPr>
                <w:lang w:eastAsia="en-NZ"/>
              </w:rPr>
              <w:t>Orientation Visit</w:t>
            </w:r>
          </w:p>
        </w:tc>
        <w:tc>
          <w:tcPr>
            <w:tcW w:w="1620" w:type="dxa"/>
            <w:noWrap/>
            <w:hideMark/>
          </w:tcPr>
          <w:p w14:paraId="6B52005B" w14:textId="77777777" w:rsidR="00442048" w:rsidRPr="001A3451" w:rsidRDefault="00442048" w:rsidP="00442048">
            <w:pPr>
              <w:pStyle w:val="Tablesinglespacedparagraph"/>
              <w:rPr>
                <w:lang w:eastAsia="en-NZ"/>
              </w:rPr>
            </w:pPr>
            <w:r w:rsidRPr="001A3451">
              <w:rPr>
                <w:lang w:eastAsia="en-NZ"/>
              </w:rPr>
              <w:t>Announced</w:t>
            </w:r>
          </w:p>
        </w:tc>
      </w:tr>
      <w:tr w:rsidR="00442048" w:rsidRPr="001A3451" w14:paraId="413ECB6D"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noWrap/>
            <w:hideMark/>
          </w:tcPr>
          <w:p w14:paraId="32AED1D0" w14:textId="77777777" w:rsidR="00442048" w:rsidRPr="001A3451" w:rsidRDefault="00442048" w:rsidP="00442048">
            <w:pPr>
              <w:pStyle w:val="Tablesinglespacedparagraph"/>
              <w:rPr>
                <w:szCs w:val="20"/>
                <w:lang w:eastAsia="en-NZ"/>
              </w:rPr>
            </w:pPr>
            <w:r w:rsidRPr="001A3451">
              <w:rPr>
                <w:szCs w:val="20"/>
                <w:lang w:eastAsia="en-NZ"/>
              </w:rPr>
              <w:t>Older Persons Unit, Waikato DHB</w:t>
            </w:r>
          </w:p>
        </w:tc>
        <w:tc>
          <w:tcPr>
            <w:tcW w:w="1843" w:type="dxa"/>
            <w:noWrap/>
            <w:hideMark/>
          </w:tcPr>
          <w:p w14:paraId="77B3EB21" w14:textId="77777777" w:rsidR="00442048" w:rsidRPr="001A3451" w:rsidRDefault="00442048" w:rsidP="00442048">
            <w:pPr>
              <w:pStyle w:val="Tablesinglespacedparagraph"/>
              <w:rPr>
                <w:lang w:eastAsia="en-NZ"/>
              </w:rPr>
            </w:pPr>
            <w:r w:rsidRPr="001A3451">
              <w:rPr>
                <w:lang w:eastAsia="en-NZ"/>
              </w:rPr>
              <w:t>Informal</w:t>
            </w:r>
          </w:p>
        </w:tc>
        <w:tc>
          <w:tcPr>
            <w:tcW w:w="1620" w:type="dxa"/>
            <w:noWrap/>
            <w:hideMark/>
          </w:tcPr>
          <w:p w14:paraId="4C5057A2"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442048" w:rsidRPr="001A3451" w14:paraId="78A06CB0" w14:textId="77777777" w:rsidTr="00222C74">
        <w:trPr>
          <w:cnfStyle w:val="000000100000" w:firstRow="0" w:lastRow="0" w:firstColumn="0" w:lastColumn="0" w:oddVBand="0" w:evenVBand="0" w:oddHBand="1" w:evenHBand="0" w:firstRowFirstColumn="0" w:firstRowLastColumn="0" w:lastRowFirstColumn="0" w:lastRowLastColumn="0"/>
          <w:trHeight w:val="74"/>
        </w:trPr>
        <w:tc>
          <w:tcPr>
            <w:tcW w:w="5660" w:type="dxa"/>
            <w:noWrap/>
            <w:hideMark/>
          </w:tcPr>
          <w:p w14:paraId="210EEBD1" w14:textId="77777777" w:rsidR="00442048" w:rsidRPr="001A3451" w:rsidRDefault="00442048" w:rsidP="00442048">
            <w:pPr>
              <w:pStyle w:val="Tablesinglespacedparagraph"/>
              <w:rPr>
                <w:lang w:eastAsia="en-NZ"/>
              </w:rPr>
            </w:pPr>
            <w:r w:rsidRPr="001A3451">
              <w:rPr>
                <w:lang w:eastAsia="en-NZ"/>
              </w:rPr>
              <w:t>Radius Fulton Care Centre</w:t>
            </w:r>
          </w:p>
        </w:tc>
        <w:tc>
          <w:tcPr>
            <w:tcW w:w="1843" w:type="dxa"/>
            <w:noWrap/>
            <w:hideMark/>
          </w:tcPr>
          <w:p w14:paraId="547974E3" w14:textId="77777777" w:rsidR="00442048" w:rsidRPr="001A3451" w:rsidRDefault="00442048" w:rsidP="00442048">
            <w:pPr>
              <w:pStyle w:val="Tablesinglespacedparagraph"/>
              <w:rPr>
                <w:lang w:eastAsia="en-NZ"/>
              </w:rPr>
            </w:pPr>
            <w:r w:rsidRPr="001A3451">
              <w:rPr>
                <w:lang w:eastAsia="en-NZ"/>
              </w:rPr>
              <w:t>Orientation Visit</w:t>
            </w:r>
          </w:p>
        </w:tc>
        <w:tc>
          <w:tcPr>
            <w:tcW w:w="1620" w:type="dxa"/>
            <w:noWrap/>
            <w:hideMark/>
          </w:tcPr>
          <w:p w14:paraId="5285F8A3" w14:textId="77777777" w:rsidR="00442048" w:rsidRPr="001A3451" w:rsidRDefault="00442048" w:rsidP="00442048">
            <w:pPr>
              <w:pStyle w:val="Tablesinglespacedparagraph"/>
              <w:rPr>
                <w:lang w:eastAsia="en-NZ"/>
              </w:rPr>
            </w:pPr>
            <w:r w:rsidRPr="001A3451">
              <w:rPr>
                <w:lang w:eastAsia="en-NZ"/>
              </w:rPr>
              <w:t>Announced</w:t>
            </w:r>
          </w:p>
        </w:tc>
      </w:tr>
      <w:tr w:rsidR="00442048" w:rsidRPr="001A3451" w14:paraId="1099A84A"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noWrap/>
            <w:hideMark/>
          </w:tcPr>
          <w:p w14:paraId="3D769639" w14:textId="77777777" w:rsidR="00442048" w:rsidRPr="001A3451" w:rsidRDefault="00442048" w:rsidP="00442048">
            <w:pPr>
              <w:pStyle w:val="Tablesinglespacedparagraph"/>
              <w:rPr>
                <w:lang w:eastAsia="en-NZ"/>
              </w:rPr>
            </w:pPr>
            <w:r w:rsidRPr="001A3451">
              <w:rPr>
                <w:lang w:eastAsia="en-NZ"/>
              </w:rPr>
              <w:t>Rawhiti Estate</w:t>
            </w:r>
          </w:p>
        </w:tc>
        <w:tc>
          <w:tcPr>
            <w:tcW w:w="1843" w:type="dxa"/>
            <w:noWrap/>
            <w:hideMark/>
          </w:tcPr>
          <w:p w14:paraId="096DCCF8" w14:textId="77777777" w:rsidR="00442048" w:rsidRPr="001A3451" w:rsidRDefault="00442048" w:rsidP="00442048">
            <w:pPr>
              <w:pStyle w:val="Tablesinglespacedparagraph"/>
              <w:rPr>
                <w:lang w:eastAsia="en-NZ"/>
              </w:rPr>
            </w:pPr>
            <w:r w:rsidRPr="001A3451">
              <w:rPr>
                <w:lang w:eastAsia="en-NZ"/>
              </w:rPr>
              <w:t>Orientation Visit</w:t>
            </w:r>
          </w:p>
        </w:tc>
        <w:tc>
          <w:tcPr>
            <w:tcW w:w="1620" w:type="dxa"/>
            <w:noWrap/>
            <w:hideMark/>
          </w:tcPr>
          <w:p w14:paraId="545D0BC7" w14:textId="77777777" w:rsidR="00442048" w:rsidRPr="001A3451" w:rsidRDefault="00442048" w:rsidP="00442048">
            <w:pPr>
              <w:pStyle w:val="Tablesinglespacedparagraph"/>
              <w:rPr>
                <w:lang w:eastAsia="en-NZ"/>
              </w:rPr>
            </w:pPr>
            <w:r w:rsidRPr="001A3451">
              <w:rPr>
                <w:lang w:eastAsia="en-NZ"/>
              </w:rPr>
              <w:t>Announced</w:t>
            </w:r>
          </w:p>
        </w:tc>
      </w:tr>
      <w:tr w:rsidR="00442048" w:rsidRPr="001A3451" w14:paraId="2B069B4E"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noWrap/>
            <w:hideMark/>
          </w:tcPr>
          <w:p w14:paraId="71D9CDEF" w14:textId="77777777" w:rsidR="00442048" w:rsidRPr="001A3451" w:rsidRDefault="00442048" w:rsidP="00442048">
            <w:pPr>
              <w:pStyle w:val="Tablesinglespacedparagraph"/>
              <w:rPr>
                <w:lang w:eastAsia="en-NZ"/>
              </w:rPr>
            </w:pPr>
            <w:r w:rsidRPr="001A3451">
              <w:rPr>
                <w:lang w:eastAsia="en-NZ"/>
              </w:rPr>
              <w:t>Rowena Jackson Retirement Village</w:t>
            </w:r>
          </w:p>
        </w:tc>
        <w:tc>
          <w:tcPr>
            <w:tcW w:w="1843" w:type="dxa"/>
            <w:noWrap/>
            <w:hideMark/>
          </w:tcPr>
          <w:p w14:paraId="4BBE4CB9" w14:textId="77777777" w:rsidR="00442048" w:rsidRPr="001A3451" w:rsidRDefault="00442048" w:rsidP="00442048">
            <w:pPr>
              <w:pStyle w:val="Tablesinglespacedparagraph"/>
              <w:rPr>
                <w:lang w:eastAsia="en-NZ"/>
              </w:rPr>
            </w:pPr>
            <w:r w:rsidRPr="001A3451">
              <w:rPr>
                <w:lang w:eastAsia="en-NZ"/>
              </w:rPr>
              <w:t>Orientation Visit</w:t>
            </w:r>
          </w:p>
        </w:tc>
        <w:tc>
          <w:tcPr>
            <w:tcW w:w="1620" w:type="dxa"/>
            <w:noWrap/>
            <w:hideMark/>
          </w:tcPr>
          <w:p w14:paraId="5E923BA2" w14:textId="77777777" w:rsidR="00442048" w:rsidRPr="001A3451" w:rsidRDefault="00442048" w:rsidP="00442048">
            <w:pPr>
              <w:pStyle w:val="Tablesinglespacedparagraph"/>
              <w:rPr>
                <w:lang w:eastAsia="en-NZ"/>
              </w:rPr>
            </w:pPr>
            <w:r w:rsidRPr="001A3451">
              <w:rPr>
                <w:lang w:eastAsia="en-NZ"/>
              </w:rPr>
              <w:t>Announced</w:t>
            </w:r>
          </w:p>
        </w:tc>
      </w:tr>
      <w:tr w:rsidR="00442048" w:rsidRPr="001A3451" w14:paraId="4E823B65" w14:textId="77777777" w:rsidTr="00222C74">
        <w:trPr>
          <w:cnfStyle w:val="000000010000" w:firstRow="0" w:lastRow="0" w:firstColumn="0" w:lastColumn="0" w:oddVBand="0" w:evenVBand="0" w:oddHBand="0" w:evenHBand="1" w:firstRowFirstColumn="0" w:firstRowLastColumn="0" w:lastRowFirstColumn="0" w:lastRowLastColumn="0"/>
          <w:trHeight w:val="74"/>
        </w:trPr>
        <w:tc>
          <w:tcPr>
            <w:tcW w:w="5660" w:type="dxa"/>
            <w:noWrap/>
            <w:hideMark/>
          </w:tcPr>
          <w:p w14:paraId="3780D6EE" w14:textId="77777777" w:rsidR="00442048" w:rsidRPr="001A3451" w:rsidRDefault="00442048" w:rsidP="00442048">
            <w:pPr>
              <w:pStyle w:val="Tablesinglespacedparagraph"/>
              <w:rPr>
                <w:lang w:eastAsia="en-NZ"/>
              </w:rPr>
            </w:pPr>
            <w:r w:rsidRPr="001A3451">
              <w:rPr>
                <w:lang w:eastAsia="en-NZ"/>
              </w:rPr>
              <w:t>St Andrew's Village</w:t>
            </w:r>
          </w:p>
        </w:tc>
        <w:tc>
          <w:tcPr>
            <w:tcW w:w="1843" w:type="dxa"/>
            <w:noWrap/>
            <w:hideMark/>
          </w:tcPr>
          <w:p w14:paraId="64C228E6" w14:textId="77777777" w:rsidR="00442048" w:rsidRPr="001A3451" w:rsidRDefault="00442048" w:rsidP="00442048">
            <w:pPr>
              <w:pStyle w:val="Tablesinglespacedparagraph"/>
              <w:rPr>
                <w:lang w:eastAsia="en-NZ"/>
              </w:rPr>
            </w:pPr>
            <w:r w:rsidRPr="001A3451">
              <w:rPr>
                <w:lang w:eastAsia="en-NZ"/>
              </w:rPr>
              <w:t>Orientation Visit</w:t>
            </w:r>
          </w:p>
        </w:tc>
        <w:tc>
          <w:tcPr>
            <w:tcW w:w="1620" w:type="dxa"/>
            <w:noWrap/>
            <w:hideMark/>
          </w:tcPr>
          <w:p w14:paraId="07A7E17D" w14:textId="77777777" w:rsidR="00442048" w:rsidRPr="001A3451" w:rsidRDefault="00442048" w:rsidP="00442048">
            <w:pPr>
              <w:pStyle w:val="Tablesinglespacedparagraph"/>
              <w:rPr>
                <w:lang w:eastAsia="en-NZ"/>
              </w:rPr>
            </w:pPr>
            <w:r w:rsidRPr="001A3451">
              <w:rPr>
                <w:lang w:eastAsia="en-NZ"/>
              </w:rPr>
              <w:t>Announced</w:t>
            </w:r>
          </w:p>
        </w:tc>
      </w:tr>
      <w:tr w:rsidR="00442048" w:rsidRPr="001A3451" w14:paraId="2A309D7B"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noWrap/>
            <w:hideMark/>
          </w:tcPr>
          <w:p w14:paraId="752D7A5D" w14:textId="77777777" w:rsidR="00442048" w:rsidRPr="001A3451" w:rsidRDefault="00442048" w:rsidP="00442048">
            <w:pPr>
              <w:pStyle w:val="Tablesinglespacedparagraph"/>
              <w:rPr>
                <w:szCs w:val="20"/>
                <w:lang w:eastAsia="en-NZ"/>
              </w:rPr>
            </w:pPr>
            <w:r w:rsidRPr="001A3451">
              <w:rPr>
                <w:szCs w:val="20"/>
                <w:lang w:eastAsia="en-NZ"/>
              </w:rPr>
              <w:t>Talbot Park, Dementia facility (D6)</w:t>
            </w:r>
          </w:p>
        </w:tc>
        <w:tc>
          <w:tcPr>
            <w:tcW w:w="1843" w:type="dxa"/>
            <w:noWrap/>
            <w:hideMark/>
          </w:tcPr>
          <w:p w14:paraId="6CBC3878" w14:textId="77777777" w:rsidR="00442048" w:rsidRPr="001A3451" w:rsidRDefault="00442048" w:rsidP="00442048">
            <w:pPr>
              <w:pStyle w:val="Tablesinglespacedparagraph"/>
              <w:rPr>
                <w:lang w:eastAsia="en-NZ"/>
              </w:rPr>
            </w:pPr>
            <w:r w:rsidRPr="001A3451">
              <w:rPr>
                <w:lang w:eastAsia="en-NZ"/>
              </w:rPr>
              <w:t>Informal</w:t>
            </w:r>
          </w:p>
        </w:tc>
        <w:tc>
          <w:tcPr>
            <w:tcW w:w="1620" w:type="dxa"/>
            <w:noWrap/>
            <w:hideMark/>
          </w:tcPr>
          <w:p w14:paraId="0BCF4903"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442048" w:rsidRPr="001A3451" w14:paraId="1B998DB5"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noWrap/>
            <w:hideMark/>
          </w:tcPr>
          <w:p w14:paraId="261643AA" w14:textId="77777777" w:rsidR="00442048" w:rsidRPr="001A3451" w:rsidRDefault="00442048" w:rsidP="00442048">
            <w:pPr>
              <w:pStyle w:val="Tablesinglespacedparagraph"/>
              <w:rPr>
                <w:lang w:eastAsia="en-NZ"/>
              </w:rPr>
            </w:pPr>
            <w:r w:rsidRPr="001A3451">
              <w:rPr>
                <w:lang w:eastAsia="en-NZ"/>
              </w:rPr>
              <w:t>Te Hopai Home and Hospital</w:t>
            </w:r>
          </w:p>
        </w:tc>
        <w:tc>
          <w:tcPr>
            <w:tcW w:w="1843" w:type="dxa"/>
            <w:noWrap/>
            <w:hideMark/>
          </w:tcPr>
          <w:p w14:paraId="3F2E8B47" w14:textId="77777777" w:rsidR="00442048" w:rsidRPr="001A3451" w:rsidRDefault="00442048" w:rsidP="00442048">
            <w:pPr>
              <w:pStyle w:val="Tablesinglespacedparagraph"/>
              <w:rPr>
                <w:lang w:eastAsia="en-NZ"/>
              </w:rPr>
            </w:pPr>
            <w:r w:rsidRPr="001A3451">
              <w:rPr>
                <w:lang w:eastAsia="en-NZ"/>
              </w:rPr>
              <w:t>Orientation Visit</w:t>
            </w:r>
          </w:p>
        </w:tc>
        <w:tc>
          <w:tcPr>
            <w:tcW w:w="1620" w:type="dxa"/>
            <w:noWrap/>
            <w:hideMark/>
          </w:tcPr>
          <w:p w14:paraId="77A1F74F" w14:textId="77777777" w:rsidR="00442048" w:rsidRPr="001A3451" w:rsidRDefault="00442048" w:rsidP="00442048">
            <w:pPr>
              <w:pStyle w:val="Tablesinglespacedparagraph"/>
              <w:rPr>
                <w:lang w:eastAsia="en-NZ"/>
              </w:rPr>
            </w:pPr>
            <w:r w:rsidRPr="001A3451">
              <w:rPr>
                <w:lang w:eastAsia="en-NZ"/>
              </w:rPr>
              <w:t>Announced</w:t>
            </w:r>
          </w:p>
        </w:tc>
      </w:tr>
      <w:tr w:rsidR="00442048" w:rsidRPr="001A3451" w14:paraId="5AEB5091"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noWrap/>
            <w:hideMark/>
          </w:tcPr>
          <w:p w14:paraId="6CDE23E8" w14:textId="77777777" w:rsidR="00442048" w:rsidRPr="001A3451" w:rsidRDefault="00442048" w:rsidP="00442048">
            <w:pPr>
              <w:pStyle w:val="Tablesinglespacedparagraph"/>
              <w:rPr>
                <w:lang w:eastAsia="en-NZ"/>
              </w:rPr>
            </w:pPr>
            <w:r w:rsidRPr="001A3451">
              <w:rPr>
                <w:lang w:eastAsia="en-NZ"/>
              </w:rPr>
              <w:t>Whitby Rest Home and Hospital</w:t>
            </w:r>
          </w:p>
        </w:tc>
        <w:tc>
          <w:tcPr>
            <w:tcW w:w="1843" w:type="dxa"/>
            <w:noWrap/>
            <w:hideMark/>
          </w:tcPr>
          <w:p w14:paraId="21145C3E" w14:textId="77777777" w:rsidR="00442048" w:rsidRPr="001A3451" w:rsidRDefault="00442048" w:rsidP="00442048">
            <w:pPr>
              <w:pStyle w:val="Tablesinglespacedparagraph"/>
              <w:rPr>
                <w:lang w:eastAsia="en-NZ"/>
              </w:rPr>
            </w:pPr>
            <w:r w:rsidRPr="001A3451">
              <w:rPr>
                <w:lang w:eastAsia="en-NZ"/>
              </w:rPr>
              <w:t>Orientation Visit</w:t>
            </w:r>
          </w:p>
        </w:tc>
        <w:tc>
          <w:tcPr>
            <w:tcW w:w="1620" w:type="dxa"/>
            <w:noWrap/>
            <w:hideMark/>
          </w:tcPr>
          <w:p w14:paraId="25236BCD" w14:textId="77777777" w:rsidR="00442048" w:rsidRPr="001A3451" w:rsidRDefault="00442048" w:rsidP="00442048">
            <w:pPr>
              <w:pStyle w:val="Tablesinglespacedparagraph"/>
              <w:rPr>
                <w:lang w:eastAsia="en-NZ"/>
              </w:rPr>
            </w:pPr>
            <w:r w:rsidRPr="001A3451">
              <w:rPr>
                <w:lang w:eastAsia="en-NZ"/>
              </w:rPr>
              <w:t>Announced</w:t>
            </w:r>
          </w:p>
        </w:tc>
      </w:tr>
      <w:tr w:rsidR="00EC41FA" w:rsidRPr="001A3451" w14:paraId="67D5D277"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shd w:val="clear" w:color="auto" w:fill="BFBFBF"/>
            <w:noWrap/>
          </w:tcPr>
          <w:p w14:paraId="217DD096" w14:textId="77777777" w:rsidR="00EC41FA" w:rsidRPr="00442048" w:rsidRDefault="00EC41FA" w:rsidP="00442048">
            <w:pPr>
              <w:pStyle w:val="Tablesinglespacedparagraph"/>
              <w:rPr>
                <w:b/>
                <w:lang w:eastAsia="en-NZ"/>
              </w:rPr>
            </w:pPr>
            <w:r w:rsidRPr="00442048">
              <w:rPr>
                <w:b/>
                <w:lang w:eastAsia="en-NZ"/>
              </w:rPr>
              <w:t>Courts</w:t>
            </w:r>
          </w:p>
        </w:tc>
        <w:tc>
          <w:tcPr>
            <w:tcW w:w="1843" w:type="dxa"/>
            <w:shd w:val="clear" w:color="auto" w:fill="BFBFBF"/>
          </w:tcPr>
          <w:p w14:paraId="72B7C4DC" w14:textId="77777777" w:rsidR="00EC41FA" w:rsidRPr="00442048" w:rsidRDefault="00EC41FA" w:rsidP="00442048">
            <w:pPr>
              <w:pStyle w:val="Tablesinglespacedparagraph"/>
              <w:rPr>
                <w:b/>
                <w:lang w:eastAsia="en-NZ"/>
              </w:rPr>
            </w:pPr>
          </w:p>
        </w:tc>
        <w:tc>
          <w:tcPr>
            <w:tcW w:w="1620" w:type="dxa"/>
            <w:shd w:val="clear" w:color="auto" w:fill="BFBFBF"/>
          </w:tcPr>
          <w:p w14:paraId="107EB441" w14:textId="420A5579" w:rsidR="00EC41FA" w:rsidRPr="00442048" w:rsidRDefault="00EC41FA" w:rsidP="00442048">
            <w:pPr>
              <w:pStyle w:val="Tablesinglespacedparagraph"/>
              <w:rPr>
                <w:b/>
                <w:lang w:eastAsia="en-NZ"/>
              </w:rPr>
            </w:pPr>
          </w:p>
        </w:tc>
      </w:tr>
      <w:tr w:rsidR="00442048" w:rsidRPr="001A3451" w14:paraId="5D06158F"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noWrap/>
            <w:hideMark/>
          </w:tcPr>
          <w:p w14:paraId="10F8098F" w14:textId="77777777" w:rsidR="00442048" w:rsidRPr="001A3451" w:rsidRDefault="00442048" w:rsidP="00442048">
            <w:pPr>
              <w:pStyle w:val="Tablesinglespacedparagraph"/>
              <w:rPr>
                <w:szCs w:val="20"/>
                <w:lang w:eastAsia="en-NZ"/>
              </w:rPr>
            </w:pPr>
            <w:r w:rsidRPr="001A3451">
              <w:rPr>
                <w:szCs w:val="20"/>
                <w:lang w:eastAsia="en-NZ"/>
              </w:rPr>
              <w:t>Hamilton High Court &amp; District Court</w:t>
            </w:r>
          </w:p>
        </w:tc>
        <w:tc>
          <w:tcPr>
            <w:tcW w:w="1843" w:type="dxa"/>
            <w:noWrap/>
            <w:hideMark/>
          </w:tcPr>
          <w:p w14:paraId="16935CC3" w14:textId="77777777" w:rsidR="00442048" w:rsidRPr="001A3451" w:rsidRDefault="00442048" w:rsidP="00442048">
            <w:pPr>
              <w:pStyle w:val="Tablesinglespacedparagraph"/>
              <w:rPr>
                <w:lang w:eastAsia="en-NZ"/>
              </w:rPr>
            </w:pPr>
            <w:r w:rsidRPr="001A3451">
              <w:rPr>
                <w:lang w:eastAsia="en-NZ"/>
              </w:rPr>
              <w:t>Informal</w:t>
            </w:r>
          </w:p>
        </w:tc>
        <w:tc>
          <w:tcPr>
            <w:tcW w:w="1620" w:type="dxa"/>
            <w:noWrap/>
            <w:hideMark/>
          </w:tcPr>
          <w:p w14:paraId="2E5A65F4"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442048" w:rsidRPr="001A3451" w14:paraId="309CC4F7"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noWrap/>
            <w:hideMark/>
          </w:tcPr>
          <w:p w14:paraId="4D75F992" w14:textId="77777777" w:rsidR="00442048" w:rsidRPr="001A3451" w:rsidRDefault="00442048" w:rsidP="00442048">
            <w:pPr>
              <w:pStyle w:val="Tablesinglespacedparagraph"/>
              <w:rPr>
                <w:szCs w:val="20"/>
                <w:lang w:eastAsia="en-NZ"/>
              </w:rPr>
            </w:pPr>
            <w:r w:rsidRPr="001A3451">
              <w:rPr>
                <w:szCs w:val="20"/>
                <w:lang w:eastAsia="en-NZ"/>
              </w:rPr>
              <w:t>Levin District Court</w:t>
            </w:r>
          </w:p>
        </w:tc>
        <w:tc>
          <w:tcPr>
            <w:tcW w:w="1843" w:type="dxa"/>
            <w:noWrap/>
            <w:hideMark/>
          </w:tcPr>
          <w:p w14:paraId="41F44216" w14:textId="77777777" w:rsidR="00442048" w:rsidRPr="001A3451" w:rsidRDefault="00442048" w:rsidP="00442048">
            <w:pPr>
              <w:pStyle w:val="Tablesinglespacedparagraph"/>
              <w:rPr>
                <w:lang w:eastAsia="en-NZ"/>
              </w:rPr>
            </w:pPr>
            <w:r w:rsidRPr="001A3451">
              <w:rPr>
                <w:lang w:eastAsia="en-NZ"/>
              </w:rPr>
              <w:t>Informal</w:t>
            </w:r>
          </w:p>
        </w:tc>
        <w:tc>
          <w:tcPr>
            <w:tcW w:w="1620" w:type="dxa"/>
            <w:noWrap/>
            <w:hideMark/>
          </w:tcPr>
          <w:p w14:paraId="52981CFC"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442048" w:rsidRPr="001A3451" w14:paraId="0429EAC1"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noWrap/>
            <w:hideMark/>
          </w:tcPr>
          <w:p w14:paraId="093D1445" w14:textId="77777777" w:rsidR="00442048" w:rsidRPr="001A3451" w:rsidRDefault="00442048" w:rsidP="00442048">
            <w:pPr>
              <w:pStyle w:val="Tablesinglespacedparagraph"/>
              <w:rPr>
                <w:szCs w:val="20"/>
                <w:lang w:eastAsia="en-NZ"/>
              </w:rPr>
            </w:pPr>
            <w:r w:rsidRPr="001A3451">
              <w:rPr>
                <w:szCs w:val="20"/>
                <w:lang w:eastAsia="en-NZ"/>
              </w:rPr>
              <w:t>Te Awamutu District Court</w:t>
            </w:r>
          </w:p>
        </w:tc>
        <w:tc>
          <w:tcPr>
            <w:tcW w:w="1843" w:type="dxa"/>
            <w:noWrap/>
            <w:hideMark/>
          </w:tcPr>
          <w:p w14:paraId="073F5B0F" w14:textId="77777777" w:rsidR="00442048" w:rsidRPr="001A3451" w:rsidRDefault="00442048" w:rsidP="00442048">
            <w:pPr>
              <w:pStyle w:val="Tablesinglespacedparagraph"/>
              <w:rPr>
                <w:lang w:eastAsia="en-NZ"/>
              </w:rPr>
            </w:pPr>
            <w:r w:rsidRPr="001A3451">
              <w:rPr>
                <w:lang w:eastAsia="en-NZ"/>
              </w:rPr>
              <w:t>Informal</w:t>
            </w:r>
          </w:p>
        </w:tc>
        <w:tc>
          <w:tcPr>
            <w:tcW w:w="1620" w:type="dxa"/>
            <w:noWrap/>
            <w:hideMark/>
          </w:tcPr>
          <w:p w14:paraId="24950693"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442048" w:rsidRPr="001A3451" w14:paraId="2D92FDB1"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noWrap/>
            <w:hideMark/>
          </w:tcPr>
          <w:p w14:paraId="571FAE2D" w14:textId="77777777" w:rsidR="00442048" w:rsidRPr="001A3451" w:rsidRDefault="00442048" w:rsidP="00442048">
            <w:pPr>
              <w:pStyle w:val="Tablesinglespacedparagraph"/>
              <w:rPr>
                <w:szCs w:val="20"/>
                <w:lang w:eastAsia="en-NZ"/>
              </w:rPr>
            </w:pPr>
            <w:r w:rsidRPr="001A3451">
              <w:rPr>
                <w:szCs w:val="20"/>
                <w:lang w:eastAsia="en-NZ"/>
              </w:rPr>
              <w:t>Timaru District Court</w:t>
            </w:r>
          </w:p>
        </w:tc>
        <w:tc>
          <w:tcPr>
            <w:tcW w:w="1843" w:type="dxa"/>
            <w:noWrap/>
            <w:hideMark/>
          </w:tcPr>
          <w:p w14:paraId="7569D9CC" w14:textId="77777777" w:rsidR="00442048" w:rsidRPr="001A3451" w:rsidRDefault="00442048" w:rsidP="00442048">
            <w:pPr>
              <w:pStyle w:val="Tablesinglespacedparagraph"/>
              <w:rPr>
                <w:lang w:eastAsia="en-NZ"/>
              </w:rPr>
            </w:pPr>
            <w:r w:rsidRPr="001A3451">
              <w:rPr>
                <w:lang w:eastAsia="en-NZ"/>
              </w:rPr>
              <w:t>Informal</w:t>
            </w:r>
          </w:p>
        </w:tc>
        <w:tc>
          <w:tcPr>
            <w:tcW w:w="1620" w:type="dxa"/>
            <w:noWrap/>
            <w:hideMark/>
          </w:tcPr>
          <w:p w14:paraId="78D56510"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EC41FA" w:rsidRPr="001A3451" w14:paraId="5D56A3D7"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shd w:val="clear" w:color="auto" w:fill="BFBFBF"/>
            <w:noWrap/>
          </w:tcPr>
          <w:p w14:paraId="5A6DC25A" w14:textId="77777777" w:rsidR="00EC41FA" w:rsidRPr="00442048" w:rsidRDefault="00EC41FA" w:rsidP="00442048">
            <w:pPr>
              <w:pStyle w:val="Tablesinglespacedparagraph"/>
              <w:rPr>
                <w:b/>
                <w:szCs w:val="20"/>
                <w:lang w:eastAsia="en-NZ"/>
              </w:rPr>
            </w:pPr>
            <w:r w:rsidRPr="00442048">
              <w:rPr>
                <w:b/>
                <w:szCs w:val="20"/>
                <w:lang w:eastAsia="en-NZ"/>
              </w:rPr>
              <w:t>Community / Intellectual Disability</w:t>
            </w:r>
          </w:p>
        </w:tc>
        <w:tc>
          <w:tcPr>
            <w:tcW w:w="1843" w:type="dxa"/>
            <w:shd w:val="clear" w:color="auto" w:fill="BFBFBF"/>
          </w:tcPr>
          <w:p w14:paraId="3FC5EF1B" w14:textId="77777777" w:rsidR="00EC41FA" w:rsidRPr="00442048" w:rsidRDefault="00EC41FA" w:rsidP="00442048">
            <w:pPr>
              <w:pStyle w:val="Tablesinglespacedparagraph"/>
              <w:rPr>
                <w:b/>
                <w:szCs w:val="20"/>
                <w:lang w:eastAsia="en-NZ"/>
              </w:rPr>
            </w:pPr>
          </w:p>
        </w:tc>
        <w:tc>
          <w:tcPr>
            <w:tcW w:w="1620" w:type="dxa"/>
            <w:shd w:val="clear" w:color="auto" w:fill="BFBFBF"/>
          </w:tcPr>
          <w:p w14:paraId="7B1B31E9" w14:textId="284E2EFF" w:rsidR="00EC41FA" w:rsidRPr="00442048" w:rsidRDefault="00EC41FA" w:rsidP="00442048">
            <w:pPr>
              <w:pStyle w:val="Tablesinglespacedparagraph"/>
              <w:rPr>
                <w:b/>
                <w:szCs w:val="20"/>
                <w:lang w:eastAsia="en-NZ"/>
              </w:rPr>
            </w:pPr>
          </w:p>
        </w:tc>
      </w:tr>
      <w:tr w:rsidR="00442048" w:rsidRPr="001A3451" w14:paraId="0DF81657"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noWrap/>
            <w:hideMark/>
          </w:tcPr>
          <w:p w14:paraId="5FD85408" w14:textId="77777777" w:rsidR="00442048" w:rsidRPr="001A3451" w:rsidRDefault="00442048" w:rsidP="00442048">
            <w:pPr>
              <w:pStyle w:val="Tablesinglespacedparagraph"/>
              <w:rPr>
                <w:szCs w:val="20"/>
                <w:lang w:eastAsia="en-NZ"/>
              </w:rPr>
            </w:pPr>
            <w:r w:rsidRPr="001A3451">
              <w:rPr>
                <w:szCs w:val="20"/>
                <w:lang w:eastAsia="en-NZ"/>
              </w:rPr>
              <w:t>Community Care Trust</w:t>
            </w:r>
          </w:p>
        </w:tc>
        <w:tc>
          <w:tcPr>
            <w:tcW w:w="1843" w:type="dxa"/>
            <w:noWrap/>
            <w:hideMark/>
          </w:tcPr>
          <w:p w14:paraId="091CAA73" w14:textId="77777777" w:rsidR="00442048" w:rsidRPr="001A3451" w:rsidRDefault="00442048" w:rsidP="00442048">
            <w:pPr>
              <w:pStyle w:val="Tablesinglespacedparagraph"/>
              <w:rPr>
                <w:szCs w:val="20"/>
                <w:lang w:eastAsia="en-NZ"/>
              </w:rPr>
            </w:pPr>
            <w:r w:rsidRPr="001A3451">
              <w:rPr>
                <w:szCs w:val="20"/>
                <w:lang w:eastAsia="en-NZ"/>
              </w:rPr>
              <w:t>Full</w:t>
            </w:r>
          </w:p>
        </w:tc>
        <w:tc>
          <w:tcPr>
            <w:tcW w:w="1620" w:type="dxa"/>
            <w:noWrap/>
            <w:hideMark/>
          </w:tcPr>
          <w:p w14:paraId="2BC3B4B4"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442048" w:rsidRPr="001A3451" w14:paraId="1540DB58"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noWrap/>
            <w:hideMark/>
          </w:tcPr>
          <w:p w14:paraId="017DBCE2" w14:textId="77777777" w:rsidR="00442048" w:rsidRPr="001A3451" w:rsidRDefault="00442048" w:rsidP="00442048">
            <w:pPr>
              <w:pStyle w:val="Tablesinglespacedparagraph"/>
              <w:rPr>
                <w:szCs w:val="20"/>
                <w:lang w:eastAsia="en-NZ"/>
              </w:rPr>
            </w:pPr>
            <w:r w:rsidRPr="001A3451">
              <w:rPr>
                <w:szCs w:val="20"/>
                <w:lang w:eastAsia="en-NZ"/>
              </w:rPr>
              <w:t>Community Living (two facilities)</w:t>
            </w:r>
          </w:p>
        </w:tc>
        <w:tc>
          <w:tcPr>
            <w:tcW w:w="1843" w:type="dxa"/>
            <w:noWrap/>
            <w:hideMark/>
          </w:tcPr>
          <w:p w14:paraId="4FC3E332" w14:textId="77777777" w:rsidR="00442048" w:rsidRPr="001A3451" w:rsidRDefault="00442048" w:rsidP="00442048">
            <w:pPr>
              <w:pStyle w:val="Tablesinglespacedparagraph"/>
              <w:rPr>
                <w:szCs w:val="20"/>
                <w:lang w:eastAsia="en-NZ"/>
              </w:rPr>
            </w:pPr>
            <w:r w:rsidRPr="001A3451">
              <w:rPr>
                <w:szCs w:val="20"/>
                <w:lang w:eastAsia="en-NZ"/>
              </w:rPr>
              <w:t>Full</w:t>
            </w:r>
          </w:p>
        </w:tc>
        <w:tc>
          <w:tcPr>
            <w:tcW w:w="1620" w:type="dxa"/>
            <w:noWrap/>
            <w:hideMark/>
          </w:tcPr>
          <w:p w14:paraId="28EFDEBE"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442048" w:rsidRPr="001A3451" w14:paraId="2D17CE9D"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noWrap/>
            <w:hideMark/>
          </w:tcPr>
          <w:p w14:paraId="742B7AE9" w14:textId="77777777" w:rsidR="00442048" w:rsidRPr="001A3451" w:rsidRDefault="00442048" w:rsidP="00442048">
            <w:pPr>
              <w:pStyle w:val="Tablesinglespacedparagraph"/>
              <w:rPr>
                <w:szCs w:val="20"/>
                <w:lang w:eastAsia="en-NZ"/>
              </w:rPr>
            </w:pPr>
            <w:r w:rsidRPr="001A3451">
              <w:rPr>
                <w:szCs w:val="20"/>
                <w:lang w:eastAsia="en-NZ"/>
              </w:rPr>
              <w:t>Emerge Aotearoa</w:t>
            </w:r>
          </w:p>
        </w:tc>
        <w:tc>
          <w:tcPr>
            <w:tcW w:w="1843" w:type="dxa"/>
            <w:noWrap/>
            <w:hideMark/>
          </w:tcPr>
          <w:p w14:paraId="43172279" w14:textId="77777777" w:rsidR="00442048" w:rsidRPr="001A3451" w:rsidRDefault="00442048" w:rsidP="00442048">
            <w:pPr>
              <w:pStyle w:val="Tablesinglespacedparagraph"/>
              <w:rPr>
                <w:szCs w:val="20"/>
                <w:lang w:eastAsia="en-NZ"/>
              </w:rPr>
            </w:pPr>
            <w:r w:rsidRPr="001A3451">
              <w:rPr>
                <w:szCs w:val="20"/>
                <w:lang w:eastAsia="en-NZ"/>
              </w:rPr>
              <w:t>Full</w:t>
            </w:r>
          </w:p>
        </w:tc>
        <w:tc>
          <w:tcPr>
            <w:tcW w:w="1620" w:type="dxa"/>
            <w:noWrap/>
            <w:hideMark/>
          </w:tcPr>
          <w:p w14:paraId="69925019" w14:textId="77777777" w:rsidR="00442048" w:rsidRPr="001A3451" w:rsidRDefault="00442048" w:rsidP="00442048">
            <w:pPr>
              <w:pStyle w:val="Tablesinglespacedparagraph"/>
              <w:rPr>
                <w:szCs w:val="20"/>
                <w:lang w:eastAsia="en-NZ"/>
              </w:rPr>
            </w:pPr>
            <w:r w:rsidRPr="001A3451">
              <w:rPr>
                <w:szCs w:val="20"/>
                <w:lang w:eastAsia="en-NZ"/>
              </w:rPr>
              <w:t>Announced</w:t>
            </w:r>
          </w:p>
        </w:tc>
      </w:tr>
      <w:tr w:rsidR="00442048" w:rsidRPr="001A3451" w14:paraId="2F2355FA"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noWrap/>
            <w:hideMark/>
          </w:tcPr>
          <w:p w14:paraId="055E165C" w14:textId="77777777" w:rsidR="00442048" w:rsidRPr="001A3451" w:rsidRDefault="00442048" w:rsidP="00442048">
            <w:pPr>
              <w:pStyle w:val="Tablesinglespacedparagraph"/>
              <w:rPr>
                <w:szCs w:val="20"/>
                <w:lang w:eastAsia="en-NZ"/>
              </w:rPr>
            </w:pPr>
            <w:r w:rsidRPr="001A3451">
              <w:rPr>
                <w:szCs w:val="20"/>
                <w:lang w:eastAsia="en-NZ"/>
              </w:rPr>
              <w:t>IDEA Services (five facilities)</w:t>
            </w:r>
          </w:p>
        </w:tc>
        <w:tc>
          <w:tcPr>
            <w:tcW w:w="1843" w:type="dxa"/>
            <w:noWrap/>
            <w:hideMark/>
          </w:tcPr>
          <w:p w14:paraId="058C792E" w14:textId="77777777" w:rsidR="00442048" w:rsidRPr="001A3451" w:rsidRDefault="00442048" w:rsidP="00442048">
            <w:pPr>
              <w:pStyle w:val="Tablesinglespacedparagraph"/>
              <w:rPr>
                <w:szCs w:val="20"/>
                <w:lang w:eastAsia="en-NZ"/>
              </w:rPr>
            </w:pPr>
            <w:r w:rsidRPr="001A3451">
              <w:rPr>
                <w:szCs w:val="20"/>
                <w:lang w:eastAsia="en-NZ"/>
              </w:rPr>
              <w:t>Full</w:t>
            </w:r>
          </w:p>
        </w:tc>
        <w:tc>
          <w:tcPr>
            <w:tcW w:w="1620" w:type="dxa"/>
            <w:noWrap/>
            <w:hideMark/>
          </w:tcPr>
          <w:p w14:paraId="79117E33"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442048" w:rsidRPr="001A3451" w14:paraId="73A5055F" w14:textId="77777777" w:rsidTr="00222C74">
        <w:trPr>
          <w:cnfStyle w:val="000000010000" w:firstRow="0" w:lastRow="0" w:firstColumn="0" w:lastColumn="0" w:oddVBand="0" w:evenVBand="0" w:oddHBand="0" w:evenHBand="1" w:firstRowFirstColumn="0" w:firstRowLastColumn="0" w:lastRowFirstColumn="0" w:lastRowLastColumn="0"/>
          <w:trHeight w:val="285"/>
        </w:trPr>
        <w:tc>
          <w:tcPr>
            <w:tcW w:w="5660" w:type="dxa"/>
            <w:noWrap/>
            <w:hideMark/>
          </w:tcPr>
          <w:p w14:paraId="79A61D93" w14:textId="77777777" w:rsidR="00442048" w:rsidRPr="001A3451" w:rsidRDefault="00442048" w:rsidP="00442048">
            <w:pPr>
              <w:pStyle w:val="Tablesinglespacedparagraph"/>
              <w:rPr>
                <w:szCs w:val="20"/>
                <w:lang w:eastAsia="en-NZ"/>
              </w:rPr>
            </w:pPr>
            <w:r w:rsidRPr="001A3451">
              <w:rPr>
                <w:szCs w:val="20"/>
                <w:lang w:eastAsia="en-NZ"/>
              </w:rPr>
              <w:t>Navigate (two facilities)</w:t>
            </w:r>
          </w:p>
        </w:tc>
        <w:tc>
          <w:tcPr>
            <w:tcW w:w="1843" w:type="dxa"/>
            <w:noWrap/>
            <w:hideMark/>
          </w:tcPr>
          <w:p w14:paraId="74C994B9" w14:textId="77777777" w:rsidR="00442048" w:rsidRPr="001A3451" w:rsidRDefault="00442048" w:rsidP="00442048">
            <w:pPr>
              <w:pStyle w:val="Tablesinglespacedparagraph"/>
              <w:rPr>
                <w:szCs w:val="20"/>
                <w:lang w:eastAsia="en-NZ"/>
              </w:rPr>
            </w:pPr>
            <w:r w:rsidRPr="001A3451">
              <w:rPr>
                <w:szCs w:val="20"/>
                <w:lang w:eastAsia="en-NZ"/>
              </w:rPr>
              <w:t>Full</w:t>
            </w:r>
          </w:p>
        </w:tc>
        <w:tc>
          <w:tcPr>
            <w:tcW w:w="1620" w:type="dxa"/>
            <w:noWrap/>
            <w:hideMark/>
          </w:tcPr>
          <w:p w14:paraId="745B7504" w14:textId="77777777" w:rsidR="00442048" w:rsidRPr="001A3451" w:rsidRDefault="00442048" w:rsidP="00442048">
            <w:pPr>
              <w:pStyle w:val="Tablesinglespacedparagraph"/>
              <w:rPr>
                <w:szCs w:val="20"/>
                <w:lang w:eastAsia="en-NZ"/>
              </w:rPr>
            </w:pPr>
            <w:r w:rsidRPr="001A3451">
              <w:rPr>
                <w:szCs w:val="20"/>
                <w:lang w:eastAsia="en-NZ"/>
              </w:rPr>
              <w:t>Announced</w:t>
            </w:r>
          </w:p>
        </w:tc>
      </w:tr>
      <w:tr w:rsidR="00442048" w:rsidRPr="001A3451" w14:paraId="77FC7726"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noWrap/>
            <w:hideMark/>
          </w:tcPr>
          <w:p w14:paraId="1CCC1582" w14:textId="77777777" w:rsidR="00442048" w:rsidRPr="001A3451" w:rsidRDefault="00442048" w:rsidP="00442048">
            <w:pPr>
              <w:pStyle w:val="Tablesinglespacedparagraph"/>
              <w:rPr>
                <w:szCs w:val="20"/>
                <w:lang w:eastAsia="en-NZ"/>
              </w:rPr>
            </w:pPr>
            <w:r w:rsidRPr="001A3451">
              <w:rPr>
                <w:szCs w:val="20"/>
                <w:lang w:eastAsia="en-NZ"/>
              </w:rPr>
              <w:t>Te Roopu Taurima (five facilities)</w:t>
            </w:r>
          </w:p>
        </w:tc>
        <w:tc>
          <w:tcPr>
            <w:tcW w:w="1843" w:type="dxa"/>
            <w:noWrap/>
            <w:hideMark/>
          </w:tcPr>
          <w:p w14:paraId="5C61E9C7" w14:textId="77777777" w:rsidR="00442048" w:rsidRPr="001A3451" w:rsidRDefault="00442048" w:rsidP="00442048">
            <w:pPr>
              <w:pStyle w:val="Tablesinglespacedparagraph"/>
              <w:rPr>
                <w:szCs w:val="20"/>
                <w:lang w:eastAsia="en-NZ"/>
              </w:rPr>
            </w:pPr>
            <w:r w:rsidRPr="001A3451">
              <w:rPr>
                <w:szCs w:val="20"/>
                <w:lang w:eastAsia="en-NZ"/>
              </w:rPr>
              <w:t>Full</w:t>
            </w:r>
          </w:p>
        </w:tc>
        <w:tc>
          <w:tcPr>
            <w:tcW w:w="1620" w:type="dxa"/>
            <w:noWrap/>
            <w:hideMark/>
          </w:tcPr>
          <w:p w14:paraId="3352510F"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EC41FA" w:rsidRPr="00442048" w14:paraId="19E51110"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shd w:val="clear" w:color="auto" w:fill="BFBFBF"/>
            <w:noWrap/>
          </w:tcPr>
          <w:p w14:paraId="751CF0E4" w14:textId="77777777" w:rsidR="00EC41FA" w:rsidRPr="00442048" w:rsidRDefault="00EC41FA" w:rsidP="00442048">
            <w:pPr>
              <w:pStyle w:val="Tablesinglespacedparagraph"/>
              <w:rPr>
                <w:b/>
                <w:szCs w:val="20"/>
                <w:lang w:eastAsia="en-NZ"/>
              </w:rPr>
            </w:pPr>
            <w:r w:rsidRPr="00442048">
              <w:rPr>
                <w:b/>
                <w:szCs w:val="20"/>
                <w:lang w:eastAsia="en-NZ"/>
              </w:rPr>
              <w:t>Immigration</w:t>
            </w:r>
          </w:p>
        </w:tc>
        <w:tc>
          <w:tcPr>
            <w:tcW w:w="1843" w:type="dxa"/>
            <w:shd w:val="clear" w:color="auto" w:fill="BFBFBF"/>
          </w:tcPr>
          <w:p w14:paraId="7252619F" w14:textId="77777777" w:rsidR="00EC41FA" w:rsidRPr="00442048" w:rsidRDefault="00EC41FA" w:rsidP="00442048">
            <w:pPr>
              <w:pStyle w:val="Tablesinglespacedparagraph"/>
              <w:rPr>
                <w:b/>
                <w:szCs w:val="20"/>
                <w:lang w:eastAsia="en-NZ"/>
              </w:rPr>
            </w:pPr>
          </w:p>
        </w:tc>
        <w:tc>
          <w:tcPr>
            <w:tcW w:w="1620" w:type="dxa"/>
            <w:shd w:val="clear" w:color="auto" w:fill="BFBFBF"/>
          </w:tcPr>
          <w:p w14:paraId="2B73F0AE" w14:textId="71E18E4C" w:rsidR="00EC41FA" w:rsidRPr="00442048" w:rsidRDefault="00EC41FA" w:rsidP="00442048">
            <w:pPr>
              <w:pStyle w:val="Tablesinglespacedparagraph"/>
              <w:rPr>
                <w:b/>
                <w:szCs w:val="20"/>
                <w:lang w:eastAsia="en-NZ"/>
              </w:rPr>
            </w:pPr>
          </w:p>
        </w:tc>
      </w:tr>
      <w:tr w:rsidR="00442048" w:rsidRPr="001A3451" w14:paraId="2EAAA646"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noWrap/>
            <w:hideMark/>
          </w:tcPr>
          <w:p w14:paraId="03CC6217" w14:textId="77777777" w:rsidR="00442048" w:rsidRPr="001A3451" w:rsidRDefault="00442048" w:rsidP="00442048">
            <w:pPr>
              <w:pStyle w:val="Tablesinglespacedparagraph"/>
              <w:rPr>
                <w:szCs w:val="20"/>
                <w:lang w:eastAsia="en-NZ"/>
              </w:rPr>
            </w:pPr>
            <w:r w:rsidRPr="001A3451">
              <w:rPr>
                <w:szCs w:val="20"/>
                <w:lang w:eastAsia="en-NZ"/>
              </w:rPr>
              <w:t>Mangere Refugee Centre</w:t>
            </w:r>
          </w:p>
        </w:tc>
        <w:tc>
          <w:tcPr>
            <w:tcW w:w="1843" w:type="dxa"/>
            <w:noWrap/>
            <w:hideMark/>
          </w:tcPr>
          <w:p w14:paraId="52DBC693" w14:textId="77777777" w:rsidR="00442048" w:rsidRPr="001A3451" w:rsidRDefault="00442048" w:rsidP="00442048">
            <w:pPr>
              <w:pStyle w:val="Tablesinglespacedparagraph"/>
              <w:rPr>
                <w:szCs w:val="20"/>
                <w:lang w:eastAsia="en-NZ"/>
              </w:rPr>
            </w:pPr>
            <w:r w:rsidRPr="001A3451">
              <w:rPr>
                <w:szCs w:val="20"/>
                <w:lang w:eastAsia="en-NZ"/>
              </w:rPr>
              <w:t>Full</w:t>
            </w:r>
          </w:p>
        </w:tc>
        <w:tc>
          <w:tcPr>
            <w:tcW w:w="1620" w:type="dxa"/>
            <w:noWrap/>
            <w:hideMark/>
          </w:tcPr>
          <w:p w14:paraId="545DD469" w14:textId="77777777" w:rsidR="00442048" w:rsidRPr="001A3451" w:rsidRDefault="00442048" w:rsidP="00442048">
            <w:pPr>
              <w:pStyle w:val="Tablesinglespacedparagraph"/>
              <w:rPr>
                <w:szCs w:val="20"/>
                <w:lang w:eastAsia="en-NZ"/>
              </w:rPr>
            </w:pPr>
            <w:r w:rsidRPr="001A3451">
              <w:rPr>
                <w:szCs w:val="20"/>
                <w:lang w:eastAsia="en-NZ"/>
              </w:rPr>
              <w:t>Announced</w:t>
            </w:r>
          </w:p>
        </w:tc>
      </w:tr>
      <w:tr w:rsidR="00EC41FA" w:rsidRPr="00442048" w14:paraId="619655CD"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shd w:val="clear" w:color="auto" w:fill="BFBFBF"/>
            <w:noWrap/>
          </w:tcPr>
          <w:p w14:paraId="5BBF0116" w14:textId="77777777" w:rsidR="00EC41FA" w:rsidRPr="00442048" w:rsidRDefault="00EC41FA" w:rsidP="00442048">
            <w:pPr>
              <w:pStyle w:val="Tablesinglespacedparagraph"/>
              <w:rPr>
                <w:b/>
                <w:szCs w:val="20"/>
                <w:lang w:eastAsia="en-NZ"/>
              </w:rPr>
            </w:pPr>
            <w:r w:rsidRPr="00442048">
              <w:rPr>
                <w:b/>
                <w:szCs w:val="20"/>
                <w:lang w:eastAsia="en-NZ"/>
              </w:rPr>
              <w:t>Mental Health</w:t>
            </w:r>
          </w:p>
        </w:tc>
        <w:tc>
          <w:tcPr>
            <w:tcW w:w="1843" w:type="dxa"/>
            <w:shd w:val="clear" w:color="auto" w:fill="BFBFBF"/>
          </w:tcPr>
          <w:p w14:paraId="4999957D" w14:textId="77777777" w:rsidR="00EC41FA" w:rsidRPr="00442048" w:rsidRDefault="00EC41FA" w:rsidP="00442048">
            <w:pPr>
              <w:pStyle w:val="Tablesinglespacedparagraph"/>
              <w:rPr>
                <w:b/>
                <w:szCs w:val="20"/>
                <w:lang w:eastAsia="en-NZ"/>
              </w:rPr>
            </w:pPr>
          </w:p>
        </w:tc>
        <w:tc>
          <w:tcPr>
            <w:tcW w:w="1620" w:type="dxa"/>
            <w:shd w:val="clear" w:color="auto" w:fill="BFBFBF"/>
          </w:tcPr>
          <w:p w14:paraId="63B99502" w14:textId="4E66E07D" w:rsidR="00EC41FA" w:rsidRPr="00442048" w:rsidRDefault="00EC41FA" w:rsidP="00442048">
            <w:pPr>
              <w:pStyle w:val="Tablesinglespacedparagraph"/>
              <w:rPr>
                <w:b/>
                <w:szCs w:val="20"/>
                <w:lang w:eastAsia="en-NZ"/>
              </w:rPr>
            </w:pPr>
          </w:p>
        </w:tc>
      </w:tr>
      <w:tr w:rsidR="00442048" w:rsidRPr="001A3451" w14:paraId="00CFEB57" w14:textId="77777777" w:rsidTr="00222C74">
        <w:trPr>
          <w:cnfStyle w:val="000000100000" w:firstRow="0" w:lastRow="0" w:firstColumn="0" w:lastColumn="0" w:oddVBand="0" w:evenVBand="0" w:oddHBand="1" w:evenHBand="0" w:firstRowFirstColumn="0" w:firstRowLastColumn="0" w:lastRowFirstColumn="0" w:lastRowLastColumn="0"/>
          <w:trHeight w:val="323"/>
        </w:trPr>
        <w:tc>
          <w:tcPr>
            <w:tcW w:w="5660" w:type="dxa"/>
            <w:noWrap/>
            <w:hideMark/>
          </w:tcPr>
          <w:p w14:paraId="5F667EC6" w14:textId="77777777" w:rsidR="00442048" w:rsidRPr="001A3451" w:rsidRDefault="00442048" w:rsidP="00442048">
            <w:pPr>
              <w:pStyle w:val="Tablesinglespacedparagraph"/>
              <w:rPr>
                <w:lang w:eastAsia="en-NZ"/>
              </w:rPr>
            </w:pPr>
            <w:r w:rsidRPr="001A3451">
              <w:rPr>
                <w:lang w:eastAsia="en-NZ"/>
              </w:rPr>
              <w:t>COVID-19 mental health (five facilities)</w:t>
            </w:r>
          </w:p>
        </w:tc>
        <w:tc>
          <w:tcPr>
            <w:tcW w:w="1843" w:type="dxa"/>
            <w:noWrap/>
            <w:hideMark/>
          </w:tcPr>
          <w:p w14:paraId="7A1A61F2" w14:textId="77777777" w:rsidR="00442048" w:rsidRPr="001A3451" w:rsidRDefault="00442048" w:rsidP="00442048">
            <w:pPr>
              <w:pStyle w:val="Tablesinglespacedparagraph"/>
              <w:rPr>
                <w:szCs w:val="20"/>
                <w:lang w:eastAsia="en-NZ"/>
              </w:rPr>
            </w:pPr>
            <w:r w:rsidRPr="001A3451">
              <w:rPr>
                <w:szCs w:val="20"/>
                <w:lang w:eastAsia="en-NZ"/>
              </w:rPr>
              <w:t>COVID-19</w:t>
            </w:r>
          </w:p>
        </w:tc>
        <w:tc>
          <w:tcPr>
            <w:tcW w:w="1620" w:type="dxa"/>
            <w:noWrap/>
            <w:hideMark/>
          </w:tcPr>
          <w:p w14:paraId="612C6FF5" w14:textId="77777777" w:rsidR="00442048" w:rsidRPr="001A3451" w:rsidRDefault="00442048" w:rsidP="00442048">
            <w:pPr>
              <w:pStyle w:val="Tablesinglespacedparagraph"/>
              <w:rPr>
                <w:szCs w:val="20"/>
                <w:lang w:eastAsia="en-NZ"/>
              </w:rPr>
            </w:pPr>
            <w:r w:rsidRPr="001A3451">
              <w:rPr>
                <w:szCs w:val="20"/>
                <w:lang w:eastAsia="en-NZ"/>
              </w:rPr>
              <w:t>Announced</w:t>
            </w:r>
          </w:p>
        </w:tc>
      </w:tr>
      <w:tr w:rsidR="00442048" w:rsidRPr="001A3451" w14:paraId="2E452728"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noWrap/>
            <w:hideMark/>
          </w:tcPr>
          <w:p w14:paraId="43841A35" w14:textId="77777777" w:rsidR="00442048" w:rsidRPr="001A3451" w:rsidRDefault="00442048" w:rsidP="00442048">
            <w:pPr>
              <w:pStyle w:val="Tablesinglespacedparagraph"/>
              <w:rPr>
                <w:szCs w:val="20"/>
                <w:lang w:eastAsia="en-NZ"/>
              </w:rPr>
            </w:pPr>
            <w:r w:rsidRPr="001A3451">
              <w:rPr>
                <w:szCs w:val="20"/>
                <w:lang w:eastAsia="en-NZ"/>
              </w:rPr>
              <w:t>He Puna Wāiora, North Shore Hospital</w:t>
            </w:r>
          </w:p>
        </w:tc>
        <w:tc>
          <w:tcPr>
            <w:tcW w:w="1843" w:type="dxa"/>
            <w:noWrap/>
            <w:hideMark/>
          </w:tcPr>
          <w:p w14:paraId="3DEE4689" w14:textId="77777777" w:rsidR="00442048" w:rsidRPr="001A3451" w:rsidRDefault="00442048" w:rsidP="00442048">
            <w:pPr>
              <w:pStyle w:val="Tablesinglespacedparagraph"/>
              <w:rPr>
                <w:szCs w:val="20"/>
                <w:lang w:eastAsia="en-NZ"/>
              </w:rPr>
            </w:pPr>
            <w:r w:rsidRPr="001A3451">
              <w:rPr>
                <w:szCs w:val="20"/>
                <w:lang w:eastAsia="en-NZ"/>
              </w:rPr>
              <w:t>Full</w:t>
            </w:r>
          </w:p>
        </w:tc>
        <w:tc>
          <w:tcPr>
            <w:tcW w:w="1620" w:type="dxa"/>
            <w:noWrap/>
            <w:hideMark/>
          </w:tcPr>
          <w:p w14:paraId="7914CE8E"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442048" w:rsidRPr="001A3451" w14:paraId="00870FBE"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noWrap/>
            <w:hideMark/>
          </w:tcPr>
          <w:p w14:paraId="2DFBEFE4" w14:textId="77777777" w:rsidR="00442048" w:rsidRPr="001A3451" w:rsidRDefault="00442048" w:rsidP="00442048">
            <w:pPr>
              <w:pStyle w:val="Tablesinglespacedparagraph"/>
              <w:rPr>
                <w:szCs w:val="20"/>
                <w:lang w:eastAsia="en-NZ"/>
              </w:rPr>
            </w:pPr>
            <w:r w:rsidRPr="001A3451">
              <w:rPr>
                <w:szCs w:val="20"/>
                <w:lang w:eastAsia="en-NZ"/>
              </w:rPr>
              <w:t>Kensington Centre, Timaru Mental Health Inpatient</w:t>
            </w:r>
          </w:p>
        </w:tc>
        <w:tc>
          <w:tcPr>
            <w:tcW w:w="1843" w:type="dxa"/>
            <w:noWrap/>
            <w:hideMark/>
          </w:tcPr>
          <w:p w14:paraId="352EC6CF" w14:textId="77777777" w:rsidR="00442048" w:rsidRPr="001A3451" w:rsidRDefault="00442048" w:rsidP="00442048">
            <w:pPr>
              <w:pStyle w:val="Tablesinglespacedparagraph"/>
              <w:rPr>
                <w:szCs w:val="20"/>
                <w:lang w:eastAsia="en-NZ"/>
              </w:rPr>
            </w:pPr>
            <w:r w:rsidRPr="001A3451">
              <w:rPr>
                <w:szCs w:val="20"/>
                <w:lang w:eastAsia="en-NZ"/>
              </w:rPr>
              <w:t>Full</w:t>
            </w:r>
          </w:p>
        </w:tc>
        <w:tc>
          <w:tcPr>
            <w:tcW w:w="1620" w:type="dxa"/>
            <w:noWrap/>
            <w:hideMark/>
          </w:tcPr>
          <w:p w14:paraId="5E8DC9E4"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442048" w:rsidRPr="001A3451" w14:paraId="10F2F169" w14:textId="77777777" w:rsidTr="00222C74">
        <w:trPr>
          <w:cnfStyle w:val="000000010000" w:firstRow="0" w:lastRow="0" w:firstColumn="0" w:lastColumn="0" w:oddVBand="0" w:evenVBand="0" w:oddHBand="0" w:evenHBand="1" w:firstRowFirstColumn="0" w:firstRowLastColumn="0" w:lastRowFirstColumn="0" w:lastRowLastColumn="0"/>
          <w:trHeight w:val="74"/>
        </w:trPr>
        <w:tc>
          <w:tcPr>
            <w:tcW w:w="5660" w:type="dxa"/>
            <w:hideMark/>
          </w:tcPr>
          <w:p w14:paraId="58738C51" w14:textId="2FB0B052" w:rsidR="00442048" w:rsidRPr="001A3451" w:rsidRDefault="00442048" w:rsidP="00442048">
            <w:pPr>
              <w:pStyle w:val="Tablesinglespacedparagraph"/>
              <w:rPr>
                <w:szCs w:val="20"/>
                <w:lang w:eastAsia="en-NZ"/>
              </w:rPr>
            </w:pPr>
            <w:r w:rsidRPr="001A3451">
              <w:rPr>
                <w:szCs w:val="20"/>
                <w:lang w:eastAsia="en-NZ"/>
              </w:rPr>
              <w:t>Mental Health Inpatient Unit</w:t>
            </w:r>
            <w:r>
              <w:rPr>
                <w:szCs w:val="20"/>
                <w:lang w:eastAsia="en-NZ"/>
              </w:rPr>
              <w:t xml:space="preserve"> - </w:t>
            </w:r>
            <w:r w:rsidRPr="001A3451">
              <w:rPr>
                <w:szCs w:val="20"/>
                <w:lang w:eastAsia="en-NZ"/>
              </w:rPr>
              <w:t>Whangarei Hospital</w:t>
            </w:r>
          </w:p>
        </w:tc>
        <w:tc>
          <w:tcPr>
            <w:tcW w:w="1843" w:type="dxa"/>
            <w:noWrap/>
            <w:hideMark/>
          </w:tcPr>
          <w:p w14:paraId="63DAE447" w14:textId="77777777" w:rsidR="00442048" w:rsidRPr="001A3451" w:rsidRDefault="00442048" w:rsidP="00442048">
            <w:pPr>
              <w:pStyle w:val="Tablesinglespacedparagraph"/>
              <w:rPr>
                <w:szCs w:val="20"/>
                <w:lang w:eastAsia="en-NZ"/>
              </w:rPr>
            </w:pPr>
            <w:r w:rsidRPr="001A3451">
              <w:rPr>
                <w:szCs w:val="20"/>
                <w:lang w:eastAsia="en-NZ"/>
              </w:rPr>
              <w:t>Full</w:t>
            </w:r>
          </w:p>
        </w:tc>
        <w:tc>
          <w:tcPr>
            <w:tcW w:w="1620" w:type="dxa"/>
            <w:noWrap/>
            <w:hideMark/>
          </w:tcPr>
          <w:p w14:paraId="5F746FD4"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442048" w:rsidRPr="001A3451" w14:paraId="3F15D347"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noWrap/>
            <w:hideMark/>
          </w:tcPr>
          <w:p w14:paraId="5323F101" w14:textId="77777777" w:rsidR="00442048" w:rsidRPr="001A3451" w:rsidRDefault="00442048" w:rsidP="00442048">
            <w:pPr>
              <w:pStyle w:val="Tablesinglespacedparagraph"/>
              <w:rPr>
                <w:lang w:eastAsia="en-NZ"/>
              </w:rPr>
            </w:pPr>
            <w:r w:rsidRPr="001A3451">
              <w:rPr>
                <w:lang w:eastAsia="en-NZ"/>
              </w:rPr>
              <w:t>Puna Awhi-rua, Henry Rongomau Bennett Centre</w:t>
            </w:r>
          </w:p>
        </w:tc>
        <w:tc>
          <w:tcPr>
            <w:tcW w:w="1843" w:type="dxa"/>
            <w:noWrap/>
            <w:hideMark/>
          </w:tcPr>
          <w:p w14:paraId="24E1A57B" w14:textId="77777777" w:rsidR="00442048" w:rsidRPr="001A3451" w:rsidRDefault="00442048" w:rsidP="00442048">
            <w:pPr>
              <w:pStyle w:val="Tablesinglespacedparagraph"/>
              <w:rPr>
                <w:szCs w:val="20"/>
                <w:lang w:eastAsia="en-NZ"/>
              </w:rPr>
            </w:pPr>
            <w:r w:rsidRPr="001A3451">
              <w:rPr>
                <w:szCs w:val="20"/>
                <w:lang w:eastAsia="en-NZ"/>
              </w:rPr>
              <w:t>Full</w:t>
            </w:r>
          </w:p>
        </w:tc>
        <w:tc>
          <w:tcPr>
            <w:tcW w:w="1620" w:type="dxa"/>
            <w:noWrap/>
            <w:hideMark/>
          </w:tcPr>
          <w:p w14:paraId="7F962BA8"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442048" w:rsidRPr="001A3451" w14:paraId="1E279493"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noWrap/>
            <w:hideMark/>
          </w:tcPr>
          <w:p w14:paraId="43571F63" w14:textId="77777777" w:rsidR="00442048" w:rsidRPr="001A3451" w:rsidRDefault="00442048" w:rsidP="00442048">
            <w:pPr>
              <w:pStyle w:val="Tablesinglespacedparagraph"/>
              <w:rPr>
                <w:lang w:eastAsia="en-NZ"/>
              </w:rPr>
            </w:pPr>
            <w:r w:rsidRPr="001A3451">
              <w:rPr>
                <w:lang w:eastAsia="en-NZ"/>
              </w:rPr>
              <w:t>Puna Maatai, Henry Rongomau Bennett Centre</w:t>
            </w:r>
          </w:p>
        </w:tc>
        <w:tc>
          <w:tcPr>
            <w:tcW w:w="1843" w:type="dxa"/>
            <w:noWrap/>
            <w:hideMark/>
          </w:tcPr>
          <w:p w14:paraId="005BF595" w14:textId="77777777" w:rsidR="00442048" w:rsidRPr="001A3451" w:rsidRDefault="00442048" w:rsidP="00442048">
            <w:pPr>
              <w:pStyle w:val="Tablesinglespacedparagraph"/>
              <w:rPr>
                <w:szCs w:val="20"/>
                <w:lang w:eastAsia="en-NZ"/>
              </w:rPr>
            </w:pPr>
            <w:r w:rsidRPr="001A3451">
              <w:rPr>
                <w:szCs w:val="20"/>
                <w:lang w:eastAsia="en-NZ"/>
              </w:rPr>
              <w:t>Full</w:t>
            </w:r>
          </w:p>
        </w:tc>
        <w:tc>
          <w:tcPr>
            <w:tcW w:w="1620" w:type="dxa"/>
            <w:noWrap/>
            <w:hideMark/>
          </w:tcPr>
          <w:p w14:paraId="62E8F5B9"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442048" w:rsidRPr="001A3451" w14:paraId="7A570B15"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noWrap/>
            <w:hideMark/>
          </w:tcPr>
          <w:p w14:paraId="6F7B8F82" w14:textId="77777777" w:rsidR="00442048" w:rsidRPr="001A3451" w:rsidRDefault="00442048" w:rsidP="00442048">
            <w:pPr>
              <w:pStyle w:val="Tablesinglespacedparagraph"/>
              <w:rPr>
                <w:lang w:eastAsia="en-NZ"/>
              </w:rPr>
            </w:pPr>
            <w:r w:rsidRPr="001A3451">
              <w:rPr>
                <w:lang w:eastAsia="en-NZ"/>
              </w:rPr>
              <w:t>Puna Poipoi, Henry Rongomau Bennett Centre</w:t>
            </w:r>
          </w:p>
        </w:tc>
        <w:tc>
          <w:tcPr>
            <w:tcW w:w="1843" w:type="dxa"/>
            <w:noWrap/>
            <w:hideMark/>
          </w:tcPr>
          <w:p w14:paraId="723D72B2" w14:textId="77777777" w:rsidR="00442048" w:rsidRPr="001A3451" w:rsidRDefault="00442048" w:rsidP="00442048">
            <w:pPr>
              <w:pStyle w:val="Tablesinglespacedparagraph"/>
              <w:rPr>
                <w:szCs w:val="20"/>
                <w:lang w:eastAsia="en-NZ"/>
              </w:rPr>
            </w:pPr>
            <w:r w:rsidRPr="001A3451">
              <w:rPr>
                <w:szCs w:val="20"/>
                <w:lang w:eastAsia="en-NZ"/>
              </w:rPr>
              <w:t>Full</w:t>
            </w:r>
          </w:p>
        </w:tc>
        <w:tc>
          <w:tcPr>
            <w:tcW w:w="1620" w:type="dxa"/>
            <w:noWrap/>
            <w:hideMark/>
          </w:tcPr>
          <w:p w14:paraId="3A661C43"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442048" w:rsidRPr="001A3451" w14:paraId="0F8184D1"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noWrap/>
            <w:hideMark/>
          </w:tcPr>
          <w:p w14:paraId="78510F2D" w14:textId="533F0652" w:rsidR="00442048" w:rsidRPr="001A3451" w:rsidRDefault="00442048" w:rsidP="00442048">
            <w:pPr>
              <w:pStyle w:val="Tablesinglespacedparagraph"/>
              <w:rPr>
                <w:szCs w:val="20"/>
                <w:lang w:eastAsia="en-NZ"/>
              </w:rPr>
            </w:pPr>
            <w:r w:rsidRPr="001A3451">
              <w:rPr>
                <w:szCs w:val="20"/>
                <w:lang w:eastAsia="en-NZ"/>
              </w:rPr>
              <w:t>Te Whare Ahuru, Hutt Valley Hospital</w:t>
            </w:r>
          </w:p>
        </w:tc>
        <w:tc>
          <w:tcPr>
            <w:tcW w:w="1843" w:type="dxa"/>
            <w:noWrap/>
            <w:hideMark/>
          </w:tcPr>
          <w:p w14:paraId="58C01693" w14:textId="77777777" w:rsidR="00442048" w:rsidRPr="001A3451" w:rsidRDefault="00442048" w:rsidP="00442048">
            <w:pPr>
              <w:pStyle w:val="Tablesinglespacedparagraph"/>
              <w:rPr>
                <w:szCs w:val="20"/>
                <w:lang w:eastAsia="en-NZ"/>
              </w:rPr>
            </w:pPr>
            <w:r w:rsidRPr="001A3451">
              <w:rPr>
                <w:szCs w:val="20"/>
                <w:lang w:eastAsia="en-NZ"/>
              </w:rPr>
              <w:t>Full</w:t>
            </w:r>
          </w:p>
        </w:tc>
        <w:tc>
          <w:tcPr>
            <w:tcW w:w="1620" w:type="dxa"/>
            <w:noWrap/>
            <w:hideMark/>
          </w:tcPr>
          <w:p w14:paraId="5C2EEE86"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442048" w:rsidRPr="001A3451" w14:paraId="4C537A51"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noWrap/>
            <w:hideMark/>
          </w:tcPr>
          <w:p w14:paraId="76D0FC3F" w14:textId="77777777" w:rsidR="00442048" w:rsidRPr="001A3451" w:rsidRDefault="00442048" w:rsidP="00442048">
            <w:pPr>
              <w:pStyle w:val="Tablesinglespacedparagraph"/>
              <w:rPr>
                <w:szCs w:val="20"/>
                <w:lang w:eastAsia="en-NZ"/>
              </w:rPr>
            </w:pPr>
            <w:r w:rsidRPr="001A3451">
              <w:rPr>
                <w:szCs w:val="20"/>
                <w:lang w:eastAsia="en-NZ"/>
              </w:rPr>
              <w:t>Te Whare o Matairangi, Wellington Hospital</w:t>
            </w:r>
          </w:p>
        </w:tc>
        <w:tc>
          <w:tcPr>
            <w:tcW w:w="1843" w:type="dxa"/>
            <w:noWrap/>
            <w:hideMark/>
          </w:tcPr>
          <w:p w14:paraId="4A69F12D" w14:textId="77777777" w:rsidR="00442048" w:rsidRPr="001A3451" w:rsidRDefault="00442048" w:rsidP="00442048">
            <w:pPr>
              <w:pStyle w:val="Tablesinglespacedparagraph"/>
              <w:rPr>
                <w:szCs w:val="20"/>
                <w:lang w:eastAsia="en-NZ"/>
              </w:rPr>
            </w:pPr>
            <w:r w:rsidRPr="001A3451">
              <w:rPr>
                <w:szCs w:val="20"/>
                <w:lang w:eastAsia="en-NZ"/>
              </w:rPr>
              <w:t>Follow-up</w:t>
            </w:r>
          </w:p>
        </w:tc>
        <w:tc>
          <w:tcPr>
            <w:tcW w:w="1620" w:type="dxa"/>
            <w:noWrap/>
            <w:hideMark/>
          </w:tcPr>
          <w:p w14:paraId="5D562197" w14:textId="77777777" w:rsidR="00442048" w:rsidRPr="001A3451" w:rsidRDefault="00442048" w:rsidP="00442048">
            <w:pPr>
              <w:pStyle w:val="Tablesinglespacedparagraph"/>
              <w:rPr>
                <w:szCs w:val="20"/>
                <w:lang w:eastAsia="en-NZ"/>
              </w:rPr>
            </w:pPr>
            <w:r w:rsidRPr="001A3451">
              <w:rPr>
                <w:szCs w:val="20"/>
                <w:lang w:eastAsia="en-NZ"/>
              </w:rPr>
              <w:t>Announced</w:t>
            </w:r>
          </w:p>
        </w:tc>
      </w:tr>
      <w:tr w:rsidR="00442048" w:rsidRPr="001A3451" w14:paraId="6CDF16EE"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noWrap/>
            <w:hideMark/>
          </w:tcPr>
          <w:p w14:paraId="398854CF" w14:textId="77777777" w:rsidR="00442048" w:rsidRPr="001A3451" w:rsidRDefault="00442048" w:rsidP="00442048">
            <w:pPr>
              <w:pStyle w:val="Tablesinglespacedparagraph"/>
              <w:rPr>
                <w:szCs w:val="20"/>
                <w:lang w:eastAsia="en-NZ"/>
              </w:rPr>
            </w:pPr>
            <w:r w:rsidRPr="001A3451">
              <w:rPr>
                <w:szCs w:val="20"/>
                <w:lang w:eastAsia="en-NZ"/>
              </w:rPr>
              <w:t>Te Whetu Tawera, Auckland Hospital</w:t>
            </w:r>
          </w:p>
        </w:tc>
        <w:tc>
          <w:tcPr>
            <w:tcW w:w="1843" w:type="dxa"/>
            <w:noWrap/>
            <w:hideMark/>
          </w:tcPr>
          <w:p w14:paraId="3E2A6BCE" w14:textId="77777777" w:rsidR="00442048" w:rsidRPr="001A3451" w:rsidRDefault="00442048" w:rsidP="00442048">
            <w:pPr>
              <w:pStyle w:val="Tablesinglespacedparagraph"/>
              <w:rPr>
                <w:szCs w:val="20"/>
                <w:lang w:eastAsia="en-NZ"/>
              </w:rPr>
            </w:pPr>
            <w:r w:rsidRPr="001A3451">
              <w:rPr>
                <w:szCs w:val="20"/>
                <w:lang w:eastAsia="en-NZ"/>
              </w:rPr>
              <w:t>Full</w:t>
            </w:r>
          </w:p>
        </w:tc>
        <w:tc>
          <w:tcPr>
            <w:tcW w:w="1620" w:type="dxa"/>
            <w:noWrap/>
            <w:hideMark/>
          </w:tcPr>
          <w:p w14:paraId="7C76992C"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442048" w:rsidRPr="001A3451" w14:paraId="4FFBB097"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noWrap/>
            <w:hideMark/>
          </w:tcPr>
          <w:p w14:paraId="457FA2AB" w14:textId="15988614" w:rsidR="00442048" w:rsidRPr="001A3451" w:rsidRDefault="00442048">
            <w:pPr>
              <w:pStyle w:val="Tablesinglespacedparagraph"/>
              <w:rPr>
                <w:szCs w:val="20"/>
                <w:lang w:eastAsia="en-NZ"/>
              </w:rPr>
            </w:pPr>
            <w:r w:rsidRPr="001A3451">
              <w:rPr>
                <w:szCs w:val="20"/>
                <w:lang w:eastAsia="en-NZ"/>
              </w:rPr>
              <w:t>Tiaho Mai, Middlemore Hospital</w:t>
            </w:r>
          </w:p>
        </w:tc>
        <w:tc>
          <w:tcPr>
            <w:tcW w:w="1843" w:type="dxa"/>
            <w:noWrap/>
            <w:hideMark/>
          </w:tcPr>
          <w:p w14:paraId="4C905DDA" w14:textId="77777777" w:rsidR="00442048" w:rsidRPr="001A3451" w:rsidRDefault="00442048" w:rsidP="00442048">
            <w:pPr>
              <w:pStyle w:val="Tablesinglespacedparagraph"/>
              <w:rPr>
                <w:szCs w:val="20"/>
                <w:lang w:eastAsia="en-NZ"/>
              </w:rPr>
            </w:pPr>
            <w:r w:rsidRPr="001A3451">
              <w:rPr>
                <w:szCs w:val="20"/>
                <w:lang w:eastAsia="en-NZ"/>
              </w:rPr>
              <w:t>Full</w:t>
            </w:r>
          </w:p>
        </w:tc>
        <w:tc>
          <w:tcPr>
            <w:tcW w:w="1620" w:type="dxa"/>
            <w:noWrap/>
            <w:hideMark/>
          </w:tcPr>
          <w:p w14:paraId="596D44F7" w14:textId="77777777" w:rsidR="00442048" w:rsidRPr="001A3451" w:rsidRDefault="00442048" w:rsidP="00442048">
            <w:pPr>
              <w:pStyle w:val="Tablesinglespacedparagraph"/>
              <w:rPr>
                <w:szCs w:val="20"/>
                <w:lang w:eastAsia="en-NZ"/>
              </w:rPr>
            </w:pPr>
            <w:r w:rsidRPr="001A3451">
              <w:rPr>
                <w:szCs w:val="20"/>
                <w:lang w:eastAsia="en-NZ"/>
              </w:rPr>
              <w:t>Announced</w:t>
            </w:r>
          </w:p>
        </w:tc>
      </w:tr>
      <w:tr w:rsidR="00442048" w:rsidRPr="001A3451" w14:paraId="07A42FA9"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noWrap/>
            <w:hideMark/>
          </w:tcPr>
          <w:p w14:paraId="05B26A2D" w14:textId="77777777" w:rsidR="00442048" w:rsidRPr="001A3451" w:rsidRDefault="00442048" w:rsidP="00442048">
            <w:pPr>
              <w:pStyle w:val="Tablesinglespacedparagraph"/>
              <w:rPr>
                <w:lang w:eastAsia="en-NZ"/>
              </w:rPr>
            </w:pPr>
            <w:r w:rsidRPr="001A3451">
              <w:rPr>
                <w:lang w:eastAsia="en-NZ"/>
              </w:rPr>
              <w:t>Waiatarau, Waitakere Hospital</w:t>
            </w:r>
          </w:p>
        </w:tc>
        <w:tc>
          <w:tcPr>
            <w:tcW w:w="1843" w:type="dxa"/>
            <w:noWrap/>
            <w:hideMark/>
          </w:tcPr>
          <w:p w14:paraId="289FE13E" w14:textId="77777777" w:rsidR="00442048" w:rsidRPr="001A3451" w:rsidRDefault="00442048" w:rsidP="00442048">
            <w:pPr>
              <w:pStyle w:val="Tablesinglespacedparagraph"/>
              <w:rPr>
                <w:szCs w:val="20"/>
                <w:lang w:eastAsia="en-NZ"/>
              </w:rPr>
            </w:pPr>
            <w:r w:rsidRPr="001A3451">
              <w:rPr>
                <w:szCs w:val="20"/>
                <w:lang w:eastAsia="en-NZ"/>
              </w:rPr>
              <w:t>Full</w:t>
            </w:r>
          </w:p>
        </w:tc>
        <w:tc>
          <w:tcPr>
            <w:tcW w:w="1620" w:type="dxa"/>
            <w:noWrap/>
            <w:hideMark/>
          </w:tcPr>
          <w:p w14:paraId="1890D766"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442048" w:rsidRPr="001A3451" w14:paraId="2E12218C"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noWrap/>
            <w:hideMark/>
          </w:tcPr>
          <w:p w14:paraId="40C5246F" w14:textId="77777777" w:rsidR="00442048" w:rsidRPr="001A3451" w:rsidRDefault="00442048" w:rsidP="00442048">
            <w:pPr>
              <w:pStyle w:val="Tablesinglespacedparagraph"/>
              <w:rPr>
                <w:lang w:eastAsia="en-NZ"/>
              </w:rPr>
            </w:pPr>
            <w:r w:rsidRPr="001A3451">
              <w:rPr>
                <w:lang w:eastAsia="en-NZ"/>
              </w:rPr>
              <w:t>Wards 34, 35, 36, Henry Rongomau Bennett Centre</w:t>
            </w:r>
          </w:p>
        </w:tc>
        <w:tc>
          <w:tcPr>
            <w:tcW w:w="1843" w:type="dxa"/>
            <w:noWrap/>
            <w:hideMark/>
          </w:tcPr>
          <w:p w14:paraId="66139F72" w14:textId="77777777" w:rsidR="00442048" w:rsidRPr="001A3451" w:rsidRDefault="00442048" w:rsidP="00442048">
            <w:pPr>
              <w:pStyle w:val="Tablesinglespacedparagraph"/>
              <w:rPr>
                <w:szCs w:val="20"/>
                <w:lang w:eastAsia="en-NZ"/>
              </w:rPr>
            </w:pPr>
            <w:r w:rsidRPr="001A3451">
              <w:rPr>
                <w:szCs w:val="20"/>
                <w:lang w:eastAsia="en-NZ"/>
              </w:rPr>
              <w:t>Follow-up</w:t>
            </w:r>
          </w:p>
        </w:tc>
        <w:tc>
          <w:tcPr>
            <w:tcW w:w="1620" w:type="dxa"/>
            <w:noWrap/>
            <w:hideMark/>
          </w:tcPr>
          <w:p w14:paraId="19D8D28D"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EC41FA" w:rsidRPr="00442048" w14:paraId="27B98644"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shd w:val="clear" w:color="auto" w:fill="BFBFBF"/>
            <w:noWrap/>
          </w:tcPr>
          <w:p w14:paraId="5F8455AA" w14:textId="77777777" w:rsidR="00EC41FA" w:rsidRPr="00442048" w:rsidRDefault="00EC41FA" w:rsidP="00442048">
            <w:pPr>
              <w:pStyle w:val="Tablesinglespacedparagraph"/>
              <w:rPr>
                <w:b/>
                <w:szCs w:val="20"/>
                <w:lang w:eastAsia="en-NZ"/>
              </w:rPr>
            </w:pPr>
            <w:r w:rsidRPr="00442048">
              <w:rPr>
                <w:b/>
                <w:szCs w:val="20"/>
                <w:lang w:eastAsia="en-NZ"/>
              </w:rPr>
              <w:t>Prison</w:t>
            </w:r>
          </w:p>
        </w:tc>
        <w:tc>
          <w:tcPr>
            <w:tcW w:w="1843" w:type="dxa"/>
            <w:shd w:val="clear" w:color="auto" w:fill="BFBFBF"/>
          </w:tcPr>
          <w:p w14:paraId="72D74F91" w14:textId="77777777" w:rsidR="00EC41FA" w:rsidRPr="00442048" w:rsidRDefault="00EC41FA" w:rsidP="00442048">
            <w:pPr>
              <w:pStyle w:val="Tablesinglespacedparagraph"/>
              <w:rPr>
                <w:b/>
                <w:szCs w:val="20"/>
                <w:lang w:eastAsia="en-NZ"/>
              </w:rPr>
            </w:pPr>
          </w:p>
        </w:tc>
        <w:tc>
          <w:tcPr>
            <w:tcW w:w="1620" w:type="dxa"/>
            <w:shd w:val="clear" w:color="auto" w:fill="BFBFBF"/>
          </w:tcPr>
          <w:p w14:paraId="089DC5CA" w14:textId="55880DC0" w:rsidR="00EC41FA" w:rsidRPr="00442048" w:rsidRDefault="00EC41FA" w:rsidP="00442048">
            <w:pPr>
              <w:pStyle w:val="Tablesinglespacedparagraph"/>
              <w:rPr>
                <w:b/>
                <w:szCs w:val="20"/>
                <w:lang w:eastAsia="en-NZ"/>
              </w:rPr>
            </w:pPr>
          </w:p>
        </w:tc>
      </w:tr>
      <w:tr w:rsidR="00442048" w:rsidRPr="001A3451" w14:paraId="409CFD98"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noWrap/>
            <w:hideMark/>
          </w:tcPr>
          <w:p w14:paraId="136094CE" w14:textId="77777777" w:rsidR="00442048" w:rsidRPr="001A3451" w:rsidRDefault="00442048" w:rsidP="00442048">
            <w:pPr>
              <w:pStyle w:val="Tablesinglespacedparagraph"/>
              <w:rPr>
                <w:szCs w:val="20"/>
                <w:lang w:eastAsia="en-NZ"/>
              </w:rPr>
            </w:pPr>
            <w:r w:rsidRPr="001A3451">
              <w:rPr>
                <w:szCs w:val="20"/>
                <w:lang w:eastAsia="en-NZ"/>
              </w:rPr>
              <w:t>Christchurch Men's Prison</w:t>
            </w:r>
          </w:p>
        </w:tc>
        <w:tc>
          <w:tcPr>
            <w:tcW w:w="1843" w:type="dxa"/>
            <w:noWrap/>
            <w:hideMark/>
          </w:tcPr>
          <w:p w14:paraId="7B395BDA" w14:textId="77777777" w:rsidR="00442048" w:rsidRPr="001A3451" w:rsidRDefault="00442048" w:rsidP="00442048">
            <w:pPr>
              <w:pStyle w:val="Tablesinglespacedparagraph"/>
              <w:rPr>
                <w:szCs w:val="20"/>
                <w:lang w:eastAsia="en-NZ"/>
              </w:rPr>
            </w:pPr>
            <w:r w:rsidRPr="001A3451">
              <w:rPr>
                <w:szCs w:val="20"/>
                <w:lang w:eastAsia="en-NZ"/>
              </w:rPr>
              <w:t>Follow-up</w:t>
            </w:r>
          </w:p>
        </w:tc>
        <w:tc>
          <w:tcPr>
            <w:tcW w:w="1620" w:type="dxa"/>
            <w:noWrap/>
            <w:hideMark/>
          </w:tcPr>
          <w:p w14:paraId="6285C32A"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442048" w:rsidRPr="001A3451" w14:paraId="761D017C"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hideMark/>
          </w:tcPr>
          <w:p w14:paraId="61B99A2A" w14:textId="77777777" w:rsidR="00442048" w:rsidRPr="001A3451" w:rsidRDefault="00442048" w:rsidP="00442048">
            <w:pPr>
              <w:pStyle w:val="Tablesinglespacedparagraph"/>
              <w:rPr>
                <w:szCs w:val="20"/>
                <w:lang w:eastAsia="en-NZ"/>
              </w:rPr>
            </w:pPr>
            <w:r w:rsidRPr="001A3451">
              <w:rPr>
                <w:szCs w:val="20"/>
                <w:lang w:eastAsia="en-NZ"/>
              </w:rPr>
              <w:t>Christchurch Women's</w:t>
            </w:r>
          </w:p>
        </w:tc>
        <w:tc>
          <w:tcPr>
            <w:tcW w:w="1843" w:type="dxa"/>
            <w:noWrap/>
            <w:hideMark/>
          </w:tcPr>
          <w:p w14:paraId="285C3751" w14:textId="77777777" w:rsidR="00442048" w:rsidRPr="001A3451" w:rsidRDefault="00442048" w:rsidP="00442048">
            <w:pPr>
              <w:pStyle w:val="Tablesinglespacedparagraph"/>
              <w:rPr>
                <w:lang w:eastAsia="en-NZ"/>
              </w:rPr>
            </w:pPr>
            <w:r w:rsidRPr="001A3451">
              <w:rPr>
                <w:lang w:eastAsia="en-NZ"/>
              </w:rPr>
              <w:t>Informal</w:t>
            </w:r>
          </w:p>
        </w:tc>
        <w:tc>
          <w:tcPr>
            <w:tcW w:w="1620" w:type="dxa"/>
            <w:noWrap/>
            <w:hideMark/>
          </w:tcPr>
          <w:p w14:paraId="74C2F424" w14:textId="77777777" w:rsidR="00442048" w:rsidRPr="001A3451" w:rsidRDefault="00442048" w:rsidP="00442048">
            <w:pPr>
              <w:pStyle w:val="Tablesinglespacedparagraph"/>
              <w:rPr>
                <w:szCs w:val="20"/>
                <w:lang w:eastAsia="en-NZ"/>
              </w:rPr>
            </w:pPr>
            <w:r w:rsidRPr="001A3451">
              <w:rPr>
                <w:szCs w:val="20"/>
                <w:lang w:eastAsia="en-NZ"/>
              </w:rPr>
              <w:t>Announced</w:t>
            </w:r>
          </w:p>
        </w:tc>
      </w:tr>
      <w:tr w:rsidR="00442048" w:rsidRPr="001A3451" w14:paraId="0A001633" w14:textId="77777777" w:rsidTr="00222C74">
        <w:trPr>
          <w:cnfStyle w:val="000000100000" w:firstRow="0" w:lastRow="0" w:firstColumn="0" w:lastColumn="0" w:oddVBand="0" w:evenVBand="0" w:oddHBand="1" w:evenHBand="0" w:firstRowFirstColumn="0" w:firstRowLastColumn="0" w:lastRowFirstColumn="0" w:lastRowLastColumn="0"/>
          <w:trHeight w:val="323"/>
        </w:trPr>
        <w:tc>
          <w:tcPr>
            <w:tcW w:w="5660" w:type="dxa"/>
            <w:noWrap/>
            <w:hideMark/>
          </w:tcPr>
          <w:p w14:paraId="51CEEE5A" w14:textId="77777777" w:rsidR="00442048" w:rsidRPr="001A3451" w:rsidRDefault="00442048" w:rsidP="00442048">
            <w:pPr>
              <w:pStyle w:val="Tablesinglespacedparagraph"/>
              <w:rPr>
                <w:lang w:eastAsia="en-NZ"/>
              </w:rPr>
            </w:pPr>
            <w:r w:rsidRPr="001A3451">
              <w:rPr>
                <w:lang w:eastAsia="en-NZ"/>
              </w:rPr>
              <w:t>COVID-19 prisons (nine facilities)</w:t>
            </w:r>
          </w:p>
        </w:tc>
        <w:tc>
          <w:tcPr>
            <w:tcW w:w="1843" w:type="dxa"/>
            <w:noWrap/>
            <w:hideMark/>
          </w:tcPr>
          <w:p w14:paraId="0A9AD9BA" w14:textId="77777777" w:rsidR="00442048" w:rsidRPr="001A3451" w:rsidRDefault="00442048" w:rsidP="00442048">
            <w:pPr>
              <w:pStyle w:val="Tablesinglespacedparagraph"/>
              <w:rPr>
                <w:szCs w:val="20"/>
                <w:lang w:eastAsia="en-NZ"/>
              </w:rPr>
            </w:pPr>
            <w:r w:rsidRPr="001A3451">
              <w:rPr>
                <w:szCs w:val="20"/>
                <w:lang w:eastAsia="en-NZ"/>
              </w:rPr>
              <w:t>COVID-19</w:t>
            </w:r>
          </w:p>
        </w:tc>
        <w:tc>
          <w:tcPr>
            <w:tcW w:w="1620" w:type="dxa"/>
            <w:noWrap/>
            <w:hideMark/>
          </w:tcPr>
          <w:p w14:paraId="719F5EAD" w14:textId="77777777" w:rsidR="00442048" w:rsidRPr="001A3451" w:rsidRDefault="00442048" w:rsidP="00442048">
            <w:pPr>
              <w:pStyle w:val="Tablesinglespacedparagraph"/>
              <w:rPr>
                <w:szCs w:val="20"/>
                <w:lang w:eastAsia="en-NZ"/>
              </w:rPr>
            </w:pPr>
            <w:r w:rsidRPr="001A3451">
              <w:rPr>
                <w:szCs w:val="20"/>
                <w:lang w:eastAsia="en-NZ"/>
              </w:rPr>
              <w:t>Announced</w:t>
            </w:r>
          </w:p>
        </w:tc>
      </w:tr>
      <w:tr w:rsidR="00442048" w:rsidRPr="001A3451" w14:paraId="0BDDBD04"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noWrap/>
            <w:hideMark/>
          </w:tcPr>
          <w:p w14:paraId="4060660A" w14:textId="77777777" w:rsidR="00442048" w:rsidRPr="001A3451" w:rsidRDefault="00442048" w:rsidP="00442048">
            <w:pPr>
              <w:pStyle w:val="Tablesinglespacedparagraph"/>
              <w:rPr>
                <w:szCs w:val="20"/>
                <w:lang w:eastAsia="en-NZ"/>
              </w:rPr>
            </w:pPr>
            <w:r w:rsidRPr="001A3451">
              <w:rPr>
                <w:szCs w:val="20"/>
                <w:lang w:eastAsia="en-NZ"/>
              </w:rPr>
              <w:t>Waikeria Prison</w:t>
            </w:r>
          </w:p>
        </w:tc>
        <w:tc>
          <w:tcPr>
            <w:tcW w:w="1843" w:type="dxa"/>
            <w:noWrap/>
            <w:hideMark/>
          </w:tcPr>
          <w:p w14:paraId="4D375A5C" w14:textId="77777777" w:rsidR="00442048" w:rsidRPr="001A3451" w:rsidRDefault="00442048" w:rsidP="00442048">
            <w:pPr>
              <w:pStyle w:val="Tablesinglespacedparagraph"/>
              <w:rPr>
                <w:szCs w:val="20"/>
                <w:lang w:eastAsia="en-NZ"/>
              </w:rPr>
            </w:pPr>
            <w:r w:rsidRPr="001A3451">
              <w:rPr>
                <w:szCs w:val="20"/>
                <w:lang w:eastAsia="en-NZ"/>
              </w:rPr>
              <w:t>Full</w:t>
            </w:r>
          </w:p>
        </w:tc>
        <w:tc>
          <w:tcPr>
            <w:tcW w:w="1620" w:type="dxa"/>
            <w:noWrap/>
            <w:hideMark/>
          </w:tcPr>
          <w:p w14:paraId="5F925542"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EC41FA" w:rsidRPr="00442048" w14:paraId="70DE3DE8"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shd w:val="clear" w:color="auto" w:fill="BFBFBF"/>
            <w:noWrap/>
          </w:tcPr>
          <w:p w14:paraId="103ECF4F" w14:textId="77777777" w:rsidR="00EC41FA" w:rsidRPr="00442048" w:rsidRDefault="00EC41FA" w:rsidP="00442048">
            <w:pPr>
              <w:pStyle w:val="Tablesinglespacedparagraph"/>
              <w:rPr>
                <w:b/>
                <w:szCs w:val="20"/>
                <w:lang w:eastAsia="en-NZ"/>
              </w:rPr>
            </w:pPr>
            <w:r w:rsidRPr="00442048">
              <w:rPr>
                <w:b/>
                <w:lang w:eastAsia="en-NZ"/>
              </w:rPr>
              <w:t>Other</w:t>
            </w:r>
          </w:p>
        </w:tc>
        <w:tc>
          <w:tcPr>
            <w:tcW w:w="1843" w:type="dxa"/>
            <w:shd w:val="clear" w:color="auto" w:fill="BFBFBF"/>
          </w:tcPr>
          <w:p w14:paraId="54A3BAC7" w14:textId="77777777" w:rsidR="00EC41FA" w:rsidRPr="00442048" w:rsidRDefault="00EC41FA" w:rsidP="00442048">
            <w:pPr>
              <w:pStyle w:val="Tablesinglespacedparagraph"/>
              <w:rPr>
                <w:b/>
                <w:szCs w:val="20"/>
                <w:lang w:eastAsia="en-NZ"/>
              </w:rPr>
            </w:pPr>
          </w:p>
        </w:tc>
        <w:tc>
          <w:tcPr>
            <w:tcW w:w="1620" w:type="dxa"/>
            <w:shd w:val="clear" w:color="auto" w:fill="BFBFBF"/>
          </w:tcPr>
          <w:p w14:paraId="54A8F57A" w14:textId="2FEC1DC5" w:rsidR="00EC41FA" w:rsidRPr="00442048" w:rsidRDefault="00EC41FA" w:rsidP="00442048">
            <w:pPr>
              <w:pStyle w:val="Tablesinglespacedparagraph"/>
              <w:rPr>
                <w:b/>
                <w:szCs w:val="20"/>
                <w:lang w:eastAsia="en-NZ"/>
              </w:rPr>
            </w:pPr>
          </w:p>
        </w:tc>
      </w:tr>
      <w:tr w:rsidR="00442048" w:rsidRPr="001A3451" w14:paraId="240742CB"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noWrap/>
            <w:hideMark/>
          </w:tcPr>
          <w:p w14:paraId="18F9DF66" w14:textId="77777777" w:rsidR="00442048" w:rsidRPr="001A3451" w:rsidRDefault="00442048" w:rsidP="00442048">
            <w:pPr>
              <w:pStyle w:val="Tablesinglespacedparagraph"/>
              <w:rPr>
                <w:szCs w:val="20"/>
                <w:lang w:eastAsia="en-NZ"/>
              </w:rPr>
            </w:pPr>
            <w:r w:rsidRPr="001A3451">
              <w:rPr>
                <w:szCs w:val="20"/>
                <w:lang w:eastAsia="en-NZ"/>
              </w:rPr>
              <w:t xml:space="preserve">Child and Family Unit - Auckland Hospital </w:t>
            </w:r>
          </w:p>
        </w:tc>
        <w:tc>
          <w:tcPr>
            <w:tcW w:w="1843" w:type="dxa"/>
            <w:noWrap/>
            <w:hideMark/>
          </w:tcPr>
          <w:p w14:paraId="44FC181B" w14:textId="77777777" w:rsidR="00442048" w:rsidRPr="001A3451" w:rsidRDefault="00442048" w:rsidP="00442048">
            <w:pPr>
              <w:pStyle w:val="Tablesinglespacedparagraph"/>
              <w:rPr>
                <w:lang w:eastAsia="en-NZ"/>
              </w:rPr>
            </w:pPr>
            <w:r w:rsidRPr="001A3451">
              <w:rPr>
                <w:lang w:eastAsia="en-NZ"/>
              </w:rPr>
              <w:t>Informal</w:t>
            </w:r>
          </w:p>
        </w:tc>
        <w:tc>
          <w:tcPr>
            <w:tcW w:w="1620" w:type="dxa"/>
            <w:noWrap/>
            <w:hideMark/>
          </w:tcPr>
          <w:p w14:paraId="1635ABA9" w14:textId="77777777" w:rsidR="00442048" w:rsidRPr="001A3451" w:rsidRDefault="00442048" w:rsidP="00442048">
            <w:pPr>
              <w:pStyle w:val="Tablesinglespacedparagraph"/>
              <w:rPr>
                <w:szCs w:val="20"/>
                <w:lang w:eastAsia="en-NZ"/>
              </w:rPr>
            </w:pPr>
            <w:r w:rsidRPr="001A3451">
              <w:rPr>
                <w:szCs w:val="20"/>
                <w:lang w:eastAsia="en-NZ"/>
              </w:rPr>
              <w:t>Announced</w:t>
            </w:r>
          </w:p>
        </w:tc>
      </w:tr>
      <w:tr w:rsidR="00442048" w:rsidRPr="001A3451" w14:paraId="7C4BAF2F" w14:textId="77777777" w:rsidTr="00222C74">
        <w:trPr>
          <w:cnfStyle w:val="000000100000" w:firstRow="0" w:lastRow="0" w:firstColumn="0" w:lastColumn="0" w:oddVBand="0" w:evenVBand="0" w:oddHBand="1" w:evenHBand="0" w:firstRowFirstColumn="0" w:firstRowLastColumn="0" w:lastRowFirstColumn="0" w:lastRowLastColumn="0"/>
          <w:trHeight w:val="293"/>
        </w:trPr>
        <w:tc>
          <w:tcPr>
            <w:tcW w:w="5660" w:type="dxa"/>
            <w:noWrap/>
            <w:hideMark/>
          </w:tcPr>
          <w:p w14:paraId="459A3BC4" w14:textId="77777777" w:rsidR="00442048" w:rsidRPr="001A3451" w:rsidRDefault="00442048" w:rsidP="00442048">
            <w:pPr>
              <w:pStyle w:val="Tablesinglespacedparagraph"/>
              <w:rPr>
                <w:szCs w:val="20"/>
                <w:lang w:eastAsia="en-NZ"/>
              </w:rPr>
            </w:pPr>
            <w:r w:rsidRPr="001A3451">
              <w:rPr>
                <w:szCs w:val="20"/>
                <w:lang w:eastAsia="en-NZ"/>
              </w:rPr>
              <w:t>Christchurch PPO</w:t>
            </w:r>
          </w:p>
        </w:tc>
        <w:tc>
          <w:tcPr>
            <w:tcW w:w="1843" w:type="dxa"/>
            <w:noWrap/>
            <w:hideMark/>
          </w:tcPr>
          <w:p w14:paraId="48F395C2" w14:textId="77777777" w:rsidR="00442048" w:rsidRPr="001A3451" w:rsidRDefault="00442048" w:rsidP="00442048">
            <w:pPr>
              <w:pStyle w:val="Tablesinglespacedparagraph"/>
              <w:rPr>
                <w:szCs w:val="20"/>
                <w:lang w:eastAsia="en-NZ"/>
              </w:rPr>
            </w:pPr>
            <w:r w:rsidRPr="001A3451">
              <w:rPr>
                <w:szCs w:val="20"/>
                <w:lang w:eastAsia="en-NZ"/>
              </w:rPr>
              <w:t>Full</w:t>
            </w:r>
          </w:p>
        </w:tc>
        <w:tc>
          <w:tcPr>
            <w:tcW w:w="1620" w:type="dxa"/>
            <w:noWrap/>
            <w:hideMark/>
          </w:tcPr>
          <w:p w14:paraId="43C51F39" w14:textId="77777777" w:rsidR="00442048" w:rsidRPr="001A3451" w:rsidRDefault="00442048" w:rsidP="00442048">
            <w:pPr>
              <w:pStyle w:val="Tablesinglespacedparagraph"/>
              <w:rPr>
                <w:szCs w:val="20"/>
                <w:lang w:eastAsia="en-NZ"/>
              </w:rPr>
            </w:pPr>
            <w:r w:rsidRPr="001A3451">
              <w:rPr>
                <w:szCs w:val="20"/>
                <w:lang w:eastAsia="en-NZ"/>
              </w:rPr>
              <w:t>Unannounced</w:t>
            </w:r>
          </w:p>
        </w:tc>
      </w:tr>
      <w:tr w:rsidR="00442048" w:rsidRPr="001A3451" w14:paraId="061A1B95" w14:textId="77777777" w:rsidTr="00222C74">
        <w:trPr>
          <w:cnfStyle w:val="000000010000" w:firstRow="0" w:lastRow="0" w:firstColumn="0" w:lastColumn="0" w:oddVBand="0" w:evenVBand="0" w:oddHBand="0" w:evenHBand="1" w:firstRowFirstColumn="0" w:firstRowLastColumn="0" w:lastRowFirstColumn="0" w:lastRowLastColumn="0"/>
          <w:trHeight w:val="293"/>
        </w:trPr>
        <w:tc>
          <w:tcPr>
            <w:tcW w:w="5660" w:type="dxa"/>
            <w:noWrap/>
            <w:hideMark/>
          </w:tcPr>
          <w:p w14:paraId="7E8CAA56" w14:textId="77777777" w:rsidR="00442048" w:rsidRPr="001A3451" w:rsidRDefault="00442048" w:rsidP="00442048">
            <w:pPr>
              <w:pStyle w:val="Tablesinglespacedparagraph"/>
              <w:rPr>
                <w:szCs w:val="20"/>
                <w:lang w:eastAsia="en-NZ"/>
              </w:rPr>
            </w:pPr>
            <w:r w:rsidRPr="001A3451">
              <w:rPr>
                <w:szCs w:val="20"/>
                <w:lang w:eastAsia="en-NZ"/>
              </w:rPr>
              <w:t>COVID-19 PPO</w:t>
            </w:r>
          </w:p>
        </w:tc>
        <w:tc>
          <w:tcPr>
            <w:tcW w:w="1843" w:type="dxa"/>
            <w:noWrap/>
            <w:hideMark/>
          </w:tcPr>
          <w:p w14:paraId="756FA6A4" w14:textId="77777777" w:rsidR="00442048" w:rsidRPr="001A3451" w:rsidRDefault="00442048" w:rsidP="00442048">
            <w:pPr>
              <w:pStyle w:val="Tablesinglespacedparagraph"/>
              <w:rPr>
                <w:szCs w:val="20"/>
                <w:lang w:eastAsia="en-NZ"/>
              </w:rPr>
            </w:pPr>
            <w:r w:rsidRPr="001A3451">
              <w:rPr>
                <w:szCs w:val="20"/>
                <w:lang w:eastAsia="en-NZ"/>
              </w:rPr>
              <w:t>COVID-19</w:t>
            </w:r>
          </w:p>
        </w:tc>
        <w:tc>
          <w:tcPr>
            <w:tcW w:w="1620" w:type="dxa"/>
            <w:noWrap/>
            <w:hideMark/>
          </w:tcPr>
          <w:p w14:paraId="5758D617" w14:textId="77777777" w:rsidR="00442048" w:rsidRPr="001A3451" w:rsidRDefault="00442048" w:rsidP="00442048">
            <w:pPr>
              <w:pStyle w:val="Tablesinglespacedparagraph"/>
              <w:rPr>
                <w:szCs w:val="20"/>
                <w:lang w:eastAsia="en-NZ"/>
              </w:rPr>
            </w:pPr>
            <w:r w:rsidRPr="001A3451">
              <w:rPr>
                <w:szCs w:val="20"/>
                <w:lang w:eastAsia="en-NZ"/>
              </w:rPr>
              <w:t>Announced</w:t>
            </w:r>
          </w:p>
        </w:tc>
      </w:tr>
    </w:tbl>
    <w:p w14:paraId="709FA63E" w14:textId="77777777" w:rsidR="0081525B" w:rsidRDefault="0081525B" w:rsidP="009803FF">
      <w:pPr>
        <w:pStyle w:val="Whitespace"/>
      </w:pPr>
    </w:p>
    <w:p w14:paraId="37B9895E" w14:textId="77777777" w:rsidR="0081525B" w:rsidRDefault="00F15F11" w:rsidP="00442048">
      <w:pPr>
        <w:pStyle w:val="BodyText"/>
        <w:keepNext/>
      </w:pPr>
      <w:r>
        <w:t>Final r</w:t>
      </w:r>
      <w:r w:rsidR="00652D3E">
        <w:t>eports published in 2019/20</w:t>
      </w:r>
      <w:r w:rsidR="00BA7B4D">
        <w:t xml:space="preserve"> are set out in the table below</w:t>
      </w:r>
      <w:r>
        <w:t>.</w:t>
      </w:r>
    </w:p>
    <w:tbl>
      <w:tblPr>
        <w:tblStyle w:val="TableGridAnnualReport"/>
        <w:tblW w:w="5011" w:type="pct"/>
        <w:tblInd w:w="-10" w:type="dxa"/>
        <w:tblLook w:val="0420" w:firstRow="1" w:lastRow="0" w:firstColumn="0" w:lastColumn="0" w:noHBand="0" w:noVBand="1"/>
        <w:tblCaption w:val="Table for formatting purposes"/>
      </w:tblPr>
      <w:tblGrid>
        <w:gridCol w:w="7251"/>
        <w:gridCol w:w="2067"/>
      </w:tblGrid>
      <w:tr w:rsidR="00F15F11" w14:paraId="3DDD2173" w14:textId="77777777" w:rsidTr="00BC2467">
        <w:trPr>
          <w:cnfStyle w:val="100000000000" w:firstRow="1" w:lastRow="0" w:firstColumn="0" w:lastColumn="0" w:oddVBand="0" w:evenVBand="0" w:oddHBand="0" w:evenHBand="0" w:firstRowFirstColumn="0" w:firstRowLastColumn="0" w:lastRowFirstColumn="0" w:lastRowLastColumn="0"/>
        </w:trPr>
        <w:tc>
          <w:tcPr>
            <w:tcW w:w="3891" w:type="pct"/>
            <w:vAlign w:val="center"/>
            <w:hideMark/>
          </w:tcPr>
          <w:p w14:paraId="63D7A3E7" w14:textId="77777777" w:rsidR="00F15F11" w:rsidRDefault="00F15F11" w:rsidP="00652D3E">
            <w:pPr>
              <w:pStyle w:val="Tableheadingrow1"/>
            </w:pPr>
            <w:r>
              <w:t>Report</w:t>
            </w:r>
            <w:bookmarkStart w:id="159" w:name="OPCATreport"/>
            <w:bookmarkEnd w:id="159"/>
          </w:p>
        </w:tc>
        <w:tc>
          <w:tcPr>
            <w:tcW w:w="1109" w:type="pct"/>
          </w:tcPr>
          <w:p w14:paraId="62B7BD11" w14:textId="77777777" w:rsidR="00F15F11" w:rsidRDefault="00F15F11" w:rsidP="00652D3E">
            <w:pPr>
              <w:pStyle w:val="Tableheadingrow1"/>
            </w:pPr>
            <w:r>
              <w:t>Date of publication</w:t>
            </w:r>
          </w:p>
        </w:tc>
      </w:tr>
      <w:tr w:rsidR="00EC41FA" w:rsidRPr="00364FD2" w14:paraId="5C210C1E" w14:textId="77777777" w:rsidTr="00222C74">
        <w:trPr>
          <w:cnfStyle w:val="000000100000" w:firstRow="0" w:lastRow="0" w:firstColumn="0" w:lastColumn="0" w:oddVBand="0" w:evenVBand="0" w:oddHBand="1" w:evenHBand="0" w:firstRowFirstColumn="0" w:firstRowLastColumn="0" w:lastRowFirstColumn="0" w:lastRowLastColumn="0"/>
        </w:trPr>
        <w:tc>
          <w:tcPr>
            <w:tcW w:w="3891" w:type="pct"/>
            <w:shd w:val="clear" w:color="auto" w:fill="BFBFBF"/>
            <w:vAlign w:val="center"/>
          </w:tcPr>
          <w:p w14:paraId="584801F5" w14:textId="77777777" w:rsidR="00EC41FA" w:rsidRPr="00364FD2" w:rsidRDefault="00EC41FA" w:rsidP="00364FD2">
            <w:pPr>
              <w:pStyle w:val="Tableheadingrow1"/>
              <w:jc w:val="both"/>
              <w:rPr>
                <w:rStyle w:val="Emphasis"/>
                <w:color w:val="auto"/>
              </w:rPr>
            </w:pPr>
            <w:r w:rsidRPr="00364FD2">
              <w:rPr>
                <w:rStyle w:val="Emphasis"/>
                <w:color w:val="auto"/>
              </w:rPr>
              <w:t>Prisons</w:t>
            </w:r>
          </w:p>
        </w:tc>
        <w:tc>
          <w:tcPr>
            <w:tcW w:w="1109" w:type="pct"/>
            <w:shd w:val="clear" w:color="auto" w:fill="BFBFBF"/>
            <w:vAlign w:val="center"/>
          </w:tcPr>
          <w:p w14:paraId="6758FE4F" w14:textId="6D93C060" w:rsidR="00EC41FA" w:rsidRPr="00364FD2" w:rsidRDefault="00EC41FA" w:rsidP="00364FD2">
            <w:pPr>
              <w:pStyle w:val="Tableheadingrow1"/>
              <w:jc w:val="both"/>
              <w:rPr>
                <w:rStyle w:val="Emphasis"/>
                <w:color w:val="auto"/>
              </w:rPr>
            </w:pPr>
          </w:p>
        </w:tc>
      </w:tr>
      <w:tr w:rsidR="00F15F11" w14:paraId="450616C4" w14:textId="77777777" w:rsidTr="00364FD2">
        <w:trPr>
          <w:cnfStyle w:val="000000010000" w:firstRow="0" w:lastRow="0" w:firstColumn="0" w:lastColumn="0" w:oddVBand="0" w:evenVBand="0" w:oddHBand="0" w:evenHBand="1" w:firstRowFirstColumn="0" w:firstRowLastColumn="0" w:lastRowFirstColumn="0" w:lastRowLastColumn="0"/>
        </w:trPr>
        <w:tc>
          <w:tcPr>
            <w:tcW w:w="3891" w:type="pct"/>
            <w:vAlign w:val="center"/>
          </w:tcPr>
          <w:p w14:paraId="7ADAB88E" w14:textId="453FE8EA" w:rsidR="00F15F11" w:rsidRPr="00652D3E" w:rsidRDefault="005B795D" w:rsidP="00EE4829">
            <w:pPr>
              <w:pStyle w:val="Tablesinglespacedparagraph"/>
            </w:pPr>
            <w:hyperlink r:id="rId55" w:history="1">
              <w:r w:rsidR="00F15F11" w:rsidRPr="00F15F11">
                <w:rPr>
                  <w:rStyle w:val="Hyperlink"/>
                </w:rPr>
                <w:t>Report on an unannounced follow up inspection of Invercargill Prison – July 2019</w:t>
              </w:r>
            </w:hyperlink>
          </w:p>
        </w:tc>
        <w:tc>
          <w:tcPr>
            <w:tcW w:w="1109" w:type="pct"/>
          </w:tcPr>
          <w:p w14:paraId="33E721BD" w14:textId="77777777" w:rsidR="00F15F11" w:rsidRDefault="00F15F11" w:rsidP="00EE4829">
            <w:pPr>
              <w:pStyle w:val="Tablesinglespacedparagraph"/>
            </w:pPr>
            <w:r>
              <w:t>25 July 2019</w:t>
            </w:r>
          </w:p>
        </w:tc>
      </w:tr>
      <w:tr w:rsidR="00F15F11" w14:paraId="7BB1B868" w14:textId="77777777" w:rsidTr="00364FD2">
        <w:trPr>
          <w:cnfStyle w:val="000000100000" w:firstRow="0" w:lastRow="0" w:firstColumn="0" w:lastColumn="0" w:oddVBand="0" w:evenVBand="0" w:oddHBand="1" w:evenHBand="0" w:firstRowFirstColumn="0" w:firstRowLastColumn="0" w:lastRowFirstColumn="0" w:lastRowLastColumn="0"/>
        </w:trPr>
        <w:tc>
          <w:tcPr>
            <w:tcW w:w="3891" w:type="pct"/>
            <w:vAlign w:val="center"/>
          </w:tcPr>
          <w:p w14:paraId="15A44582" w14:textId="3FD72B81" w:rsidR="00F15F11" w:rsidRPr="00652D3E" w:rsidRDefault="005B795D" w:rsidP="00EE4829">
            <w:pPr>
              <w:pStyle w:val="Tablesinglespacedparagraph"/>
            </w:pPr>
            <w:hyperlink r:id="rId56" w:history="1">
              <w:r w:rsidR="00F15F11" w:rsidRPr="00F15F11">
                <w:rPr>
                  <w:rStyle w:val="Hyperlink"/>
                </w:rPr>
                <w:t>Report on an unannounced inspection of Northland Regional Corrections Facility - August 2019</w:t>
              </w:r>
            </w:hyperlink>
          </w:p>
        </w:tc>
        <w:tc>
          <w:tcPr>
            <w:tcW w:w="1109" w:type="pct"/>
          </w:tcPr>
          <w:p w14:paraId="5A0B39B5" w14:textId="77777777" w:rsidR="00F15F11" w:rsidRDefault="00F15F11" w:rsidP="00EE4829">
            <w:pPr>
              <w:pStyle w:val="Tablesinglespacedparagraph"/>
            </w:pPr>
            <w:r>
              <w:t>20 August 2019</w:t>
            </w:r>
          </w:p>
        </w:tc>
      </w:tr>
      <w:tr w:rsidR="00F15F11" w14:paraId="48644F14" w14:textId="77777777" w:rsidTr="00364FD2">
        <w:trPr>
          <w:cnfStyle w:val="000000010000" w:firstRow="0" w:lastRow="0" w:firstColumn="0" w:lastColumn="0" w:oddVBand="0" w:evenVBand="0" w:oddHBand="0" w:evenHBand="1" w:firstRowFirstColumn="0" w:firstRowLastColumn="0" w:lastRowFirstColumn="0" w:lastRowLastColumn="0"/>
        </w:trPr>
        <w:tc>
          <w:tcPr>
            <w:tcW w:w="3891" w:type="pct"/>
            <w:vAlign w:val="center"/>
          </w:tcPr>
          <w:p w14:paraId="6BFC5DF2" w14:textId="3CACCD2E" w:rsidR="00F15F11" w:rsidRDefault="005B795D" w:rsidP="00EE4829">
            <w:pPr>
              <w:pStyle w:val="Tablesinglespacedparagraph"/>
            </w:pPr>
            <w:hyperlink r:id="rId57" w:history="1">
              <w:r w:rsidR="00F15F11" w:rsidRPr="00F15F11">
                <w:rPr>
                  <w:rStyle w:val="Hyperlink"/>
                </w:rPr>
                <w:t>Report on an unannounced inspection of Tongariro Prison under the Crimes of Torture Act 1989</w:t>
              </w:r>
            </w:hyperlink>
          </w:p>
        </w:tc>
        <w:tc>
          <w:tcPr>
            <w:tcW w:w="1109" w:type="pct"/>
          </w:tcPr>
          <w:p w14:paraId="4BAD09F8" w14:textId="77777777" w:rsidR="00F15F11" w:rsidRDefault="00F15F11" w:rsidP="00EE4829">
            <w:pPr>
              <w:pStyle w:val="Tablesinglespacedparagraph"/>
            </w:pPr>
            <w:r>
              <w:t>12 September 2019</w:t>
            </w:r>
          </w:p>
        </w:tc>
      </w:tr>
      <w:tr w:rsidR="00CA76E2" w:rsidRPr="00364FD2" w14:paraId="1E492E90" w14:textId="77777777" w:rsidTr="00222C74">
        <w:trPr>
          <w:cnfStyle w:val="000000100000" w:firstRow="0" w:lastRow="0" w:firstColumn="0" w:lastColumn="0" w:oddVBand="0" w:evenVBand="0" w:oddHBand="1" w:evenHBand="0" w:firstRowFirstColumn="0" w:firstRowLastColumn="0" w:lastRowFirstColumn="0" w:lastRowLastColumn="0"/>
        </w:trPr>
        <w:tc>
          <w:tcPr>
            <w:tcW w:w="3891" w:type="pct"/>
            <w:shd w:val="clear" w:color="auto" w:fill="BFBFBF"/>
            <w:vAlign w:val="center"/>
          </w:tcPr>
          <w:p w14:paraId="00A69594" w14:textId="77777777" w:rsidR="00CA76E2" w:rsidRPr="00364FD2" w:rsidRDefault="00CA76E2" w:rsidP="00364FD2">
            <w:pPr>
              <w:pStyle w:val="Tableheadingrow1"/>
              <w:jc w:val="both"/>
              <w:rPr>
                <w:rStyle w:val="Emphasis"/>
                <w:color w:val="auto"/>
              </w:rPr>
            </w:pPr>
            <w:r w:rsidRPr="00364FD2">
              <w:rPr>
                <w:rStyle w:val="Emphasis"/>
                <w:color w:val="auto"/>
              </w:rPr>
              <w:t>Mental Health</w:t>
            </w:r>
          </w:p>
        </w:tc>
        <w:tc>
          <w:tcPr>
            <w:tcW w:w="1109" w:type="pct"/>
            <w:shd w:val="clear" w:color="auto" w:fill="BFBFBF"/>
            <w:vAlign w:val="center"/>
          </w:tcPr>
          <w:p w14:paraId="4B3A7FE4" w14:textId="4176ABB8" w:rsidR="00CA76E2" w:rsidRPr="00364FD2" w:rsidRDefault="00CA76E2" w:rsidP="00364FD2">
            <w:pPr>
              <w:pStyle w:val="Tableheadingrow1"/>
              <w:jc w:val="both"/>
              <w:rPr>
                <w:rStyle w:val="Emphasis"/>
                <w:color w:val="auto"/>
              </w:rPr>
            </w:pPr>
          </w:p>
        </w:tc>
      </w:tr>
      <w:tr w:rsidR="00F15F11" w14:paraId="79F66CAB" w14:textId="77777777" w:rsidTr="00364FD2">
        <w:trPr>
          <w:cnfStyle w:val="000000010000" w:firstRow="0" w:lastRow="0" w:firstColumn="0" w:lastColumn="0" w:oddVBand="0" w:evenVBand="0" w:oddHBand="0" w:evenHBand="1" w:firstRowFirstColumn="0" w:firstRowLastColumn="0" w:lastRowFirstColumn="0" w:lastRowLastColumn="0"/>
        </w:trPr>
        <w:tc>
          <w:tcPr>
            <w:tcW w:w="3891" w:type="pct"/>
            <w:vAlign w:val="center"/>
          </w:tcPr>
          <w:p w14:paraId="788C10E4" w14:textId="4C4824F8" w:rsidR="00F15F11" w:rsidRDefault="005B795D" w:rsidP="00EE4829">
            <w:pPr>
              <w:pStyle w:val="Tablesinglespacedparagraph"/>
            </w:pPr>
            <w:hyperlink r:id="rId58" w:history="1">
              <w:r w:rsidR="00F15F11" w:rsidRPr="00652D3E">
                <w:rPr>
                  <w:rStyle w:val="Hyperlink"/>
                </w:rPr>
                <w:t>Report on an unannounced inspection of Puna Awhi-rua Forensic Inpatient Ward, Waikato Hospital, under the Crimes of Torture Act 1989</w:t>
              </w:r>
            </w:hyperlink>
          </w:p>
        </w:tc>
        <w:tc>
          <w:tcPr>
            <w:tcW w:w="1109" w:type="pct"/>
          </w:tcPr>
          <w:p w14:paraId="3070FF14" w14:textId="77777777" w:rsidR="00F15F11" w:rsidRDefault="00F15F11" w:rsidP="00EE4829">
            <w:pPr>
              <w:pStyle w:val="Tablesinglespacedparagraph"/>
            </w:pPr>
            <w:r>
              <w:t>5 March 2020</w:t>
            </w:r>
          </w:p>
        </w:tc>
      </w:tr>
      <w:tr w:rsidR="00F15F11" w14:paraId="2FCB366F" w14:textId="77777777" w:rsidTr="00364FD2">
        <w:trPr>
          <w:cnfStyle w:val="000000100000" w:firstRow="0" w:lastRow="0" w:firstColumn="0" w:lastColumn="0" w:oddVBand="0" w:evenVBand="0" w:oddHBand="1" w:evenHBand="0" w:firstRowFirstColumn="0" w:firstRowLastColumn="0" w:lastRowFirstColumn="0" w:lastRowLastColumn="0"/>
        </w:trPr>
        <w:tc>
          <w:tcPr>
            <w:tcW w:w="3891" w:type="pct"/>
            <w:vAlign w:val="center"/>
          </w:tcPr>
          <w:p w14:paraId="7DB3C41E" w14:textId="06BF0DF9" w:rsidR="00F15F11" w:rsidRPr="00652D3E" w:rsidRDefault="005B795D" w:rsidP="00F15F11">
            <w:pPr>
              <w:pStyle w:val="Tablesinglespacedparagraph"/>
            </w:pPr>
            <w:hyperlink r:id="rId59" w:history="1">
              <w:r w:rsidR="00F15F11" w:rsidRPr="00652D3E">
                <w:rPr>
                  <w:rStyle w:val="Hyperlink"/>
                </w:rPr>
                <w:t>Report on an unannounced inspection of Puna Maatai Forensic Inpatient Ward, Waikato Hospital, under the Crimes of Torture Act 1989</w:t>
              </w:r>
            </w:hyperlink>
          </w:p>
        </w:tc>
        <w:tc>
          <w:tcPr>
            <w:tcW w:w="1109" w:type="pct"/>
          </w:tcPr>
          <w:p w14:paraId="7477B798" w14:textId="77777777" w:rsidR="00F15F11" w:rsidRDefault="00F15F11" w:rsidP="00F15F11">
            <w:pPr>
              <w:pStyle w:val="Tablesinglespacedparagraph"/>
            </w:pPr>
            <w:r w:rsidRPr="00212584">
              <w:t>5 March 2020</w:t>
            </w:r>
          </w:p>
        </w:tc>
      </w:tr>
      <w:tr w:rsidR="00F15F11" w14:paraId="3EA23128" w14:textId="77777777" w:rsidTr="00364FD2">
        <w:trPr>
          <w:cnfStyle w:val="000000010000" w:firstRow="0" w:lastRow="0" w:firstColumn="0" w:lastColumn="0" w:oddVBand="0" w:evenVBand="0" w:oddHBand="0" w:evenHBand="1" w:firstRowFirstColumn="0" w:firstRowLastColumn="0" w:lastRowFirstColumn="0" w:lastRowLastColumn="0"/>
        </w:trPr>
        <w:tc>
          <w:tcPr>
            <w:tcW w:w="3891" w:type="pct"/>
            <w:vAlign w:val="center"/>
          </w:tcPr>
          <w:p w14:paraId="21F40FAD" w14:textId="6A87AEB2" w:rsidR="00F15F11" w:rsidRDefault="005B795D" w:rsidP="00F15F11">
            <w:pPr>
              <w:pStyle w:val="Tablesinglespacedparagraph"/>
            </w:pPr>
            <w:hyperlink r:id="rId60" w:history="1">
              <w:r w:rsidR="00F15F11" w:rsidRPr="00F15F11">
                <w:rPr>
                  <w:rStyle w:val="Hyperlink"/>
                </w:rPr>
                <w:t>Report on an unannounced inspection of Puna Poipoi Forensic Rehabilitation Ward, Waikato Hospital, under the Crimes of Torture Act 1989</w:t>
              </w:r>
            </w:hyperlink>
          </w:p>
        </w:tc>
        <w:tc>
          <w:tcPr>
            <w:tcW w:w="1109" w:type="pct"/>
          </w:tcPr>
          <w:p w14:paraId="2B0A2109" w14:textId="77777777" w:rsidR="00F15F11" w:rsidRDefault="00F15F11" w:rsidP="00F15F11">
            <w:pPr>
              <w:pStyle w:val="Tablesinglespacedparagraph"/>
            </w:pPr>
            <w:r w:rsidRPr="00212584">
              <w:t>5 March 2020</w:t>
            </w:r>
          </w:p>
        </w:tc>
      </w:tr>
      <w:tr w:rsidR="00F15F11" w14:paraId="6A2E6F0F" w14:textId="77777777" w:rsidTr="00364FD2">
        <w:trPr>
          <w:cnfStyle w:val="000000100000" w:firstRow="0" w:lastRow="0" w:firstColumn="0" w:lastColumn="0" w:oddVBand="0" w:evenVBand="0" w:oddHBand="1" w:evenHBand="0" w:firstRowFirstColumn="0" w:firstRowLastColumn="0" w:lastRowFirstColumn="0" w:lastRowLastColumn="0"/>
        </w:trPr>
        <w:tc>
          <w:tcPr>
            <w:tcW w:w="3891" w:type="pct"/>
            <w:vAlign w:val="center"/>
          </w:tcPr>
          <w:p w14:paraId="6F44B208" w14:textId="7245C711" w:rsidR="00F15F11" w:rsidRDefault="005B795D" w:rsidP="00F15F11">
            <w:pPr>
              <w:pStyle w:val="Tablesinglespacedparagraph"/>
            </w:pPr>
            <w:hyperlink r:id="rId61" w:history="1">
              <w:r w:rsidR="00F15F11" w:rsidRPr="00F15F11">
                <w:rPr>
                  <w:rStyle w:val="Hyperlink"/>
                </w:rPr>
                <w:t>Report on an unannounced follow up inspection of Wards 34, 35 and 36, Waikato Hospital, under the Crimes of Torture Act 1989</w:t>
              </w:r>
            </w:hyperlink>
          </w:p>
        </w:tc>
        <w:tc>
          <w:tcPr>
            <w:tcW w:w="1109" w:type="pct"/>
          </w:tcPr>
          <w:p w14:paraId="396EC954" w14:textId="77777777" w:rsidR="00F15F11" w:rsidRDefault="00F15F11" w:rsidP="00F15F11">
            <w:pPr>
              <w:pStyle w:val="Tablesinglespacedparagraph"/>
            </w:pPr>
            <w:r w:rsidRPr="00212584">
              <w:t>5 March 2020</w:t>
            </w:r>
          </w:p>
        </w:tc>
      </w:tr>
      <w:tr w:rsidR="00CA76E2" w:rsidRPr="00364FD2" w14:paraId="27BD2182" w14:textId="77777777" w:rsidTr="00222C74">
        <w:trPr>
          <w:cnfStyle w:val="000000010000" w:firstRow="0" w:lastRow="0" w:firstColumn="0" w:lastColumn="0" w:oddVBand="0" w:evenVBand="0" w:oddHBand="0" w:evenHBand="1" w:firstRowFirstColumn="0" w:firstRowLastColumn="0" w:lastRowFirstColumn="0" w:lastRowLastColumn="0"/>
        </w:trPr>
        <w:tc>
          <w:tcPr>
            <w:tcW w:w="3891" w:type="pct"/>
            <w:shd w:val="clear" w:color="auto" w:fill="BFBFBF"/>
            <w:vAlign w:val="center"/>
          </w:tcPr>
          <w:p w14:paraId="60504953" w14:textId="77777777" w:rsidR="00CA76E2" w:rsidRPr="00364FD2" w:rsidRDefault="00CA76E2" w:rsidP="00364FD2">
            <w:pPr>
              <w:pStyle w:val="Tableheadingrow1"/>
              <w:jc w:val="both"/>
              <w:rPr>
                <w:rStyle w:val="Emphasis"/>
                <w:color w:val="auto"/>
              </w:rPr>
            </w:pPr>
            <w:r w:rsidRPr="00364FD2">
              <w:rPr>
                <w:rStyle w:val="Emphasis"/>
                <w:color w:val="auto"/>
              </w:rPr>
              <w:t>COVID-19 specific</w:t>
            </w:r>
          </w:p>
        </w:tc>
        <w:tc>
          <w:tcPr>
            <w:tcW w:w="1109" w:type="pct"/>
            <w:shd w:val="clear" w:color="auto" w:fill="BFBFBF"/>
            <w:vAlign w:val="center"/>
          </w:tcPr>
          <w:p w14:paraId="12678099" w14:textId="4C9A8E42" w:rsidR="00CA76E2" w:rsidRPr="00364FD2" w:rsidRDefault="00CA76E2" w:rsidP="00364FD2">
            <w:pPr>
              <w:pStyle w:val="Tableheadingrow1"/>
              <w:jc w:val="both"/>
              <w:rPr>
                <w:rStyle w:val="Emphasis"/>
                <w:color w:val="auto"/>
              </w:rPr>
            </w:pPr>
          </w:p>
        </w:tc>
      </w:tr>
      <w:tr w:rsidR="00F15F11" w14:paraId="65D97A1C" w14:textId="77777777" w:rsidTr="00BC2467">
        <w:trPr>
          <w:cnfStyle w:val="000000100000" w:firstRow="0" w:lastRow="0" w:firstColumn="0" w:lastColumn="0" w:oddVBand="0" w:evenVBand="0" w:oddHBand="1" w:evenHBand="0" w:firstRowFirstColumn="0" w:firstRowLastColumn="0" w:lastRowFirstColumn="0" w:lastRowLastColumn="0"/>
        </w:trPr>
        <w:tc>
          <w:tcPr>
            <w:tcW w:w="3891" w:type="pct"/>
            <w:vAlign w:val="center"/>
          </w:tcPr>
          <w:p w14:paraId="1DBB4D59" w14:textId="79F2C04C" w:rsidR="00F15F11" w:rsidRDefault="005B795D" w:rsidP="00EE4829">
            <w:pPr>
              <w:pStyle w:val="Tablesinglespacedparagraph"/>
            </w:pPr>
            <w:hyperlink r:id="rId62" w:history="1">
              <w:r w:rsidR="00F15F11" w:rsidRPr="00652D3E">
                <w:rPr>
                  <w:rStyle w:val="Hyperlink"/>
                </w:rPr>
                <w:t>OPCAT COVID-19 report: Report on inspections of mental health facilities under the Crimes of Torture Act 1989</w:t>
              </w:r>
            </w:hyperlink>
          </w:p>
        </w:tc>
        <w:tc>
          <w:tcPr>
            <w:tcW w:w="1109" w:type="pct"/>
          </w:tcPr>
          <w:p w14:paraId="35930FFF" w14:textId="77777777" w:rsidR="00F15F11" w:rsidRDefault="00F15F11" w:rsidP="00EE4829">
            <w:pPr>
              <w:pStyle w:val="Tablesinglespacedparagraph"/>
            </w:pPr>
            <w:r>
              <w:t>15 June 2020</w:t>
            </w:r>
          </w:p>
        </w:tc>
      </w:tr>
      <w:tr w:rsidR="00F15F11" w14:paraId="3B6EF3A3" w14:textId="77777777" w:rsidTr="00BC2467">
        <w:trPr>
          <w:cnfStyle w:val="000000010000" w:firstRow="0" w:lastRow="0" w:firstColumn="0" w:lastColumn="0" w:oddVBand="0" w:evenVBand="0" w:oddHBand="0" w:evenHBand="1" w:firstRowFirstColumn="0" w:firstRowLastColumn="0" w:lastRowFirstColumn="0" w:lastRowLastColumn="0"/>
        </w:trPr>
        <w:tc>
          <w:tcPr>
            <w:tcW w:w="3891" w:type="pct"/>
            <w:vAlign w:val="center"/>
          </w:tcPr>
          <w:p w14:paraId="632E6128" w14:textId="70C81DD1" w:rsidR="00F15F11" w:rsidRDefault="005B795D" w:rsidP="00EE4829">
            <w:pPr>
              <w:pStyle w:val="Tablesinglespacedparagraph"/>
            </w:pPr>
            <w:hyperlink r:id="rId63" w:history="1">
              <w:r w:rsidR="00F15F11" w:rsidRPr="00652D3E">
                <w:rPr>
                  <w:rStyle w:val="Hyperlink"/>
                </w:rPr>
                <w:t>OPCAT COVID-19 report: Report on inspections of prisons under the Crimes of Torture Act 1989</w:t>
              </w:r>
            </w:hyperlink>
          </w:p>
        </w:tc>
        <w:tc>
          <w:tcPr>
            <w:tcW w:w="1109" w:type="pct"/>
          </w:tcPr>
          <w:p w14:paraId="05522555" w14:textId="77777777" w:rsidR="00F15F11" w:rsidRDefault="00F15F11" w:rsidP="00EE4829">
            <w:pPr>
              <w:pStyle w:val="Tablesinglespacedparagraph"/>
            </w:pPr>
            <w:r>
              <w:t>22 June 2020</w:t>
            </w:r>
          </w:p>
        </w:tc>
      </w:tr>
    </w:tbl>
    <w:p w14:paraId="2A85922D" w14:textId="77777777" w:rsidR="00652D3E" w:rsidRDefault="00652D3E" w:rsidP="009803FF">
      <w:pPr>
        <w:pStyle w:val="Whitespace"/>
      </w:pPr>
    </w:p>
    <w:p w14:paraId="614599A5" w14:textId="77777777" w:rsidR="007802A1" w:rsidRDefault="007802A1" w:rsidP="007802A1">
      <w:pPr>
        <w:pStyle w:val="BodyText"/>
      </w:pPr>
      <w:r>
        <w:t>The recommendations made in final inspection reports are set out in the table below.</w:t>
      </w:r>
      <w:r w:rsidR="00575A59">
        <w:rPr>
          <w:rStyle w:val="FootnoteReference"/>
        </w:rPr>
        <w:footnoteReference w:id="89"/>
      </w:r>
      <w:r>
        <w:t xml:space="preserve"> </w:t>
      </w:r>
    </w:p>
    <w:tbl>
      <w:tblPr>
        <w:tblStyle w:val="TableGridAnnualReport"/>
        <w:tblW w:w="9299" w:type="dxa"/>
        <w:tblInd w:w="10" w:type="dxa"/>
        <w:tblLayout w:type="fixed"/>
        <w:tblLook w:val="0420" w:firstRow="1" w:lastRow="0" w:firstColumn="0" w:lastColumn="0" w:noHBand="0" w:noVBand="1"/>
        <w:tblCaption w:val="Table for formatting purposes"/>
      </w:tblPr>
      <w:tblGrid>
        <w:gridCol w:w="4942"/>
        <w:gridCol w:w="2126"/>
        <w:gridCol w:w="2231"/>
      </w:tblGrid>
      <w:tr w:rsidR="00395DFE" w14:paraId="78CF1FF7" w14:textId="77777777" w:rsidTr="002733A7">
        <w:trPr>
          <w:cnfStyle w:val="100000000000" w:firstRow="1" w:lastRow="0" w:firstColumn="0" w:lastColumn="0" w:oddVBand="0" w:evenVBand="0" w:oddHBand="0" w:evenHBand="0" w:firstRowFirstColumn="0" w:firstRowLastColumn="0" w:lastRowFirstColumn="0" w:lastRowLastColumn="0"/>
        </w:trPr>
        <w:tc>
          <w:tcPr>
            <w:tcW w:w="4942" w:type="dxa"/>
            <w:vAlign w:val="center"/>
            <w:hideMark/>
          </w:tcPr>
          <w:p w14:paraId="46242BDA" w14:textId="77777777" w:rsidR="00395DFE" w:rsidRDefault="00395DFE" w:rsidP="00395DFE">
            <w:pPr>
              <w:pStyle w:val="Tableheadingrow1"/>
            </w:pPr>
            <w:r>
              <w:t>Facility Type</w:t>
            </w:r>
          </w:p>
        </w:tc>
        <w:tc>
          <w:tcPr>
            <w:tcW w:w="2126" w:type="dxa"/>
            <w:vAlign w:val="center"/>
          </w:tcPr>
          <w:p w14:paraId="74B32D06" w14:textId="77777777" w:rsidR="00395DFE" w:rsidRDefault="00395DFE" w:rsidP="00395DFE">
            <w:pPr>
              <w:pStyle w:val="Tableheadingrow1"/>
            </w:pPr>
            <w:r>
              <w:t>Recommendations made</w:t>
            </w:r>
          </w:p>
        </w:tc>
        <w:tc>
          <w:tcPr>
            <w:tcW w:w="2231" w:type="dxa"/>
            <w:vAlign w:val="center"/>
            <w:hideMark/>
          </w:tcPr>
          <w:p w14:paraId="18D32F6D" w14:textId="77777777" w:rsidR="00395DFE" w:rsidRDefault="00395DFE" w:rsidP="00395DFE">
            <w:pPr>
              <w:pStyle w:val="Tableheadingrow1"/>
            </w:pPr>
            <w:r>
              <w:t>Recommendations accepted or partially accepted</w:t>
            </w:r>
          </w:p>
        </w:tc>
      </w:tr>
      <w:tr w:rsidR="00395DFE" w14:paraId="1ECE722E" w14:textId="77777777" w:rsidTr="002733A7">
        <w:trPr>
          <w:cnfStyle w:val="000000100000" w:firstRow="0" w:lastRow="0" w:firstColumn="0" w:lastColumn="0" w:oddVBand="0" w:evenVBand="0" w:oddHBand="1" w:evenHBand="0" w:firstRowFirstColumn="0" w:firstRowLastColumn="0" w:lastRowFirstColumn="0" w:lastRowLastColumn="0"/>
        </w:trPr>
        <w:tc>
          <w:tcPr>
            <w:tcW w:w="4942" w:type="dxa"/>
            <w:vAlign w:val="center"/>
            <w:hideMark/>
          </w:tcPr>
          <w:p w14:paraId="3D0A4FDA" w14:textId="77777777" w:rsidR="00395DFE" w:rsidRDefault="00395DFE" w:rsidP="00395DFE">
            <w:pPr>
              <w:pStyle w:val="Tablesinglespacedparagraph"/>
            </w:pPr>
            <w:r>
              <w:t>Prisons</w:t>
            </w:r>
          </w:p>
        </w:tc>
        <w:tc>
          <w:tcPr>
            <w:tcW w:w="2126" w:type="dxa"/>
            <w:vAlign w:val="center"/>
          </w:tcPr>
          <w:p w14:paraId="4FA62141" w14:textId="77777777" w:rsidR="00395DFE" w:rsidRDefault="007802A1" w:rsidP="007802A1">
            <w:pPr>
              <w:pStyle w:val="Tablesinglespacedparagraph"/>
              <w:ind w:right="882"/>
              <w:jc w:val="right"/>
            </w:pPr>
            <w:r>
              <w:t>17</w:t>
            </w:r>
          </w:p>
        </w:tc>
        <w:tc>
          <w:tcPr>
            <w:tcW w:w="2231" w:type="dxa"/>
            <w:vAlign w:val="center"/>
          </w:tcPr>
          <w:p w14:paraId="3356AA42" w14:textId="77777777" w:rsidR="00395DFE" w:rsidRDefault="007802A1" w:rsidP="007802A1">
            <w:pPr>
              <w:pStyle w:val="Tablesinglespacedparagraph"/>
              <w:tabs>
                <w:tab w:val="left" w:pos="1158"/>
              </w:tabs>
              <w:ind w:right="882"/>
              <w:jc w:val="right"/>
            </w:pPr>
            <w:r>
              <w:t>15</w:t>
            </w:r>
          </w:p>
        </w:tc>
      </w:tr>
      <w:tr w:rsidR="00395DFE" w14:paraId="20A1820B" w14:textId="77777777" w:rsidTr="007802A1">
        <w:trPr>
          <w:cnfStyle w:val="000000010000" w:firstRow="0" w:lastRow="0" w:firstColumn="0" w:lastColumn="0" w:oddVBand="0" w:evenVBand="0" w:oddHBand="0" w:evenHBand="1" w:firstRowFirstColumn="0" w:firstRowLastColumn="0" w:lastRowFirstColumn="0" w:lastRowLastColumn="0"/>
        </w:trPr>
        <w:tc>
          <w:tcPr>
            <w:tcW w:w="4942" w:type="dxa"/>
            <w:vAlign w:val="bottom"/>
          </w:tcPr>
          <w:p w14:paraId="70FF1E22" w14:textId="77777777" w:rsidR="00395DFE" w:rsidRPr="007802A1" w:rsidRDefault="00395DFE" w:rsidP="007802A1">
            <w:pPr>
              <w:pStyle w:val="Tablesinglespacedparagraph"/>
              <w:ind w:left="582"/>
              <w:rPr>
                <w:rStyle w:val="Italics"/>
              </w:rPr>
            </w:pPr>
            <w:r w:rsidRPr="007802A1">
              <w:rPr>
                <w:rStyle w:val="Italics"/>
              </w:rPr>
              <w:t>COVID-19 prisons (</w:t>
            </w:r>
            <w:r w:rsidR="007802A1">
              <w:rPr>
                <w:rStyle w:val="Italics"/>
              </w:rPr>
              <w:t>nine</w:t>
            </w:r>
            <w:r w:rsidRPr="007802A1">
              <w:rPr>
                <w:rStyle w:val="Italics"/>
              </w:rPr>
              <w:t xml:space="preserve"> facilities)</w:t>
            </w:r>
          </w:p>
        </w:tc>
        <w:tc>
          <w:tcPr>
            <w:tcW w:w="2126" w:type="dxa"/>
            <w:vAlign w:val="center"/>
          </w:tcPr>
          <w:p w14:paraId="0633ECE0" w14:textId="77777777" w:rsidR="00395DFE" w:rsidRDefault="007802A1" w:rsidP="007802A1">
            <w:pPr>
              <w:pStyle w:val="Tablesinglespacedparagraph"/>
              <w:ind w:right="882"/>
              <w:jc w:val="right"/>
            </w:pPr>
            <w:r>
              <w:t>11</w:t>
            </w:r>
          </w:p>
        </w:tc>
        <w:tc>
          <w:tcPr>
            <w:tcW w:w="2231" w:type="dxa"/>
            <w:vAlign w:val="center"/>
          </w:tcPr>
          <w:p w14:paraId="1112FDDB" w14:textId="77777777" w:rsidR="00395DFE" w:rsidRDefault="007802A1" w:rsidP="007802A1">
            <w:pPr>
              <w:pStyle w:val="Tablesinglespacedparagraph"/>
              <w:tabs>
                <w:tab w:val="left" w:pos="1158"/>
              </w:tabs>
              <w:ind w:right="882"/>
              <w:jc w:val="right"/>
            </w:pPr>
            <w:r>
              <w:t>11</w:t>
            </w:r>
          </w:p>
        </w:tc>
      </w:tr>
      <w:tr w:rsidR="00395DFE" w14:paraId="3EC562A5" w14:textId="77777777" w:rsidTr="002733A7">
        <w:trPr>
          <w:cnfStyle w:val="000000100000" w:firstRow="0" w:lastRow="0" w:firstColumn="0" w:lastColumn="0" w:oddVBand="0" w:evenVBand="0" w:oddHBand="1" w:evenHBand="0" w:firstRowFirstColumn="0" w:firstRowLastColumn="0" w:lastRowFirstColumn="0" w:lastRowLastColumn="0"/>
        </w:trPr>
        <w:tc>
          <w:tcPr>
            <w:tcW w:w="4942" w:type="dxa"/>
            <w:vAlign w:val="center"/>
            <w:hideMark/>
          </w:tcPr>
          <w:p w14:paraId="6F069E69" w14:textId="77777777" w:rsidR="00395DFE" w:rsidRDefault="00395DFE" w:rsidP="00395DFE">
            <w:pPr>
              <w:pStyle w:val="Tablesinglespacedparagraph"/>
            </w:pPr>
            <w:r>
              <w:t>Health and disability places of detention</w:t>
            </w:r>
          </w:p>
        </w:tc>
        <w:tc>
          <w:tcPr>
            <w:tcW w:w="2126" w:type="dxa"/>
            <w:vAlign w:val="center"/>
          </w:tcPr>
          <w:p w14:paraId="6BF807BF" w14:textId="77777777" w:rsidR="00395DFE" w:rsidRDefault="007802A1" w:rsidP="007802A1">
            <w:pPr>
              <w:pStyle w:val="Tablesinglespacedparagraph"/>
              <w:ind w:right="882"/>
              <w:jc w:val="right"/>
            </w:pPr>
            <w:r>
              <w:t>92</w:t>
            </w:r>
          </w:p>
        </w:tc>
        <w:tc>
          <w:tcPr>
            <w:tcW w:w="2231" w:type="dxa"/>
            <w:vAlign w:val="center"/>
          </w:tcPr>
          <w:p w14:paraId="254E0FEB" w14:textId="77777777" w:rsidR="00395DFE" w:rsidRDefault="007802A1" w:rsidP="007802A1">
            <w:pPr>
              <w:pStyle w:val="Tablesinglespacedparagraph"/>
              <w:tabs>
                <w:tab w:val="left" w:pos="1158"/>
              </w:tabs>
              <w:ind w:right="882"/>
              <w:jc w:val="right"/>
            </w:pPr>
            <w:r>
              <w:t>59</w:t>
            </w:r>
          </w:p>
        </w:tc>
      </w:tr>
      <w:tr w:rsidR="00395DFE" w14:paraId="700E1379" w14:textId="77777777" w:rsidTr="007802A1">
        <w:trPr>
          <w:cnfStyle w:val="000000010000" w:firstRow="0" w:lastRow="0" w:firstColumn="0" w:lastColumn="0" w:oddVBand="0" w:evenVBand="0" w:oddHBand="0" w:evenHBand="1" w:firstRowFirstColumn="0" w:firstRowLastColumn="0" w:lastRowFirstColumn="0" w:lastRowLastColumn="0"/>
        </w:trPr>
        <w:tc>
          <w:tcPr>
            <w:tcW w:w="4942" w:type="dxa"/>
            <w:vAlign w:val="center"/>
          </w:tcPr>
          <w:p w14:paraId="3566173A" w14:textId="77777777" w:rsidR="00395DFE" w:rsidRPr="007802A1" w:rsidRDefault="00395DFE" w:rsidP="007802A1">
            <w:pPr>
              <w:pStyle w:val="Tablesinglespacedparagraph"/>
              <w:ind w:left="582"/>
              <w:rPr>
                <w:rStyle w:val="Italics"/>
              </w:rPr>
            </w:pPr>
            <w:r w:rsidRPr="007802A1">
              <w:rPr>
                <w:rStyle w:val="Italics"/>
              </w:rPr>
              <w:t>COVID-19 health and disability places of detention (</w:t>
            </w:r>
            <w:r w:rsidR="007802A1" w:rsidRPr="007802A1">
              <w:rPr>
                <w:rStyle w:val="Italics"/>
              </w:rPr>
              <w:t xml:space="preserve">five facilities) </w:t>
            </w:r>
          </w:p>
        </w:tc>
        <w:tc>
          <w:tcPr>
            <w:tcW w:w="2126" w:type="dxa"/>
            <w:vAlign w:val="center"/>
          </w:tcPr>
          <w:p w14:paraId="2895EA42" w14:textId="77777777" w:rsidR="00395DFE" w:rsidRDefault="007802A1" w:rsidP="007802A1">
            <w:pPr>
              <w:pStyle w:val="Tablesinglespacedparagraph"/>
              <w:ind w:right="882"/>
              <w:jc w:val="right"/>
            </w:pPr>
            <w:r>
              <w:t>5</w:t>
            </w:r>
          </w:p>
        </w:tc>
        <w:tc>
          <w:tcPr>
            <w:tcW w:w="2231" w:type="dxa"/>
            <w:vAlign w:val="center"/>
          </w:tcPr>
          <w:p w14:paraId="1A48A5D1" w14:textId="77777777" w:rsidR="00395DFE" w:rsidRDefault="007802A1" w:rsidP="007802A1">
            <w:pPr>
              <w:pStyle w:val="Tablesinglespacedparagraph"/>
              <w:tabs>
                <w:tab w:val="left" w:pos="1158"/>
              </w:tabs>
              <w:ind w:right="882"/>
              <w:jc w:val="right"/>
            </w:pPr>
            <w:r>
              <w:t>5</w:t>
            </w:r>
          </w:p>
        </w:tc>
      </w:tr>
    </w:tbl>
    <w:p w14:paraId="670DECE9" w14:textId="77777777" w:rsidR="00DF1795" w:rsidRDefault="00DF1795" w:rsidP="00DF1795">
      <w:pPr>
        <w:pStyle w:val="Heading2"/>
      </w:pPr>
      <w:bookmarkStart w:id="160" w:name="_Throughput_of_complaints,_1"/>
      <w:bookmarkStart w:id="161" w:name="_Ref54703134"/>
      <w:bookmarkEnd w:id="160"/>
      <w:r w:rsidRPr="00BE4BB3">
        <w:t>Throughput of complaints, other contacts</w:t>
      </w:r>
      <w:r>
        <w:t>,</w:t>
      </w:r>
      <w:r w:rsidRPr="00BE4BB3">
        <w:t xml:space="preserve"> and monitoring activities</w:t>
      </w:r>
      <w:bookmarkEnd w:id="158"/>
      <w:bookmarkEnd w:id="161"/>
    </w:p>
    <w:p w14:paraId="1C468C79" w14:textId="77777777" w:rsidR="00DF1795" w:rsidRPr="00D67CBD" w:rsidRDefault="001C7062" w:rsidP="00DF1795">
      <w:pPr>
        <w:pStyle w:val="Heading4"/>
      </w:pPr>
      <w:r>
        <w:rPr>
          <w:noProof/>
        </w:rPr>
        <w:t xml:space="preserve">1. </w:t>
      </w:r>
      <w:r w:rsidR="00DF1795">
        <w:rPr>
          <w:noProof/>
        </w:rPr>
        <w:t>Matters received and under consideration for reported year and previous four years</w:t>
      </w:r>
    </w:p>
    <w:tbl>
      <w:tblPr>
        <w:tblStyle w:val="TableGridAnnualReport"/>
        <w:tblW w:w="9074" w:type="dxa"/>
        <w:tblInd w:w="20" w:type="dxa"/>
        <w:tblLayout w:type="fixed"/>
        <w:tblLook w:val="0420" w:firstRow="1" w:lastRow="0" w:firstColumn="0" w:lastColumn="0" w:noHBand="0" w:noVBand="1"/>
        <w:tblCaption w:val="Matters received and under consideration for reported year and previous four years"/>
      </w:tblPr>
      <w:tblGrid>
        <w:gridCol w:w="2664"/>
        <w:gridCol w:w="1282"/>
        <w:gridCol w:w="1282"/>
        <w:gridCol w:w="1282"/>
        <w:gridCol w:w="1282"/>
        <w:gridCol w:w="1282"/>
      </w:tblGrid>
      <w:tr w:rsidR="00CE5871" w14:paraId="712B0F46" w14:textId="77777777" w:rsidTr="006044B2">
        <w:trPr>
          <w:cnfStyle w:val="100000000000" w:firstRow="1" w:lastRow="0" w:firstColumn="0" w:lastColumn="0" w:oddVBand="0" w:evenVBand="0" w:oddHBand="0" w:evenHBand="0" w:firstRowFirstColumn="0" w:firstRowLastColumn="0" w:lastRowFirstColumn="0" w:lastRowLastColumn="0"/>
          <w:trHeight w:val="20"/>
        </w:trPr>
        <w:tc>
          <w:tcPr>
            <w:tcW w:w="2664" w:type="dxa"/>
          </w:tcPr>
          <w:p w14:paraId="5987D206" w14:textId="77777777" w:rsidR="00CE5871" w:rsidRPr="00D67CBD" w:rsidRDefault="00CE5871" w:rsidP="00506E02">
            <w:pPr>
              <w:pStyle w:val="Tableheadingrow1"/>
            </w:pPr>
          </w:p>
        </w:tc>
        <w:tc>
          <w:tcPr>
            <w:tcW w:w="1282" w:type="dxa"/>
          </w:tcPr>
          <w:p w14:paraId="4A9128BD" w14:textId="77777777" w:rsidR="00CE5871" w:rsidRPr="00D67CBD" w:rsidRDefault="00CE5871" w:rsidP="00506E02">
            <w:pPr>
              <w:pStyle w:val="Tableheadingrow1"/>
              <w:jc w:val="right"/>
            </w:pPr>
            <w:r w:rsidRPr="00D67CBD">
              <w:t>201</w:t>
            </w:r>
            <w:r>
              <w:t>5</w:t>
            </w:r>
            <w:r w:rsidRPr="00D67CBD">
              <w:t>/1</w:t>
            </w:r>
            <w:r>
              <w:t>6</w:t>
            </w:r>
          </w:p>
        </w:tc>
        <w:tc>
          <w:tcPr>
            <w:tcW w:w="1282" w:type="dxa"/>
          </w:tcPr>
          <w:p w14:paraId="3DD4BE77" w14:textId="77777777" w:rsidR="00CE5871" w:rsidRPr="00D67CBD" w:rsidRDefault="00CE5871" w:rsidP="00506E02">
            <w:pPr>
              <w:pStyle w:val="Tableheadingrow1"/>
              <w:jc w:val="right"/>
            </w:pPr>
            <w:r>
              <w:t>2016/17</w:t>
            </w:r>
          </w:p>
        </w:tc>
        <w:tc>
          <w:tcPr>
            <w:tcW w:w="1282" w:type="dxa"/>
          </w:tcPr>
          <w:p w14:paraId="259BB2F9" w14:textId="77777777" w:rsidR="00CE5871" w:rsidRPr="00D67CBD" w:rsidRDefault="00CE5871" w:rsidP="00506E02">
            <w:pPr>
              <w:pStyle w:val="Tableheadingrow1"/>
              <w:jc w:val="right"/>
            </w:pPr>
            <w:r>
              <w:t>2017/18</w:t>
            </w:r>
          </w:p>
        </w:tc>
        <w:tc>
          <w:tcPr>
            <w:tcW w:w="1282" w:type="dxa"/>
          </w:tcPr>
          <w:p w14:paraId="612DC8D5" w14:textId="77777777" w:rsidR="00CE5871" w:rsidRDefault="00CE5871" w:rsidP="00506E02">
            <w:pPr>
              <w:pStyle w:val="Tableheadingrow1"/>
              <w:jc w:val="right"/>
            </w:pPr>
            <w:r>
              <w:t>2018/19</w:t>
            </w:r>
          </w:p>
        </w:tc>
        <w:tc>
          <w:tcPr>
            <w:tcW w:w="1282" w:type="dxa"/>
          </w:tcPr>
          <w:p w14:paraId="347E6D12" w14:textId="77777777" w:rsidR="00CE5871" w:rsidRDefault="00CE5871" w:rsidP="00506E02">
            <w:pPr>
              <w:pStyle w:val="Tableheadingrow1"/>
              <w:jc w:val="right"/>
            </w:pPr>
            <w:r>
              <w:t>2019/20</w:t>
            </w:r>
          </w:p>
        </w:tc>
      </w:tr>
      <w:tr w:rsidR="00CE5871" w14:paraId="75D92C07" w14:textId="77777777" w:rsidTr="006044B2">
        <w:trPr>
          <w:cnfStyle w:val="000000100000" w:firstRow="0" w:lastRow="0" w:firstColumn="0" w:lastColumn="0" w:oddVBand="0" w:evenVBand="0" w:oddHBand="1" w:evenHBand="0" w:firstRowFirstColumn="0" w:firstRowLastColumn="0" w:lastRowFirstColumn="0" w:lastRowLastColumn="0"/>
          <w:trHeight w:val="60"/>
        </w:trPr>
        <w:tc>
          <w:tcPr>
            <w:tcW w:w="2664" w:type="dxa"/>
          </w:tcPr>
          <w:p w14:paraId="1BF5D210" w14:textId="77777777" w:rsidR="00CE5871" w:rsidRPr="00D67CBD" w:rsidRDefault="00CE5871" w:rsidP="00506E02">
            <w:pPr>
              <w:pStyle w:val="Tablebodytextnospaceafter"/>
            </w:pPr>
            <w:r w:rsidRPr="00D67CBD">
              <w:t>On hand as at 1 July</w:t>
            </w:r>
          </w:p>
        </w:tc>
        <w:tc>
          <w:tcPr>
            <w:tcW w:w="1282" w:type="dxa"/>
          </w:tcPr>
          <w:p w14:paraId="40887D5D" w14:textId="77777777" w:rsidR="00CE5871" w:rsidRPr="00A07C7E" w:rsidRDefault="00CE5871" w:rsidP="00506E02">
            <w:pPr>
              <w:pStyle w:val="Tablebodytextnospaceafter"/>
              <w:jc w:val="right"/>
            </w:pPr>
            <w:r w:rsidRPr="00052E27">
              <w:t>1,787</w:t>
            </w:r>
          </w:p>
        </w:tc>
        <w:tc>
          <w:tcPr>
            <w:tcW w:w="1282" w:type="dxa"/>
          </w:tcPr>
          <w:p w14:paraId="4F3E328C" w14:textId="77777777" w:rsidR="00CE5871" w:rsidRPr="00052E27" w:rsidRDefault="00CE5871" w:rsidP="00506E02">
            <w:pPr>
              <w:pStyle w:val="Tablebodytextnospaceafter"/>
              <w:jc w:val="right"/>
            </w:pPr>
            <w:r>
              <w:t>1,591</w:t>
            </w:r>
          </w:p>
        </w:tc>
        <w:tc>
          <w:tcPr>
            <w:tcW w:w="1282" w:type="dxa"/>
          </w:tcPr>
          <w:p w14:paraId="202615EE" w14:textId="77777777" w:rsidR="00CE5871" w:rsidRPr="00052E27" w:rsidRDefault="00CE5871" w:rsidP="0089437B">
            <w:pPr>
              <w:pStyle w:val="Tablebodytextnospaceafter"/>
              <w:jc w:val="right"/>
            </w:pPr>
            <w:r>
              <w:t>1,</w:t>
            </w:r>
            <w:r w:rsidR="0089437B">
              <w:t>294</w:t>
            </w:r>
          </w:p>
        </w:tc>
        <w:tc>
          <w:tcPr>
            <w:tcW w:w="1282" w:type="dxa"/>
          </w:tcPr>
          <w:p w14:paraId="7024029B" w14:textId="77777777" w:rsidR="00CE5871" w:rsidRDefault="00CE5871" w:rsidP="00506E02">
            <w:pPr>
              <w:pStyle w:val="Tablebodytextnospaceafter"/>
              <w:jc w:val="right"/>
            </w:pPr>
            <w:r>
              <w:t>916</w:t>
            </w:r>
          </w:p>
        </w:tc>
        <w:tc>
          <w:tcPr>
            <w:tcW w:w="1282" w:type="dxa"/>
          </w:tcPr>
          <w:p w14:paraId="3084E886" w14:textId="77777777" w:rsidR="00CE5871" w:rsidRDefault="00CE5871" w:rsidP="00506E02">
            <w:pPr>
              <w:pStyle w:val="Tablebodytextnospaceafter"/>
              <w:jc w:val="right"/>
            </w:pPr>
            <w:r>
              <w:t>1,009</w:t>
            </w:r>
          </w:p>
        </w:tc>
      </w:tr>
      <w:tr w:rsidR="00CE5871" w14:paraId="204EBCE6" w14:textId="77777777" w:rsidTr="006044B2">
        <w:trPr>
          <w:cnfStyle w:val="000000010000" w:firstRow="0" w:lastRow="0" w:firstColumn="0" w:lastColumn="0" w:oddVBand="0" w:evenVBand="0" w:oddHBand="0" w:evenHBand="1" w:firstRowFirstColumn="0" w:firstRowLastColumn="0" w:lastRowFirstColumn="0" w:lastRowLastColumn="0"/>
          <w:trHeight w:val="60"/>
        </w:trPr>
        <w:tc>
          <w:tcPr>
            <w:tcW w:w="2664" w:type="dxa"/>
          </w:tcPr>
          <w:p w14:paraId="277AF019" w14:textId="77777777" w:rsidR="00CE5871" w:rsidRPr="00D67CBD" w:rsidRDefault="00CE5871" w:rsidP="00506E02">
            <w:pPr>
              <w:pStyle w:val="Tablebodytextnospaceafter"/>
            </w:pPr>
            <w:r w:rsidRPr="00D67CBD">
              <w:t>Adjustment</w:t>
            </w:r>
            <w:r>
              <w:rPr>
                <w:rStyle w:val="FootnoteReference"/>
              </w:rPr>
              <w:footnoteReference w:id="90"/>
            </w:r>
            <w:r w:rsidRPr="00D67CBD">
              <w:rPr>
                <w:rStyle w:val="FootnoteReference"/>
              </w:rPr>
              <w:t xml:space="preserve"> </w:t>
            </w:r>
          </w:p>
        </w:tc>
        <w:tc>
          <w:tcPr>
            <w:tcW w:w="1282" w:type="dxa"/>
          </w:tcPr>
          <w:p w14:paraId="3259A3C2" w14:textId="77777777" w:rsidR="00CE5871" w:rsidRPr="00A07C7E" w:rsidRDefault="00CE5871" w:rsidP="00506E02">
            <w:pPr>
              <w:pStyle w:val="Tablebodytextnospaceafter"/>
              <w:jc w:val="right"/>
            </w:pPr>
            <w:r w:rsidRPr="00052E27">
              <w:t>-5</w:t>
            </w:r>
          </w:p>
        </w:tc>
        <w:tc>
          <w:tcPr>
            <w:tcW w:w="1282" w:type="dxa"/>
          </w:tcPr>
          <w:p w14:paraId="33EC178E" w14:textId="77777777" w:rsidR="00CE5871" w:rsidRPr="00052E27" w:rsidRDefault="00827714" w:rsidP="00506E02">
            <w:pPr>
              <w:pStyle w:val="Tablebodytextnospaceafter"/>
              <w:jc w:val="right"/>
            </w:pPr>
            <w:r>
              <w:t>+44</w:t>
            </w:r>
          </w:p>
        </w:tc>
        <w:tc>
          <w:tcPr>
            <w:tcW w:w="1282" w:type="dxa"/>
          </w:tcPr>
          <w:p w14:paraId="03506068" w14:textId="77777777" w:rsidR="00CE5871" w:rsidRPr="00052E27" w:rsidRDefault="0089437B" w:rsidP="00506E02">
            <w:pPr>
              <w:pStyle w:val="Tablebodytextnospaceafter"/>
              <w:jc w:val="right"/>
            </w:pPr>
            <w:r>
              <w:t>+</w:t>
            </w:r>
            <w:r w:rsidR="00CE5871">
              <w:t>8</w:t>
            </w:r>
          </w:p>
        </w:tc>
        <w:tc>
          <w:tcPr>
            <w:tcW w:w="1282" w:type="dxa"/>
          </w:tcPr>
          <w:p w14:paraId="3D8F23A3" w14:textId="77777777" w:rsidR="00CE5871" w:rsidRPr="00510A7D" w:rsidRDefault="00CE5871" w:rsidP="00506E02">
            <w:pPr>
              <w:pStyle w:val="Tablebodytextnospaceafter"/>
              <w:jc w:val="right"/>
            </w:pPr>
            <w:r w:rsidRPr="00510A7D">
              <w:t>-10</w:t>
            </w:r>
          </w:p>
        </w:tc>
        <w:tc>
          <w:tcPr>
            <w:tcW w:w="1282" w:type="dxa"/>
          </w:tcPr>
          <w:p w14:paraId="3757045A" w14:textId="77777777" w:rsidR="00CE5871" w:rsidRPr="00510A7D" w:rsidRDefault="00575A59" w:rsidP="00506E02">
            <w:pPr>
              <w:pStyle w:val="Tablebodytextnospaceafter"/>
              <w:jc w:val="right"/>
            </w:pPr>
            <w:r>
              <w:t>+</w:t>
            </w:r>
            <w:r w:rsidR="00884ACA">
              <w:t>41</w:t>
            </w:r>
          </w:p>
        </w:tc>
      </w:tr>
      <w:tr w:rsidR="00CE5871" w14:paraId="294221A4" w14:textId="77777777" w:rsidTr="006044B2">
        <w:trPr>
          <w:cnfStyle w:val="000000100000" w:firstRow="0" w:lastRow="0" w:firstColumn="0" w:lastColumn="0" w:oddVBand="0" w:evenVBand="0" w:oddHBand="1" w:evenHBand="0" w:firstRowFirstColumn="0" w:firstRowLastColumn="0" w:lastRowFirstColumn="0" w:lastRowLastColumn="0"/>
          <w:trHeight w:val="60"/>
        </w:trPr>
        <w:tc>
          <w:tcPr>
            <w:tcW w:w="2664" w:type="dxa"/>
          </w:tcPr>
          <w:p w14:paraId="07B192FC" w14:textId="77777777" w:rsidR="00CE5871" w:rsidRPr="00D67CBD" w:rsidRDefault="00CE5871" w:rsidP="00506E02">
            <w:pPr>
              <w:pStyle w:val="Tablebodytextnospaceafter"/>
            </w:pPr>
            <w:r w:rsidRPr="00D67CBD">
              <w:t>Received during the year</w:t>
            </w:r>
          </w:p>
        </w:tc>
        <w:tc>
          <w:tcPr>
            <w:tcW w:w="1282" w:type="dxa"/>
          </w:tcPr>
          <w:p w14:paraId="42606F57" w14:textId="77777777" w:rsidR="00CE5871" w:rsidRPr="004F6B8B" w:rsidRDefault="00CE5871" w:rsidP="00506E02">
            <w:pPr>
              <w:pStyle w:val="Tablebodytextnospaceafter"/>
              <w:jc w:val="right"/>
            </w:pPr>
            <w:r w:rsidRPr="004F6B8B">
              <w:t>12,595</w:t>
            </w:r>
          </w:p>
        </w:tc>
        <w:tc>
          <w:tcPr>
            <w:tcW w:w="1282" w:type="dxa"/>
          </w:tcPr>
          <w:p w14:paraId="089C3360" w14:textId="77777777" w:rsidR="00CE5871" w:rsidRPr="004F6B8B" w:rsidRDefault="00CE5871" w:rsidP="00506E02">
            <w:pPr>
              <w:pStyle w:val="Tablebodytextnospaceafter"/>
              <w:jc w:val="right"/>
            </w:pPr>
            <w:r>
              <w:t>11,846</w:t>
            </w:r>
          </w:p>
        </w:tc>
        <w:tc>
          <w:tcPr>
            <w:tcW w:w="1282" w:type="dxa"/>
          </w:tcPr>
          <w:p w14:paraId="6B6BAA63" w14:textId="77777777" w:rsidR="00CE5871" w:rsidRPr="00052E27" w:rsidRDefault="00CE5871" w:rsidP="00506E02">
            <w:pPr>
              <w:pStyle w:val="Tablebodytextnospaceafter"/>
              <w:jc w:val="right"/>
            </w:pPr>
            <w:r>
              <w:t>11,468</w:t>
            </w:r>
          </w:p>
        </w:tc>
        <w:tc>
          <w:tcPr>
            <w:tcW w:w="1282" w:type="dxa"/>
          </w:tcPr>
          <w:p w14:paraId="1C7480DE" w14:textId="77777777" w:rsidR="00CE5871" w:rsidRDefault="00CE5871" w:rsidP="00506E02">
            <w:pPr>
              <w:pStyle w:val="Tablebodytextnospaceafter"/>
              <w:jc w:val="right"/>
            </w:pPr>
            <w:r>
              <w:t>11,886</w:t>
            </w:r>
          </w:p>
        </w:tc>
        <w:tc>
          <w:tcPr>
            <w:tcW w:w="1282" w:type="dxa"/>
          </w:tcPr>
          <w:p w14:paraId="3C808384" w14:textId="77777777" w:rsidR="00CE5871" w:rsidRDefault="00110512" w:rsidP="007409E2">
            <w:pPr>
              <w:pStyle w:val="Tablebodytextnospaceafter"/>
              <w:jc w:val="right"/>
            </w:pPr>
            <w:r>
              <w:t>11,</w:t>
            </w:r>
            <w:r w:rsidR="007409E2">
              <w:t>862</w:t>
            </w:r>
          </w:p>
        </w:tc>
      </w:tr>
      <w:tr w:rsidR="00CE5871" w14:paraId="7A7CA1C3" w14:textId="77777777" w:rsidTr="006044B2">
        <w:trPr>
          <w:cnfStyle w:val="000000010000" w:firstRow="0" w:lastRow="0" w:firstColumn="0" w:lastColumn="0" w:oddVBand="0" w:evenVBand="0" w:oddHBand="0" w:evenHBand="1" w:firstRowFirstColumn="0" w:firstRowLastColumn="0" w:lastRowFirstColumn="0" w:lastRowLastColumn="0"/>
          <w:trHeight w:val="60"/>
        </w:trPr>
        <w:tc>
          <w:tcPr>
            <w:tcW w:w="2664" w:type="dxa"/>
          </w:tcPr>
          <w:p w14:paraId="69115D61" w14:textId="77777777" w:rsidR="00CE5871" w:rsidRPr="00D67CBD" w:rsidRDefault="00CE5871" w:rsidP="00506E02">
            <w:pPr>
              <w:pStyle w:val="Tablebodytextnospaceafter"/>
            </w:pPr>
            <w:r w:rsidRPr="00D67CBD">
              <w:t>Total under consideration</w:t>
            </w:r>
          </w:p>
        </w:tc>
        <w:tc>
          <w:tcPr>
            <w:tcW w:w="1282" w:type="dxa"/>
          </w:tcPr>
          <w:p w14:paraId="5A38330B" w14:textId="77777777" w:rsidR="00CE5871" w:rsidRPr="004F6B8B" w:rsidRDefault="00CE5871" w:rsidP="00506E02">
            <w:pPr>
              <w:pStyle w:val="Tablebodytextnospaceafter"/>
              <w:jc w:val="right"/>
              <w:rPr>
                <w:highlight w:val="yellow"/>
              </w:rPr>
            </w:pPr>
            <w:r w:rsidRPr="004F6B8B">
              <w:t>14,382</w:t>
            </w:r>
          </w:p>
        </w:tc>
        <w:tc>
          <w:tcPr>
            <w:tcW w:w="1282" w:type="dxa"/>
          </w:tcPr>
          <w:p w14:paraId="390B20E9" w14:textId="77777777" w:rsidR="00CE5871" w:rsidRPr="004F6B8B" w:rsidRDefault="00CE5871" w:rsidP="00506E02">
            <w:pPr>
              <w:pStyle w:val="Tablebodytextnospaceafter"/>
              <w:jc w:val="right"/>
              <w:rPr>
                <w:highlight w:val="yellow"/>
              </w:rPr>
            </w:pPr>
            <w:r w:rsidRPr="004F6B8B">
              <w:t>13,437</w:t>
            </w:r>
          </w:p>
        </w:tc>
        <w:tc>
          <w:tcPr>
            <w:tcW w:w="1282" w:type="dxa"/>
          </w:tcPr>
          <w:p w14:paraId="7AFA6468" w14:textId="77777777" w:rsidR="00CE5871" w:rsidRPr="00052E27" w:rsidRDefault="00CE5871" w:rsidP="00506E02">
            <w:pPr>
              <w:pStyle w:val="Tablebodytextnospaceafter"/>
              <w:jc w:val="right"/>
              <w:rPr>
                <w:highlight w:val="yellow"/>
              </w:rPr>
            </w:pPr>
            <w:r>
              <w:t>12,770</w:t>
            </w:r>
          </w:p>
        </w:tc>
        <w:tc>
          <w:tcPr>
            <w:tcW w:w="1282" w:type="dxa"/>
          </w:tcPr>
          <w:p w14:paraId="72EADAD8" w14:textId="77777777" w:rsidR="00CE5871" w:rsidRPr="004F6B8B" w:rsidRDefault="00CE5871" w:rsidP="00506E02">
            <w:pPr>
              <w:pStyle w:val="Tablebodytextnospaceafter"/>
              <w:jc w:val="right"/>
            </w:pPr>
            <w:r>
              <w:t>12,802</w:t>
            </w:r>
          </w:p>
        </w:tc>
        <w:tc>
          <w:tcPr>
            <w:tcW w:w="1282" w:type="dxa"/>
          </w:tcPr>
          <w:p w14:paraId="36DA946B" w14:textId="77777777" w:rsidR="00CE5871" w:rsidRDefault="00110512" w:rsidP="003D2CC9">
            <w:pPr>
              <w:pStyle w:val="Tablebodytextnospaceafter"/>
              <w:jc w:val="right"/>
            </w:pPr>
            <w:r>
              <w:t>12,</w:t>
            </w:r>
            <w:r w:rsidR="003D2CC9">
              <w:t>912</w:t>
            </w:r>
          </w:p>
        </w:tc>
      </w:tr>
      <w:tr w:rsidR="00CE5871" w14:paraId="04916F6A" w14:textId="77777777" w:rsidTr="006044B2">
        <w:trPr>
          <w:cnfStyle w:val="000000100000" w:firstRow="0" w:lastRow="0" w:firstColumn="0" w:lastColumn="0" w:oddVBand="0" w:evenVBand="0" w:oddHBand="1" w:evenHBand="0" w:firstRowFirstColumn="0" w:firstRowLastColumn="0" w:lastRowFirstColumn="0" w:lastRowLastColumn="0"/>
          <w:trHeight w:val="60"/>
        </w:trPr>
        <w:tc>
          <w:tcPr>
            <w:tcW w:w="2664" w:type="dxa"/>
          </w:tcPr>
          <w:p w14:paraId="1A56AE54" w14:textId="77777777" w:rsidR="00CE5871" w:rsidRPr="00D67CBD" w:rsidRDefault="00CE5871" w:rsidP="00506E02">
            <w:pPr>
              <w:pStyle w:val="Tablebodytextnospaceafter"/>
            </w:pPr>
            <w:r w:rsidRPr="00D67CBD">
              <w:t>Completed during the year</w:t>
            </w:r>
          </w:p>
        </w:tc>
        <w:tc>
          <w:tcPr>
            <w:tcW w:w="1282" w:type="dxa"/>
          </w:tcPr>
          <w:p w14:paraId="0A6A82FE" w14:textId="77777777" w:rsidR="00CE5871" w:rsidRPr="004F6B8B" w:rsidRDefault="00CE5871" w:rsidP="00506E02">
            <w:pPr>
              <w:pStyle w:val="Tablebodytextnospaceafter"/>
              <w:jc w:val="right"/>
              <w:rPr>
                <w:highlight w:val="yellow"/>
              </w:rPr>
            </w:pPr>
            <w:r w:rsidRPr="004F6B8B">
              <w:t>(12,786)</w:t>
            </w:r>
          </w:p>
        </w:tc>
        <w:tc>
          <w:tcPr>
            <w:tcW w:w="1282" w:type="dxa"/>
          </w:tcPr>
          <w:p w14:paraId="332FFFC6" w14:textId="77777777" w:rsidR="00CE5871" w:rsidRPr="004F6B8B" w:rsidRDefault="00CE5871" w:rsidP="00506E02">
            <w:pPr>
              <w:pStyle w:val="Tablebodytextnospaceafter"/>
              <w:jc w:val="right"/>
              <w:rPr>
                <w:highlight w:val="yellow"/>
              </w:rPr>
            </w:pPr>
            <w:r w:rsidRPr="00AF45BA">
              <w:t>(12,141)</w:t>
            </w:r>
          </w:p>
        </w:tc>
        <w:tc>
          <w:tcPr>
            <w:tcW w:w="1282" w:type="dxa"/>
          </w:tcPr>
          <w:p w14:paraId="53741CEE" w14:textId="77777777" w:rsidR="00CE5871" w:rsidRPr="00CD458A" w:rsidRDefault="00CE5871" w:rsidP="00506E02">
            <w:pPr>
              <w:pStyle w:val="Tablebodytextnospaceafter"/>
              <w:jc w:val="right"/>
            </w:pPr>
            <w:r>
              <w:t>(11,846)</w:t>
            </w:r>
          </w:p>
        </w:tc>
        <w:tc>
          <w:tcPr>
            <w:tcW w:w="1282" w:type="dxa"/>
          </w:tcPr>
          <w:p w14:paraId="2886B3AC" w14:textId="77777777" w:rsidR="00CE5871" w:rsidRPr="00AF45BA" w:rsidRDefault="00CE5871" w:rsidP="00506E02">
            <w:pPr>
              <w:pStyle w:val="Tablebodytextnospaceafter"/>
              <w:jc w:val="right"/>
            </w:pPr>
            <w:r>
              <w:t>(11,793)</w:t>
            </w:r>
          </w:p>
        </w:tc>
        <w:tc>
          <w:tcPr>
            <w:tcW w:w="1282" w:type="dxa"/>
          </w:tcPr>
          <w:p w14:paraId="52A7A5D3" w14:textId="77777777" w:rsidR="00CE5871" w:rsidRDefault="00074BAB" w:rsidP="001252DC">
            <w:pPr>
              <w:pStyle w:val="Tablebodytextnospaceafter"/>
              <w:jc w:val="right"/>
            </w:pPr>
            <w:r>
              <w:t>(11,</w:t>
            </w:r>
            <w:r w:rsidR="001252DC">
              <w:t>740</w:t>
            </w:r>
            <w:r>
              <w:t>)</w:t>
            </w:r>
          </w:p>
        </w:tc>
      </w:tr>
      <w:tr w:rsidR="00CE5871" w14:paraId="338E63DF" w14:textId="77777777" w:rsidTr="006044B2">
        <w:trPr>
          <w:cnfStyle w:val="000000010000" w:firstRow="0" w:lastRow="0" w:firstColumn="0" w:lastColumn="0" w:oddVBand="0" w:evenVBand="0" w:oddHBand="0" w:evenHBand="1" w:firstRowFirstColumn="0" w:firstRowLastColumn="0" w:lastRowFirstColumn="0" w:lastRowLastColumn="0"/>
          <w:trHeight w:val="60"/>
        </w:trPr>
        <w:tc>
          <w:tcPr>
            <w:tcW w:w="2664" w:type="dxa"/>
          </w:tcPr>
          <w:p w14:paraId="5A6BEE3A" w14:textId="77777777" w:rsidR="00CE5871" w:rsidRPr="00D67CBD" w:rsidRDefault="00CE5871" w:rsidP="00506E02">
            <w:pPr>
              <w:pStyle w:val="Tablebodytextnospaceafter"/>
            </w:pPr>
            <w:r w:rsidRPr="00D67CBD">
              <w:t>On hand at 30 June</w:t>
            </w:r>
          </w:p>
        </w:tc>
        <w:tc>
          <w:tcPr>
            <w:tcW w:w="1282" w:type="dxa"/>
          </w:tcPr>
          <w:p w14:paraId="799F142A" w14:textId="77777777" w:rsidR="00CE5871" w:rsidRPr="004F6B8B" w:rsidRDefault="00CE5871" w:rsidP="00506E02">
            <w:pPr>
              <w:pStyle w:val="Tablebodytextnospaceafter"/>
              <w:jc w:val="right"/>
            </w:pPr>
            <w:r w:rsidRPr="004F6B8B">
              <w:t>1,591</w:t>
            </w:r>
          </w:p>
        </w:tc>
        <w:tc>
          <w:tcPr>
            <w:tcW w:w="1282" w:type="dxa"/>
          </w:tcPr>
          <w:p w14:paraId="66D57B14" w14:textId="77777777" w:rsidR="00CE5871" w:rsidRPr="004F6B8B" w:rsidRDefault="00CE5871" w:rsidP="00506E02">
            <w:pPr>
              <w:pStyle w:val="Tablebodytextnospaceafter"/>
              <w:jc w:val="right"/>
            </w:pPr>
            <w:r>
              <w:t>1,294</w:t>
            </w:r>
          </w:p>
        </w:tc>
        <w:tc>
          <w:tcPr>
            <w:tcW w:w="1282" w:type="dxa"/>
          </w:tcPr>
          <w:p w14:paraId="26DF96CB" w14:textId="77777777" w:rsidR="00CE5871" w:rsidRPr="00052E27" w:rsidRDefault="00CE5871" w:rsidP="00506E02">
            <w:pPr>
              <w:pStyle w:val="Tablebodytextnospaceafter"/>
              <w:jc w:val="right"/>
            </w:pPr>
            <w:r>
              <w:t>916</w:t>
            </w:r>
          </w:p>
        </w:tc>
        <w:tc>
          <w:tcPr>
            <w:tcW w:w="1282" w:type="dxa"/>
          </w:tcPr>
          <w:p w14:paraId="6AA8AC21" w14:textId="77777777" w:rsidR="00CE5871" w:rsidRDefault="00CE5871" w:rsidP="00506E02">
            <w:pPr>
              <w:pStyle w:val="Tablebodytextnospaceafter"/>
              <w:jc w:val="right"/>
            </w:pPr>
            <w:r>
              <w:t>1,009</w:t>
            </w:r>
          </w:p>
        </w:tc>
        <w:tc>
          <w:tcPr>
            <w:tcW w:w="1282" w:type="dxa"/>
          </w:tcPr>
          <w:p w14:paraId="63E06BA4" w14:textId="77777777" w:rsidR="00CE5871" w:rsidRDefault="00884ACA" w:rsidP="009B3D27">
            <w:pPr>
              <w:pStyle w:val="Tablebodytextnospaceafter"/>
              <w:jc w:val="right"/>
            </w:pPr>
            <w:r>
              <w:t>1</w:t>
            </w:r>
            <w:r w:rsidR="00861E2E">
              <w:t>,</w:t>
            </w:r>
            <w:r w:rsidR="009B3D27">
              <w:t>132</w:t>
            </w:r>
          </w:p>
        </w:tc>
      </w:tr>
    </w:tbl>
    <w:p w14:paraId="789A2E10" w14:textId="15EAC6BA" w:rsidR="00DF1795" w:rsidRDefault="005B795D" w:rsidP="00DF1795">
      <w:hyperlink w:anchor="Contents" w:history="1">
        <w:r w:rsidR="00DF1795" w:rsidRPr="00F5248A">
          <w:rPr>
            <w:rStyle w:val="Hyperlink"/>
          </w:rPr>
          <w:t>Back to contents</w:t>
        </w:r>
      </w:hyperlink>
      <w:r w:rsidR="00DF1795">
        <w:t>.</w:t>
      </w:r>
    </w:p>
    <w:p w14:paraId="4DE603AA" w14:textId="77777777" w:rsidR="00F15F11" w:rsidRDefault="00F15F11" w:rsidP="00DF1795"/>
    <w:p w14:paraId="0C27614F" w14:textId="71AAF9CC" w:rsidR="00DF1795" w:rsidRPr="00222C74" w:rsidRDefault="0057093C" w:rsidP="00DF1795">
      <w:pPr>
        <w:pStyle w:val="FigureCaption"/>
      </w:pPr>
      <w:r>
        <w:rPr>
          <w:noProof/>
          <w:lang w:eastAsia="en-NZ"/>
        </w:rPr>
        <w:drawing>
          <wp:inline distT="0" distB="0" distL="0" distR="0" wp14:anchorId="560E1B82" wp14:editId="7BF4871B">
            <wp:extent cx="5937738" cy="2420816"/>
            <wp:effectExtent l="0" t="0" r="6350" b="17780"/>
            <wp:docPr id="15" name="Chart 15" descr="Link to text alternative version follows this diagram. This is a line graph - the data in the link is presented in a table." title="Figure 3: Overall throughput of work over the past 10 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5DCCD14A" w14:textId="04ADB761" w:rsidR="00DF1795" w:rsidRDefault="00DF1795" w:rsidP="00DF1795">
      <w:pPr>
        <w:pStyle w:val="FigureCaption"/>
        <w:rPr>
          <w:noProof/>
        </w:rPr>
      </w:pPr>
      <w:bookmarkStart w:id="162" w:name="Figure3"/>
      <w:r w:rsidRPr="00222C74">
        <w:t>Figure 3</w:t>
      </w:r>
      <w:bookmarkEnd w:id="162"/>
      <w:r w:rsidRPr="002B00DB">
        <w:rPr>
          <w:noProof/>
        </w:rPr>
        <w:t>: Overall throughput of work over the past 10 years</w:t>
      </w:r>
      <w:r>
        <w:rPr>
          <w:noProof/>
        </w:rPr>
        <w:t>.</w:t>
      </w:r>
    </w:p>
    <w:p w14:paraId="1760B758" w14:textId="0BF79E59" w:rsidR="000C07E2" w:rsidRPr="00866727" w:rsidRDefault="005B795D" w:rsidP="00222C74">
      <w:pPr>
        <w:pStyle w:val="BodyText"/>
      </w:pPr>
      <w:hyperlink w:anchor="Figure3table" w:history="1">
        <w:r w:rsidR="000C07E2" w:rsidRPr="00866727">
          <w:rPr>
            <w:rStyle w:val="Hyperlink"/>
          </w:rPr>
          <w:t>Link to text alternative version of Figure 3.</w:t>
        </w:r>
      </w:hyperlink>
    </w:p>
    <w:p w14:paraId="1585E990" w14:textId="6AD68949" w:rsidR="00DF1795" w:rsidRDefault="005B795D" w:rsidP="00DF1795">
      <w:hyperlink w:anchor="Contents" w:history="1">
        <w:r w:rsidR="00DF1795" w:rsidRPr="00F5248A">
          <w:rPr>
            <w:rStyle w:val="Hyperlink"/>
          </w:rPr>
          <w:t>Back to contents</w:t>
        </w:r>
      </w:hyperlink>
      <w:r w:rsidR="00DF1795">
        <w:t>.</w:t>
      </w:r>
    </w:p>
    <w:p w14:paraId="4D5DFF72" w14:textId="77777777" w:rsidR="00F15F11" w:rsidRDefault="00F15F11" w:rsidP="00DF1795"/>
    <w:p w14:paraId="2A1D92DB" w14:textId="77777777" w:rsidR="00DF1795" w:rsidRPr="007027F2" w:rsidRDefault="001C7062" w:rsidP="00DF1795">
      <w:pPr>
        <w:pStyle w:val="Heading4"/>
      </w:pPr>
      <w:r>
        <w:rPr>
          <w:noProof/>
        </w:rPr>
        <w:t>2.</w:t>
      </w:r>
      <w:r w:rsidR="00F15F11">
        <w:rPr>
          <w:noProof/>
        </w:rPr>
        <w:t xml:space="preserve"> </w:t>
      </w:r>
      <w:r w:rsidR="00DF1795">
        <w:rPr>
          <w:noProof/>
        </w:rPr>
        <w:t>Breakdown of matters received and under consideration for reported year and previous four years</w:t>
      </w:r>
    </w:p>
    <w:tbl>
      <w:tblPr>
        <w:tblStyle w:val="TableGridAnnualReport"/>
        <w:tblW w:w="9248" w:type="dxa"/>
        <w:tblInd w:w="20" w:type="dxa"/>
        <w:tblLayout w:type="fixed"/>
        <w:tblLook w:val="0420" w:firstRow="1" w:lastRow="0" w:firstColumn="0" w:lastColumn="0" w:noHBand="0" w:noVBand="1"/>
        <w:tblCaption w:val="Table for formatting purposes"/>
      </w:tblPr>
      <w:tblGrid>
        <w:gridCol w:w="3490"/>
        <w:gridCol w:w="1151"/>
        <w:gridCol w:w="1152"/>
        <w:gridCol w:w="1151"/>
        <w:gridCol w:w="1152"/>
        <w:gridCol w:w="1152"/>
      </w:tblGrid>
      <w:tr w:rsidR="00861E2E" w14:paraId="3EC30D04" w14:textId="77777777" w:rsidTr="00861E2E">
        <w:trPr>
          <w:cnfStyle w:val="100000000000" w:firstRow="1" w:lastRow="0" w:firstColumn="0" w:lastColumn="0" w:oddVBand="0" w:evenVBand="0" w:oddHBand="0" w:evenHBand="0" w:firstRowFirstColumn="0" w:firstRowLastColumn="0" w:lastRowFirstColumn="0" w:lastRowLastColumn="0"/>
          <w:trHeight w:val="60"/>
        </w:trPr>
        <w:tc>
          <w:tcPr>
            <w:tcW w:w="3490" w:type="dxa"/>
          </w:tcPr>
          <w:p w14:paraId="4B979840" w14:textId="77777777" w:rsidR="00861E2E" w:rsidRPr="00BE4BB3" w:rsidRDefault="00861E2E" w:rsidP="00506E02">
            <w:pPr>
              <w:pStyle w:val="Tableheadingrow1"/>
              <w:keepLines/>
            </w:pPr>
          </w:p>
        </w:tc>
        <w:tc>
          <w:tcPr>
            <w:tcW w:w="1151" w:type="dxa"/>
          </w:tcPr>
          <w:p w14:paraId="11B8AE0A" w14:textId="77777777" w:rsidR="00861E2E" w:rsidRPr="00BE4BB3" w:rsidRDefault="00861E2E" w:rsidP="00506E02">
            <w:pPr>
              <w:pStyle w:val="Tableheadingrow1"/>
              <w:keepLines/>
              <w:jc w:val="right"/>
            </w:pPr>
            <w:r>
              <w:t>2015/16</w:t>
            </w:r>
          </w:p>
        </w:tc>
        <w:tc>
          <w:tcPr>
            <w:tcW w:w="1152" w:type="dxa"/>
          </w:tcPr>
          <w:p w14:paraId="74F9607D" w14:textId="77777777" w:rsidR="00861E2E" w:rsidRPr="00BE4BB3" w:rsidRDefault="00861E2E" w:rsidP="00506E02">
            <w:pPr>
              <w:pStyle w:val="Tableheadingrow1"/>
              <w:keepLines/>
              <w:jc w:val="right"/>
            </w:pPr>
            <w:r>
              <w:t>2016/17</w:t>
            </w:r>
          </w:p>
        </w:tc>
        <w:tc>
          <w:tcPr>
            <w:tcW w:w="1151" w:type="dxa"/>
          </w:tcPr>
          <w:p w14:paraId="1DF797B8" w14:textId="77777777" w:rsidR="00861E2E" w:rsidRDefault="00861E2E" w:rsidP="00506E02">
            <w:pPr>
              <w:pStyle w:val="Tableheadingrow1"/>
              <w:keepLines/>
              <w:jc w:val="right"/>
            </w:pPr>
            <w:r>
              <w:t>2017/18</w:t>
            </w:r>
          </w:p>
        </w:tc>
        <w:tc>
          <w:tcPr>
            <w:tcW w:w="1152" w:type="dxa"/>
          </w:tcPr>
          <w:p w14:paraId="3E842E82" w14:textId="77777777" w:rsidR="00861E2E" w:rsidRDefault="00861E2E" w:rsidP="00506E02">
            <w:pPr>
              <w:pStyle w:val="Tableheadingrow1"/>
              <w:keepLines/>
              <w:jc w:val="right"/>
            </w:pPr>
            <w:r>
              <w:t>2018/19</w:t>
            </w:r>
          </w:p>
        </w:tc>
        <w:tc>
          <w:tcPr>
            <w:tcW w:w="1152" w:type="dxa"/>
          </w:tcPr>
          <w:p w14:paraId="6FF901B2" w14:textId="77777777" w:rsidR="00861E2E" w:rsidRDefault="00861E2E" w:rsidP="00506E02">
            <w:pPr>
              <w:pStyle w:val="Tableheadingrow1"/>
              <w:keepLines/>
              <w:jc w:val="right"/>
            </w:pPr>
            <w:r>
              <w:t>2019/20</w:t>
            </w:r>
          </w:p>
        </w:tc>
      </w:tr>
      <w:tr w:rsidR="00861E2E" w14:paraId="55325131" w14:textId="77777777" w:rsidTr="00861E2E">
        <w:trPr>
          <w:cnfStyle w:val="000000100000" w:firstRow="0" w:lastRow="0" w:firstColumn="0" w:lastColumn="0" w:oddVBand="0" w:evenVBand="0" w:oddHBand="1" w:evenHBand="0" w:firstRowFirstColumn="0" w:firstRowLastColumn="0" w:lastRowFirstColumn="0" w:lastRowLastColumn="0"/>
          <w:trHeight w:val="60"/>
        </w:trPr>
        <w:tc>
          <w:tcPr>
            <w:tcW w:w="3490" w:type="dxa"/>
            <w:shd w:val="clear" w:color="auto" w:fill="BFBFBF"/>
          </w:tcPr>
          <w:p w14:paraId="5BD715F6" w14:textId="77777777" w:rsidR="00861E2E" w:rsidRPr="009E5893" w:rsidRDefault="00861E2E" w:rsidP="00506E02">
            <w:pPr>
              <w:pStyle w:val="Tablebodytextnospaceafter"/>
              <w:keepNext/>
              <w:keepLines/>
              <w:spacing w:before="30" w:after="30"/>
              <w:rPr>
                <w:b/>
              </w:rPr>
            </w:pPr>
            <w:r w:rsidRPr="009E5893">
              <w:rPr>
                <w:b/>
              </w:rPr>
              <w:t>On hand at 1 July</w:t>
            </w:r>
          </w:p>
        </w:tc>
        <w:tc>
          <w:tcPr>
            <w:tcW w:w="1151" w:type="dxa"/>
            <w:shd w:val="clear" w:color="auto" w:fill="BFBFBF"/>
          </w:tcPr>
          <w:p w14:paraId="65727175" w14:textId="77777777" w:rsidR="00861E2E" w:rsidRPr="00F56877" w:rsidRDefault="00861E2E" w:rsidP="00506E02">
            <w:pPr>
              <w:pStyle w:val="Tablebodytextnospaceafter"/>
              <w:keepNext/>
              <w:keepLines/>
              <w:spacing w:before="30" w:after="30"/>
            </w:pPr>
          </w:p>
        </w:tc>
        <w:tc>
          <w:tcPr>
            <w:tcW w:w="1152" w:type="dxa"/>
            <w:shd w:val="clear" w:color="auto" w:fill="BFBFBF"/>
          </w:tcPr>
          <w:p w14:paraId="72776F57" w14:textId="77777777" w:rsidR="00861E2E" w:rsidRPr="00F56877" w:rsidRDefault="00861E2E" w:rsidP="00506E02">
            <w:pPr>
              <w:pStyle w:val="Tablebodytextnospaceafter"/>
              <w:keepNext/>
              <w:keepLines/>
              <w:spacing w:before="30" w:after="30"/>
            </w:pPr>
          </w:p>
        </w:tc>
        <w:tc>
          <w:tcPr>
            <w:tcW w:w="1151" w:type="dxa"/>
            <w:shd w:val="clear" w:color="auto" w:fill="BFBFBF"/>
          </w:tcPr>
          <w:p w14:paraId="6AF754A3" w14:textId="77777777" w:rsidR="00861E2E" w:rsidRPr="00F56877" w:rsidRDefault="00861E2E" w:rsidP="00506E02">
            <w:pPr>
              <w:pStyle w:val="Tablebodytextnospaceafter"/>
              <w:keepNext/>
              <w:keepLines/>
              <w:spacing w:before="30" w:after="30"/>
            </w:pPr>
          </w:p>
        </w:tc>
        <w:tc>
          <w:tcPr>
            <w:tcW w:w="1152" w:type="dxa"/>
            <w:shd w:val="clear" w:color="auto" w:fill="BFBFBF"/>
          </w:tcPr>
          <w:p w14:paraId="2D76F11E" w14:textId="77777777" w:rsidR="00861E2E" w:rsidRPr="00F56877" w:rsidRDefault="00861E2E" w:rsidP="00506E02">
            <w:pPr>
              <w:pStyle w:val="Tablebodytextnospaceafter"/>
              <w:keepNext/>
              <w:keepLines/>
              <w:spacing w:before="30" w:after="30"/>
            </w:pPr>
          </w:p>
        </w:tc>
        <w:tc>
          <w:tcPr>
            <w:tcW w:w="1152" w:type="dxa"/>
            <w:shd w:val="clear" w:color="auto" w:fill="BFBFBF"/>
          </w:tcPr>
          <w:p w14:paraId="470CE823" w14:textId="77777777" w:rsidR="00861E2E" w:rsidRPr="00F56877" w:rsidRDefault="00861E2E" w:rsidP="00506E02">
            <w:pPr>
              <w:pStyle w:val="Tablebodytextnospaceafter"/>
              <w:keepNext/>
              <w:keepLines/>
              <w:spacing w:before="30" w:after="30"/>
            </w:pPr>
          </w:p>
        </w:tc>
      </w:tr>
      <w:tr w:rsidR="00861E2E" w14:paraId="3DE32C10" w14:textId="77777777" w:rsidTr="00861E2E">
        <w:trPr>
          <w:cnfStyle w:val="000000010000" w:firstRow="0" w:lastRow="0" w:firstColumn="0" w:lastColumn="0" w:oddVBand="0" w:evenVBand="0" w:oddHBand="0" w:evenHBand="1" w:firstRowFirstColumn="0" w:firstRowLastColumn="0" w:lastRowFirstColumn="0" w:lastRowLastColumn="0"/>
          <w:trHeight w:val="60"/>
        </w:trPr>
        <w:tc>
          <w:tcPr>
            <w:tcW w:w="3490" w:type="dxa"/>
            <w:tcBorders>
              <w:top w:val="single" w:sz="4" w:space="0" w:color="FFFFFF" w:themeColor="background1"/>
            </w:tcBorders>
          </w:tcPr>
          <w:p w14:paraId="0661B3C6" w14:textId="77777777" w:rsidR="00861E2E" w:rsidRPr="00BE4BB3" w:rsidRDefault="00861E2E" w:rsidP="00506E02">
            <w:pPr>
              <w:pStyle w:val="Tablebodytextnospaceafter"/>
              <w:keepNext/>
              <w:keepLines/>
              <w:spacing w:before="30" w:after="30"/>
            </w:pPr>
            <w:r w:rsidRPr="00BE4BB3">
              <w:t>Ombudsmen Act</w:t>
            </w:r>
          </w:p>
        </w:tc>
        <w:tc>
          <w:tcPr>
            <w:tcW w:w="1151" w:type="dxa"/>
          </w:tcPr>
          <w:p w14:paraId="6D3A66C7" w14:textId="77777777" w:rsidR="00861E2E" w:rsidRPr="00CA1F2C" w:rsidRDefault="00861E2E" w:rsidP="00506E02">
            <w:pPr>
              <w:pStyle w:val="Tablebodytextnospaceafter"/>
              <w:keepNext/>
              <w:keepLines/>
              <w:jc w:val="right"/>
              <w:rPr>
                <w:rStyle w:val="Emphasis"/>
                <w:b w:val="0"/>
                <w:bCs w:val="0"/>
                <w:iCs w:val="0"/>
              </w:rPr>
            </w:pPr>
            <w:r w:rsidRPr="00CA1F2C">
              <w:rPr>
                <w:rStyle w:val="Emphasis"/>
                <w:b w:val="0"/>
                <w:bCs w:val="0"/>
                <w:iCs w:val="0"/>
              </w:rPr>
              <w:t>729</w:t>
            </w:r>
          </w:p>
        </w:tc>
        <w:tc>
          <w:tcPr>
            <w:tcW w:w="1152" w:type="dxa"/>
          </w:tcPr>
          <w:p w14:paraId="7485D4CE" w14:textId="77777777" w:rsidR="00861E2E" w:rsidRPr="00CA1F2C" w:rsidRDefault="00861E2E" w:rsidP="00506E02">
            <w:pPr>
              <w:pStyle w:val="Tablebodytextnospaceafter"/>
              <w:keepNext/>
              <w:keepLines/>
              <w:jc w:val="right"/>
              <w:rPr>
                <w:rStyle w:val="Emphasis"/>
                <w:b w:val="0"/>
                <w:bCs w:val="0"/>
                <w:iCs w:val="0"/>
              </w:rPr>
            </w:pPr>
            <w:r>
              <w:rPr>
                <w:rStyle w:val="Emphasis"/>
                <w:b w:val="0"/>
                <w:bCs w:val="0"/>
                <w:iCs w:val="0"/>
              </w:rPr>
              <w:t>555</w:t>
            </w:r>
          </w:p>
        </w:tc>
        <w:tc>
          <w:tcPr>
            <w:tcW w:w="1151" w:type="dxa"/>
          </w:tcPr>
          <w:p w14:paraId="4D41CE0F" w14:textId="77777777" w:rsidR="00861E2E" w:rsidRDefault="00861E2E" w:rsidP="00506E02">
            <w:pPr>
              <w:pStyle w:val="Tablebodytextnospaceafter"/>
              <w:keepNext/>
              <w:keepLines/>
              <w:jc w:val="right"/>
              <w:rPr>
                <w:rStyle w:val="Emphasis"/>
                <w:b w:val="0"/>
                <w:bCs w:val="0"/>
                <w:iCs w:val="0"/>
              </w:rPr>
            </w:pPr>
            <w:r>
              <w:rPr>
                <w:rStyle w:val="Emphasis"/>
                <w:b w:val="0"/>
                <w:bCs w:val="0"/>
                <w:iCs w:val="0"/>
              </w:rPr>
              <w:t>430</w:t>
            </w:r>
          </w:p>
        </w:tc>
        <w:tc>
          <w:tcPr>
            <w:tcW w:w="1152" w:type="dxa"/>
          </w:tcPr>
          <w:p w14:paraId="708AEC97" w14:textId="77777777" w:rsidR="00861E2E" w:rsidRPr="00943C7C" w:rsidRDefault="00861E2E" w:rsidP="00506E02">
            <w:pPr>
              <w:pStyle w:val="Tablebodytextnospaceafter"/>
              <w:keepNext/>
              <w:keepLines/>
              <w:jc w:val="right"/>
              <w:rPr>
                <w:rStyle w:val="Emphasis"/>
                <w:b w:val="0"/>
                <w:bCs w:val="0"/>
                <w:iCs w:val="0"/>
                <w:highlight w:val="yellow"/>
              </w:rPr>
            </w:pPr>
            <w:r w:rsidRPr="00741359">
              <w:rPr>
                <w:rStyle w:val="Emphasis"/>
                <w:b w:val="0"/>
                <w:bCs w:val="0"/>
                <w:iCs w:val="0"/>
              </w:rPr>
              <w:t>295</w:t>
            </w:r>
          </w:p>
        </w:tc>
        <w:tc>
          <w:tcPr>
            <w:tcW w:w="1152" w:type="dxa"/>
          </w:tcPr>
          <w:p w14:paraId="1CA34036" w14:textId="77777777" w:rsidR="00861E2E" w:rsidRPr="00741359" w:rsidRDefault="000642C8" w:rsidP="00506E02">
            <w:pPr>
              <w:pStyle w:val="Tablebodytextnospaceafter"/>
              <w:keepNext/>
              <w:keepLines/>
              <w:jc w:val="right"/>
              <w:rPr>
                <w:rStyle w:val="Emphasis"/>
                <w:b w:val="0"/>
                <w:bCs w:val="0"/>
                <w:iCs w:val="0"/>
              </w:rPr>
            </w:pPr>
            <w:r>
              <w:rPr>
                <w:rStyle w:val="Emphasis"/>
                <w:b w:val="0"/>
                <w:bCs w:val="0"/>
                <w:iCs w:val="0"/>
              </w:rPr>
              <w:t>382</w:t>
            </w:r>
          </w:p>
        </w:tc>
      </w:tr>
      <w:tr w:rsidR="00861E2E" w14:paraId="64EDB49D" w14:textId="77777777" w:rsidTr="00861E2E">
        <w:trPr>
          <w:cnfStyle w:val="000000100000" w:firstRow="0" w:lastRow="0" w:firstColumn="0" w:lastColumn="0" w:oddVBand="0" w:evenVBand="0" w:oddHBand="1" w:evenHBand="0" w:firstRowFirstColumn="0" w:firstRowLastColumn="0" w:lastRowFirstColumn="0" w:lastRowLastColumn="0"/>
          <w:trHeight w:val="60"/>
        </w:trPr>
        <w:tc>
          <w:tcPr>
            <w:tcW w:w="3490" w:type="dxa"/>
          </w:tcPr>
          <w:p w14:paraId="4F1E307D" w14:textId="77777777" w:rsidR="00861E2E" w:rsidRPr="00BE4BB3" w:rsidRDefault="00861E2E" w:rsidP="00506E02">
            <w:pPr>
              <w:pStyle w:val="Tablebodytextnospaceafter"/>
              <w:keepNext/>
              <w:keepLines/>
              <w:spacing w:before="30" w:after="30"/>
            </w:pPr>
            <w:r w:rsidRPr="00BE4BB3">
              <w:t>Official Information Act</w:t>
            </w:r>
          </w:p>
        </w:tc>
        <w:tc>
          <w:tcPr>
            <w:tcW w:w="1151" w:type="dxa"/>
          </w:tcPr>
          <w:p w14:paraId="5436FA9C" w14:textId="77777777" w:rsidR="00861E2E" w:rsidRPr="00CA1F2C" w:rsidRDefault="00861E2E" w:rsidP="00506E02">
            <w:pPr>
              <w:pStyle w:val="Tablebodytextnospaceafter"/>
              <w:keepNext/>
              <w:keepLines/>
              <w:jc w:val="right"/>
              <w:rPr>
                <w:rStyle w:val="Emphasis"/>
                <w:b w:val="0"/>
                <w:bCs w:val="0"/>
                <w:iCs w:val="0"/>
              </w:rPr>
            </w:pPr>
            <w:r w:rsidRPr="00CA1F2C">
              <w:rPr>
                <w:rStyle w:val="Emphasis"/>
                <w:b w:val="0"/>
                <w:bCs w:val="0"/>
                <w:iCs w:val="0"/>
              </w:rPr>
              <w:t>833</w:t>
            </w:r>
          </w:p>
        </w:tc>
        <w:tc>
          <w:tcPr>
            <w:tcW w:w="1152" w:type="dxa"/>
          </w:tcPr>
          <w:p w14:paraId="5C390C49" w14:textId="77777777" w:rsidR="00861E2E" w:rsidRPr="00CA1F2C" w:rsidRDefault="00861E2E" w:rsidP="00506E02">
            <w:pPr>
              <w:pStyle w:val="Tablebodytextnospaceafter"/>
              <w:keepNext/>
              <w:keepLines/>
              <w:jc w:val="right"/>
              <w:rPr>
                <w:rStyle w:val="Emphasis"/>
                <w:b w:val="0"/>
                <w:bCs w:val="0"/>
                <w:iCs w:val="0"/>
              </w:rPr>
            </w:pPr>
            <w:r>
              <w:rPr>
                <w:rStyle w:val="Emphasis"/>
                <w:b w:val="0"/>
                <w:bCs w:val="0"/>
                <w:iCs w:val="0"/>
              </w:rPr>
              <w:t>856</w:t>
            </w:r>
          </w:p>
        </w:tc>
        <w:tc>
          <w:tcPr>
            <w:tcW w:w="1151" w:type="dxa"/>
          </w:tcPr>
          <w:p w14:paraId="13992FA7" w14:textId="77777777" w:rsidR="00861E2E" w:rsidRDefault="00861E2E" w:rsidP="00506E02">
            <w:pPr>
              <w:pStyle w:val="Tablebodytextnospaceafter"/>
              <w:keepNext/>
              <w:keepLines/>
              <w:jc w:val="right"/>
              <w:rPr>
                <w:rStyle w:val="Emphasis"/>
                <w:b w:val="0"/>
                <w:bCs w:val="0"/>
                <w:iCs w:val="0"/>
              </w:rPr>
            </w:pPr>
            <w:r>
              <w:rPr>
                <w:rStyle w:val="Emphasis"/>
                <w:b w:val="0"/>
                <w:bCs w:val="0"/>
                <w:iCs w:val="0"/>
              </w:rPr>
              <w:t>651</w:t>
            </w:r>
          </w:p>
        </w:tc>
        <w:tc>
          <w:tcPr>
            <w:tcW w:w="1152" w:type="dxa"/>
          </w:tcPr>
          <w:p w14:paraId="76C5D90E" w14:textId="77777777" w:rsidR="00861E2E" w:rsidRPr="00741359" w:rsidRDefault="00861E2E" w:rsidP="00506E02">
            <w:pPr>
              <w:pStyle w:val="Tablebodytextnospaceafter"/>
              <w:keepNext/>
              <w:keepLines/>
              <w:jc w:val="right"/>
              <w:rPr>
                <w:rStyle w:val="Emphasis"/>
                <w:b w:val="0"/>
                <w:bCs w:val="0"/>
                <w:iCs w:val="0"/>
              </w:rPr>
            </w:pPr>
            <w:r w:rsidRPr="00741359">
              <w:rPr>
                <w:rStyle w:val="Emphasis"/>
                <w:b w:val="0"/>
                <w:bCs w:val="0"/>
                <w:iCs w:val="0"/>
              </w:rPr>
              <w:t>429</w:t>
            </w:r>
          </w:p>
        </w:tc>
        <w:tc>
          <w:tcPr>
            <w:tcW w:w="1152" w:type="dxa"/>
          </w:tcPr>
          <w:p w14:paraId="1F24E18E" w14:textId="77777777" w:rsidR="00861E2E" w:rsidRPr="00741359" w:rsidRDefault="002D4AAD" w:rsidP="00506E02">
            <w:pPr>
              <w:pStyle w:val="Tablebodytextnospaceafter"/>
              <w:keepNext/>
              <w:keepLines/>
              <w:jc w:val="right"/>
              <w:rPr>
                <w:rStyle w:val="Emphasis"/>
                <w:b w:val="0"/>
                <w:bCs w:val="0"/>
                <w:iCs w:val="0"/>
              </w:rPr>
            </w:pPr>
            <w:r>
              <w:rPr>
                <w:rStyle w:val="Emphasis"/>
                <w:b w:val="0"/>
                <w:bCs w:val="0"/>
                <w:iCs w:val="0"/>
              </w:rPr>
              <w:t>477</w:t>
            </w:r>
          </w:p>
        </w:tc>
      </w:tr>
      <w:tr w:rsidR="00861E2E" w14:paraId="186C2442" w14:textId="77777777" w:rsidTr="00861E2E">
        <w:trPr>
          <w:cnfStyle w:val="000000010000" w:firstRow="0" w:lastRow="0" w:firstColumn="0" w:lastColumn="0" w:oddVBand="0" w:evenVBand="0" w:oddHBand="0" w:evenHBand="1" w:firstRowFirstColumn="0" w:firstRowLastColumn="0" w:lastRowFirstColumn="0" w:lastRowLastColumn="0"/>
          <w:trHeight w:val="60"/>
        </w:trPr>
        <w:tc>
          <w:tcPr>
            <w:tcW w:w="3490" w:type="dxa"/>
          </w:tcPr>
          <w:p w14:paraId="0E36D570" w14:textId="77777777" w:rsidR="00861E2E" w:rsidRPr="00BE4BB3" w:rsidRDefault="00861E2E" w:rsidP="00506E02">
            <w:pPr>
              <w:pStyle w:val="Tablebodytextnospaceafter"/>
              <w:spacing w:before="30" w:after="30"/>
            </w:pPr>
            <w:r w:rsidRPr="00BE4BB3">
              <w:t>Local Government Official Information and Meetings Act</w:t>
            </w:r>
          </w:p>
        </w:tc>
        <w:tc>
          <w:tcPr>
            <w:tcW w:w="1151" w:type="dxa"/>
          </w:tcPr>
          <w:p w14:paraId="68A6DA77" w14:textId="77777777" w:rsidR="00861E2E" w:rsidRPr="00CA1F2C" w:rsidRDefault="00861E2E" w:rsidP="00506E02">
            <w:pPr>
              <w:pStyle w:val="Tablebodytextnospaceafter"/>
              <w:jc w:val="right"/>
              <w:rPr>
                <w:rStyle w:val="Emphasis"/>
                <w:b w:val="0"/>
                <w:bCs w:val="0"/>
                <w:iCs w:val="0"/>
              </w:rPr>
            </w:pPr>
            <w:r w:rsidRPr="00CA1F2C">
              <w:rPr>
                <w:rStyle w:val="Emphasis"/>
                <w:b w:val="0"/>
                <w:bCs w:val="0"/>
                <w:iCs w:val="0"/>
              </w:rPr>
              <w:t>160</w:t>
            </w:r>
          </w:p>
        </w:tc>
        <w:tc>
          <w:tcPr>
            <w:tcW w:w="1152" w:type="dxa"/>
          </w:tcPr>
          <w:p w14:paraId="6417EA95" w14:textId="77777777" w:rsidR="00861E2E" w:rsidRPr="00CA1F2C" w:rsidRDefault="00861E2E" w:rsidP="00506E02">
            <w:pPr>
              <w:pStyle w:val="Tablebodytextnospaceafter"/>
              <w:jc w:val="right"/>
              <w:rPr>
                <w:rStyle w:val="Emphasis"/>
                <w:b w:val="0"/>
                <w:bCs w:val="0"/>
                <w:iCs w:val="0"/>
              </w:rPr>
            </w:pPr>
            <w:r>
              <w:rPr>
                <w:rStyle w:val="Emphasis"/>
                <w:b w:val="0"/>
                <w:bCs w:val="0"/>
                <w:iCs w:val="0"/>
              </w:rPr>
              <w:t>159</w:t>
            </w:r>
          </w:p>
        </w:tc>
        <w:tc>
          <w:tcPr>
            <w:tcW w:w="1151" w:type="dxa"/>
          </w:tcPr>
          <w:p w14:paraId="048F50CA" w14:textId="77777777" w:rsidR="00861E2E" w:rsidRDefault="00861E2E" w:rsidP="00506E02">
            <w:pPr>
              <w:pStyle w:val="Tablebodytextnospaceafter"/>
              <w:jc w:val="right"/>
              <w:rPr>
                <w:rStyle w:val="Emphasis"/>
                <w:b w:val="0"/>
                <w:bCs w:val="0"/>
                <w:iCs w:val="0"/>
              </w:rPr>
            </w:pPr>
            <w:r>
              <w:rPr>
                <w:rStyle w:val="Emphasis"/>
                <w:b w:val="0"/>
                <w:bCs w:val="0"/>
                <w:iCs w:val="0"/>
              </w:rPr>
              <w:t>144</w:t>
            </w:r>
          </w:p>
        </w:tc>
        <w:tc>
          <w:tcPr>
            <w:tcW w:w="1152" w:type="dxa"/>
          </w:tcPr>
          <w:p w14:paraId="091B1620" w14:textId="77777777" w:rsidR="00861E2E" w:rsidRPr="00741359" w:rsidRDefault="00861E2E" w:rsidP="00506E02">
            <w:pPr>
              <w:pStyle w:val="Tablebodytextnospaceafter"/>
              <w:jc w:val="right"/>
              <w:rPr>
                <w:rStyle w:val="Emphasis"/>
                <w:b w:val="0"/>
                <w:bCs w:val="0"/>
                <w:iCs w:val="0"/>
              </w:rPr>
            </w:pPr>
            <w:r w:rsidRPr="00741359">
              <w:rPr>
                <w:rStyle w:val="Emphasis"/>
                <w:b w:val="0"/>
                <w:bCs w:val="0"/>
                <w:iCs w:val="0"/>
              </w:rPr>
              <w:t>98</w:t>
            </w:r>
          </w:p>
        </w:tc>
        <w:tc>
          <w:tcPr>
            <w:tcW w:w="1152" w:type="dxa"/>
          </w:tcPr>
          <w:p w14:paraId="6F2C7AB3" w14:textId="77777777" w:rsidR="00861E2E" w:rsidRPr="00741359" w:rsidRDefault="002D4AAD" w:rsidP="00506E02">
            <w:pPr>
              <w:pStyle w:val="Tablebodytextnospaceafter"/>
              <w:jc w:val="right"/>
              <w:rPr>
                <w:rStyle w:val="Emphasis"/>
                <w:b w:val="0"/>
                <w:bCs w:val="0"/>
                <w:iCs w:val="0"/>
              </w:rPr>
            </w:pPr>
            <w:r>
              <w:rPr>
                <w:rStyle w:val="Emphasis"/>
                <w:b w:val="0"/>
                <w:bCs w:val="0"/>
                <w:iCs w:val="0"/>
              </w:rPr>
              <w:t>128</w:t>
            </w:r>
          </w:p>
        </w:tc>
      </w:tr>
      <w:tr w:rsidR="00861E2E" w14:paraId="712A288D" w14:textId="77777777" w:rsidTr="00861E2E">
        <w:trPr>
          <w:cnfStyle w:val="000000100000" w:firstRow="0" w:lastRow="0" w:firstColumn="0" w:lastColumn="0" w:oddVBand="0" w:evenVBand="0" w:oddHBand="1" w:evenHBand="0" w:firstRowFirstColumn="0" w:firstRowLastColumn="0" w:lastRowFirstColumn="0" w:lastRowLastColumn="0"/>
          <w:trHeight w:val="60"/>
        </w:trPr>
        <w:tc>
          <w:tcPr>
            <w:tcW w:w="3490" w:type="dxa"/>
          </w:tcPr>
          <w:p w14:paraId="07B7BBF1" w14:textId="77777777" w:rsidR="00861E2E" w:rsidRPr="00BE4BB3" w:rsidRDefault="00861E2E" w:rsidP="00506E02">
            <w:pPr>
              <w:pStyle w:val="Tablebodytextnospaceafter"/>
              <w:spacing w:before="30" w:after="30"/>
            </w:pPr>
            <w:r w:rsidRPr="00BE4BB3">
              <w:t>Protected Disclosures Act</w:t>
            </w:r>
          </w:p>
        </w:tc>
        <w:tc>
          <w:tcPr>
            <w:tcW w:w="1151" w:type="dxa"/>
          </w:tcPr>
          <w:p w14:paraId="2EB1B65D" w14:textId="77777777" w:rsidR="00861E2E" w:rsidRPr="00CA1F2C" w:rsidRDefault="00861E2E" w:rsidP="00506E02">
            <w:pPr>
              <w:pStyle w:val="Tablebodytextnospaceafter"/>
              <w:jc w:val="right"/>
              <w:rPr>
                <w:rStyle w:val="Emphasis"/>
                <w:b w:val="0"/>
                <w:bCs w:val="0"/>
                <w:iCs w:val="0"/>
              </w:rPr>
            </w:pPr>
            <w:r w:rsidRPr="00CA1F2C">
              <w:rPr>
                <w:rStyle w:val="Emphasis"/>
                <w:b w:val="0"/>
                <w:bCs w:val="0"/>
                <w:iCs w:val="0"/>
              </w:rPr>
              <w:t>5</w:t>
            </w:r>
          </w:p>
        </w:tc>
        <w:tc>
          <w:tcPr>
            <w:tcW w:w="1152" w:type="dxa"/>
          </w:tcPr>
          <w:p w14:paraId="72ADCEE5" w14:textId="77777777" w:rsidR="00861E2E" w:rsidRPr="00CA1F2C" w:rsidRDefault="00861E2E" w:rsidP="00506E02">
            <w:pPr>
              <w:pStyle w:val="Tablebodytextnospaceafter"/>
              <w:jc w:val="right"/>
              <w:rPr>
                <w:rStyle w:val="Emphasis"/>
                <w:b w:val="0"/>
                <w:bCs w:val="0"/>
                <w:iCs w:val="0"/>
              </w:rPr>
            </w:pPr>
            <w:r>
              <w:rPr>
                <w:rStyle w:val="Emphasis"/>
                <w:b w:val="0"/>
                <w:bCs w:val="0"/>
                <w:iCs w:val="0"/>
              </w:rPr>
              <w:t>2</w:t>
            </w:r>
          </w:p>
        </w:tc>
        <w:tc>
          <w:tcPr>
            <w:tcW w:w="1151" w:type="dxa"/>
          </w:tcPr>
          <w:p w14:paraId="10E7217A" w14:textId="77777777" w:rsidR="00861E2E" w:rsidRDefault="00861E2E" w:rsidP="00506E02">
            <w:pPr>
              <w:pStyle w:val="Tablebodytextnospaceafter"/>
              <w:jc w:val="right"/>
              <w:rPr>
                <w:rStyle w:val="Emphasis"/>
                <w:b w:val="0"/>
                <w:bCs w:val="0"/>
                <w:iCs w:val="0"/>
              </w:rPr>
            </w:pPr>
            <w:r>
              <w:rPr>
                <w:rStyle w:val="Emphasis"/>
                <w:b w:val="0"/>
                <w:bCs w:val="0"/>
                <w:iCs w:val="0"/>
              </w:rPr>
              <w:t>2</w:t>
            </w:r>
          </w:p>
        </w:tc>
        <w:tc>
          <w:tcPr>
            <w:tcW w:w="1152" w:type="dxa"/>
          </w:tcPr>
          <w:p w14:paraId="0DFC0995" w14:textId="77777777" w:rsidR="00861E2E" w:rsidRPr="00741359" w:rsidRDefault="00861E2E" w:rsidP="00506E02">
            <w:pPr>
              <w:pStyle w:val="Tablebodytextnospaceafter"/>
              <w:jc w:val="right"/>
              <w:rPr>
                <w:rStyle w:val="Emphasis"/>
                <w:b w:val="0"/>
                <w:bCs w:val="0"/>
                <w:iCs w:val="0"/>
              </w:rPr>
            </w:pPr>
            <w:r w:rsidRPr="00741359">
              <w:rPr>
                <w:rStyle w:val="Emphasis"/>
                <w:b w:val="0"/>
                <w:bCs w:val="0"/>
                <w:iCs w:val="0"/>
              </w:rPr>
              <w:t>3</w:t>
            </w:r>
          </w:p>
        </w:tc>
        <w:tc>
          <w:tcPr>
            <w:tcW w:w="1152" w:type="dxa"/>
          </w:tcPr>
          <w:p w14:paraId="19085ED1" w14:textId="77777777" w:rsidR="002D4AAD" w:rsidRPr="00741359" w:rsidRDefault="002D4AAD" w:rsidP="002D4AAD">
            <w:pPr>
              <w:pStyle w:val="Tablebodytextnospaceafter"/>
              <w:jc w:val="right"/>
              <w:rPr>
                <w:rStyle w:val="Emphasis"/>
                <w:b w:val="0"/>
                <w:bCs w:val="0"/>
                <w:iCs w:val="0"/>
              </w:rPr>
            </w:pPr>
            <w:r>
              <w:rPr>
                <w:rStyle w:val="Emphasis"/>
                <w:b w:val="0"/>
                <w:bCs w:val="0"/>
                <w:iCs w:val="0"/>
              </w:rPr>
              <w:t>1</w:t>
            </w:r>
          </w:p>
        </w:tc>
      </w:tr>
      <w:tr w:rsidR="00861E2E" w14:paraId="3A97B226" w14:textId="77777777" w:rsidTr="00861E2E">
        <w:trPr>
          <w:cnfStyle w:val="000000010000" w:firstRow="0" w:lastRow="0" w:firstColumn="0" w:lastColumn="0" w:oddVBand="0" w:evenVBand="0" w:oddHBand="0" w:evenHBand="1" w:firstRowFirstColumn="0" w:firstRowLastColumn="0" w:lastRowFirstColumn="0" w:lastRowLastColumn="0"/>
          <w:trHeight w:val="60"/>
        </w:trPr>
        <w:tc>
          <w:tcPr>
            <w:tcW w:w="3490" w:type="dxa"/>
          </w:tcPr>
          <w:p w14:paraId="7962A500" w14:textId="77777777" w:rsidR="00861E2E" w:rsidRPr="00BE4BB3" w:rsidRDefault="00861E2E" w:rsidP="00506E02">
            <w:pPr>
              <w:pStyle w:val="Tablebodytextnospaceafter"/>
              <w:spacing w:before="30" w:after="30"/>
            </w:pPr>
            <w:r w:rsidRPr="00BE4BB3">
              <w:t xml:space="preserve">Other </w:t>
            </w:r>
            <w:r>
              <w:t>c</w:t>
            </w:r>
            <w:r w:rsidRPr="00BE4BB3">
              <w:t>ontacts</w:t>
            </w:r>
          </w:p>
        </w:tc>
        <w:tc>
          <w:tcPr>
            <w:tcW w:w="1151" w:type="dxa"/>
          </w:tcPr>
          <w:p w14:paraId="5860F3E6" w14:textId="77777777" w:rsidR="00861E2E" w:rsidRPr="00CA1F2C" w:rsidRDefault="00861E2E" w:rsidP="00506E02">
            <w:pPr>
              <w:pStyle w:val="Tablebodytextnospaceafter"/>
              <w:jc w:val="right"/>
              <w:rPr>
                <w:rStyle w:val="Emphasis"/>
                <w:b w:val="0"/>
                <w:bCs w:val="0"/>
                <w:iCs w:val="0"/>
              </w:rPr>
            </w:pPr>
            <w:r w:rsidRPr="00CA1F2C">
              <w:rPr>
                <w:rStyle w:val="Emphasis"/>
                <w:b w:val="0"/>
                <w:bCs w:val="0"/>
                <w:iCs w:val="0"/>
              </w:rPr>
              <w:t>34</w:t>
            </w:r>
          </w:p>
        </w:tc>
        <w:tc>
          <w:tcPr>
            <w:tcW w:w="1152" w:type="dxa"/>
          </w:tcPr>
          <w:p w14:paraId="1A79A4FC" w14:textId="77777777" w:rsidR="00861E2E" w:rsidRPr="00CA1F2C" w:rsidRDefault="00861E2E" w:rsidP="00506E02">
            <w:pPr>
              <w:pStyle w:val="Tablebodytextnospaceafter"/>
              <w:jc w:val="right"/>
              <w:rPr>
                <w:rStyle w:val="Emphasis"/>
                <w:b w:val="0"/>
                <w:bCs w:val="0"/>
                <w:iCs w:val="0"/>
              </w:rPr>
            </w:pPr>
            <w:r>
              <w:rPr>
                <w:rStyle w:val="Emphasis"/>
                <w:b w:val="0"/>
                <w:bCs w:val="0"/>
                <w:iCs w:val="0"/>
              </w:rPr>
              <w:t>15</w:t>
            </w:r>
          </w:p>
        </w:tc>
        <w:tc>
          <w:tcPr>
            <w:tcW w:w="1151" w:type="dxa"/>
          </w:tcPr>
          <w:p w14:paraId="47BB16A3" w14:textId="77777777" w:rsidR="00861E2E" w:rsidRDefault="00861E2E" w:rsidP="00506E02">
            <w:pPr>
              <w:pStyle w:val="Tablebodytextnospaceafter"/>
              <w:jc w:val="right"/>
              <w:rPr>
                <w:rStyle w:val="Emphasis"/>
                <w:b w:val="0"/>
                <w:bCs w:val="0"/>
                <w:iCs w:val="0"/>
              </w:rPr>
            </w:pPr>
            <w:r>
              <w:rPr>
                <w:rStyle w:val="Emphasis"/>
                <w:b w:val="0"/>
                <w:bCs w:val="0"/>
                <w:iCs w:val="0"/>
              </w:rPr>
              <w:t>42</w:t>
            </w:r>
          </w:p>
        </w:tc>
        <w:tc>
          <w:tcPr>
            <w:tcW w:w="1152" w:type="dxa"/>
          </w:tcPr>
          <w:p w14:paraId="6F6042CE" w14:textId="77777777" w:rsidR="00861E2E" w:rsidRPr="00741359" w:rsidRDefault="00861E2E" w:rsidP="00506E02">
            <w:pPr>
              <w:pStyle w:val="Tablebodytextnospaceafter"/>
              <w:jc w:val="right"/>
              <w:rPr>
                <w:rStyle w:val="Emphasis"/>
                <w:b w:val="0"/>
                <w:bCs w:val="0"/>
                <w:iCs w:val="0"/>
              </w:rPr>
            </w:pPr>
            <w:r w:rsidRPr="00741359">
              <w:rPr>
                <w:rStyle w:val="Emphasis"/>
                <w:b w:val="0"/>
                <w:bCs w:val="0"/>
                <w:iCs w:val="0"/>
              </w:rPr>
              <w:t>43</w:t>
            </w:r>
          </w:p>
        </w:tc>
        <w:tc>
          <w:tcPr>
            <w:tcW w:w="1152" w:type="dxa"/>
          </w:tcPr>
          <w:p w14:paraId="5AEFBFA3" w14:textId="77777777" w:rsidR="00861E2E" w:rsidRPr="00741359" w:rsidRDefault="002D4AAD" w:rsidP="00506E02">
            <w:pPr>
              <w:pStyle w:val="Tablebodytextnospaceafter"/>
              <w:jc w:val="right"/>
              <w:rPr>
                <w:rStyle w:val="Emphasis"/>
                <w:b w:val="0"/>
                <w:bCs w:val="0"/>
                <w:iCs w:val="0"/>
              </w:rPr>
            </w:pPr>
            <w:r>
              <w:rPr>
                <w:rStyle w:val="Emphasis"/>
                <w:b w:val="0"/>
                <w:bCs w:val="0"/>
                <w:iCs w:val="0"/>
              </w:rPr>
              <w:t>21</w:t>
            </w:r>
          </w:p>
        </w:tc>
      </w:tr>
      <w:tr w:rsidR="00861E2E" w14:paraId="6578663F" w14:textId="77777777" w:rsidTr="00861E2E">
        <w:trPr>
          <w:cnfStyle w:val="000000100000" w:firstRow="0" w:lastRow="0" w:firstColumn="0" w:lastColumn="0" w:oddVBand="0" w:evenVBand="0" w:oddHBand="1" w:evenHBand="0" w:firstRowFirstColumn="0" w:firstRowLastColumn="0" w:lastRowFirstColumn="0" w:lastRowLastColumn="0"/>
          <w:trHeight w:val="60"/>
        </w:trPr>
        <w:tc>
          <w:tcPr>
            <w:tcW w:w="3490" w:type="dxa"/>
          </w:tcPr>
          <w:p w14:paraId="689A1ECA" w14:textId="77777777" w:rsidR="00861E2E" w:rsidRPr="00BE4BB3" w:rsidRDefault="00861E2E" w:rsidP="00506E02">
            <w:pPr>
              <w:pStyle w:val="Tablebodytextnospaceafter"/>
              <w:spacing w:before="30" w:after="30"/>
            </w:pPr>
            <w:r w:rsidRPr="00BE4BB3">
              <w:t xml:space="preserve">Other work </w:t>
            </w:r>
          </w:p>
        </w:tc>
        <w:tc>
          <w:tcPr>
            <w:tcW w:w="1151" w:type="dxa"/>
          </w:tcPr>
          <w:p w14:paraId="7B9C140E" w14:textId="77777777" w:rsidR="00861E2E" w:rsidRPr="00CA1F2C" w:rsidRDefault="00861E2E" w:rsidP="00506E02">
            <w:pPr>
              <w:pStyle w:val="Tablebodytextnospaceafter"/>
              <w:jc w:val="right"/>
              <w:rPr>
                <w:rStyle w:val="Emphasis"/>
                <w:b w:val="0"/>
                <w:bCs w:val="0"/>
                <w:iCs w:val="0"/>
              </w:rPr>
            </w:pPr>
            <w:r>
              <w:rPr>
                <w:rStyle w:val="Emphasis"/>
                <w:b w:val="0"/>
                <w:bCs w:val="0"/>
                <w:iCs w:val="0"/>
              </w:rPr>
              <w:t>21</w:t>
            </w:r>
          </w:p>
        </w:tc>
        <w:tc>
          <w:tcPr>
            <w:tcW w:w="1152" w:type="dxa"/>
          </w:tcPr>
          <w:p w14:paraId="2DBA53C6" w14:textId="77777777" w:rsidR="00861E2E" w:rsidRPr="00CA1F2C" w:rsidRDefault="00861E2E" w:rsidP="00506E02">
            <w:pPr>
              <w:pStyle w:val="Tablebodytextnospaceafter"/>
              <w:jc w:val="right"/>
              <w:rPr>
                <w:rStyle w:val="Emphasis"/>
                <w:b w:val="0"/>
                <w:bCs w:val="0"/>
                <w:iCs w:val="0"/>
              </w:rPr>
            </w:pPr>
            <w:r>
              <w:rPr>
                <w:rStyle w:val="Emphasis"/>
                <w:b w:val="0"/>
                <w:bCs w:val="0"/>
                <w:iCs w:val="0"/>
              </w:rPr>
              <w:t>48</w:t>
            </w:r>
          </w:p>
        </w:tc>
        <w:tc>
          <w:tcPr>
            <w:tcW w:w="1151" w:type="dxa"/>
          </w:tcPr>
          <w:p w14:paraId="602CA1FA" w14:textId="77777777" w:rsidR="00861E2E" w:rsidRDefault="00861E2E" w:rsidP="00506E02">
            <w:pPr>
              <w:pStyle w:val="Tablebodytextnospaceafter"/>
              <w:jc w:val="right"/>
              <w:rPr>
                <w:rStyle w:val="Emphasis"/>
                <w:b w:val="0"/>
                <w:bCs w:val="0"/>
                <w:iCs w:val="0"/>
              </w:rPr>
            </w:pPr>
            <w:r>
              <w:rPr>
                <w:rStyle w:val="Emphasis"/>
                <w:b w:val="0"/>
                <w:bCs w:val="0"/>
                <w:iCs w:val="0"/>
              </w:rPr>
              <w:t>33</w:t>
            </w:r>
          </w:p>
        </w:tc>
        <w:tc>
          <w:tcPr>
            <w:tcW w:w="1152" w:type="dxa"/>
          </w:tcPr>
          <w:p w14:paraId="2B4EE5DD" w14:textId="77777777" w:rsidR="00861E2E" w:rsidRPr="00741359" w:rsidRDefault="00861E2E" w:rsidP="00506E02">
            <w:pPr>
              <w:pStyle w:val="Tablebodytextnospaceafter"/>
              <w:jc w:val="right"/>
              <w:rPr>
                <w:rStyle w:val="Emphasis"/>
                <w:b w:val="0"/>
                <w:bCs w:val="0"/>
                <w:iCs w:val="0"/>
              </w:rPr>
            </w:pPr>
            <w:r w:rsidRPr="00741359">
              <w:rPr>
                <w:rStyle w:val="Emphasis"/>
                <w:b w:val="0"/>
                <w:bCs w:val="0"/>
                <w:iCs w:val="0"/>
              </w:rPr>
              <w:t>38</w:t>
            </w:r>
          </w:p>
        </w:tc>
        <w:tc>
          <w:tcPr>
            <w:tcW w:w="1152" w:type="dxa"/>
          </w:tcPr>
          <w:p w14:paraId="0CD5144C" w14:textId="77777777" w:rsidR="00861E2E" w:rsidRPr="00741359" w:rsidRDefault="000642C8" w:rsidP="00506E02">
            <w:pPr>
              <w:pStyle w:val="Tablebodytextnospaceafter"/>
              <w:jc w:val="right"/>
              <w:rPr>
                <w:rStyle w:val="Emphasis"/>
                <w:b w:val="0"/>
                <w:bCs w:val="0"/>
                <w:iCs w:val="0"/>
              </w:rPr>
            </w:pPr>
            <w:r>
              <w:rPr>
                <w:rStyle w:val="Emphasis"/>
                <w:b w:val="0"/>
                <w:bCs w:val="0"/>
                <w:iCs w:val="0"/>
              </w:rPr>
              <w:t>41</w:t>
            </w:r>
          </w:p>
        </w:tc>
      </w:tr>
      <w:tr w:rsidR="00861E2E" w14:paraId="155765F5" w14:textId="77777777" w:rsidTr="00861E2E">
        <w:trPr>
          <w:cnfStyle w:val="000000010000" w:firstRow="0" w:lastRow="0" w:firstColumn="0" w:lastColumn="0" w:oddVBand="0" w:evenVBand="0" w:oddHBand="0" w:evenHBand="1" w:firstRowFirstColumn="0" w:firstRowLastColumn="0" w:lastRowFirstColumn="0" w:lastRowLastColumn="0"/>
          <w:trHeight w:val="60"/>
        </w:trPr>
        <w:tc>
          <w:tcPr>
            <w:tcW w:w="3490" w:type="dxa"/>
            <w:tcBorders>
              <w:bottom w:val="single" w:sz="4" w:space="0" w:color="FFFFFF" w:themeColor="background1"/>
            </w:tcBorders>
          </w:tcPr>
          <w:p w14:paraId="56F77965" w14:textId="77777777" w:rsidR="00861E2E" w:rsidRPr="00C912F8" w:rsidRDefault="00861E2E" w:rsidP="00506E02">
            <w:pPr>
              <w:pStyle w:val="Tablebodytextnospaceafter"/>
              <w:spacing w:before="30" w:after="30"/>
              <w:rPr>
                <w:rStyle w:val="Emphasis"/>
              </w:rPr>
            </w:pPr>
            <w:r w:rsidRPr="00C912F8">
              <w:rPr>
                <w:rStyle w:val="Emphasis"/>
              </w:rPr>
              <w:t>Total</w:t>
            </w:r>
          </w:p>
        </w:tc>
        <w:tc>
          <w:tcPr>
            <w:tcW w:w="1151" w:type="dxa"/>
            <w:tcBorders>
              <w:bottom w:val="single" w:sz="4" w:space="0" w:color="FFFFFF" w:themeColor="background1"/>
            </w:tcBorders>
          </w:tcPr>
          <w:p w14:paraId="6EF8F0DB" w14:textId="77777777" w:rsidR="00861E2E" w:rsidRPr="00C912F8" w:rsidRDefault="00861E2E" w:rsidP="00506E02">
            <w:pPr>
              <w:pStyle w:val="Tablebodytextnospaceafter"/>
              <w:jc w:val="right"/>
              <w:rPr>
                <w:rStyle w:val="Emphasis"/>
              </w:rPr>
            </w:pPr>
            <w:r w:rsidRPr="00C912F8">
              <w:rPr>
                <w:rStyle w:val="Emphasis"/>
              </w:rPr>
              <w:t>1,782</w:t>
            </w:r>
          </w:p>
        </w:tc>
        <w:tc>
          <w:tcPr>
            <w:tcW w:w="1152" w:type="dxa"/>
          </w:tcPr>
          <w:p w14:paraId="5F3CE13E" w14:textId="77777777" w:rsidR="00861E2E" w:rsidRPr="00C912F8" w:rsidRDefault="00861E2E" w:rsidP="00506E02">
            <w:pPr>
              <w:pStyle w:val="Tablebodytextnospaceafter"/>
              <w:jc w:val="right"/>
              <w:rPr>
                <w:rStyle w:val="Emphasis"/>
              </w:rPr>
            </w:pPr>
            <w:r w:rsidRPr="00C912F8">
              <w:rPr>
                <w:rStyle w:val="Emphasis"/>
              </w:rPr>
              <w:t>1,635</w:t>
            </w:r>
          </w:p>
        </w:tc>
        <w:tc>
          <w:tcPr>
            <w:tcW w:w="1151" w:type="dxa"/>
          </w:tcPr>
          <w:p w14:paraId="3D99DFB7" w14:textId="77777777" w:rsidR="00861E2E" w:rsidRPr="00C912F8" w:rsidRDefault="00861E2E" w:rsidP="00506E02">
            <w:pPr>
              <w:pStyle w:val="Tablebodytextnospaceafter"/>
              <w:jc w:val="right"/>
              <w:rPr>
                <w:rStyle w:val="Emphasis"/>
              </w:rPr>
            </w:pPr>
            <w:r>
              <w:rPr>
                <w:rStyle w:val="Emphasis"/>
              </w:rPr>
              <w:t>1,302</w:t>
            </w:r>
          </w:p>
        </w:tc>
        <w:tc>
          <w:tcPr>
            <w:tcW w:w="1152" w:type="dxa"/>
          </w:tcPr>
          <w:p w14:paraId="5328414D" w14:textId="77777777" w:rsidR="00861E2E" w:rsidRDefault="00861E2E" w:rsidP="00506E02">
            <w:pPr>
              <w:pStyle w:val="Tablebodytextnospaceafter"/>
              <w:jc w:val="right"/>
              <w:rPr>
                <w:rStyle w:val="Emphasis"/>
              </w:rPr>
            </w:pPr>
            <w:r>
              <w:rPr>
                <w:rStyle w:val="Emphasis"/>
              </w:rPr>
              <w:t>906</w:t>
            </w:r>
          </w:p>
        </w:tc>
        <w:tc>
          <w:tcPr>
            <w:tcW w:w="1152" w:type="dxa"/>
          </w:tcPr>
          <w:p w14:paraId="4A5E0E4C" w14:textId="77777777" w:rsidR="00861E2E" w:rsidRDefault="002D4AAD" w:rsidP="00506E02">
            <w:pPr>
              <w:pStyle w:val="Tablebodytextnospaceafter"/>
              <w:jc w:val="right"/>
              <w:rPr>
                <w:rStyle w:val="Emphasis"/>
              </w:rPr>
            </w:pPr>
            <w:r>
              <w:rPr>
                <w:rStyle w:val="Emphasis"/>
              </w:rPr>
              <w:t>1,050</w:t>
            </w:r>
          </w:p>
        </w:tc>
      </w:tr>
      <w:tr w:rsidR="00861E2E" w14:paraId="20C6AB0D" w14:textId="77777777" w:rsidTr="00861E2E">
        <w:trPr>
          <w:cnfStyle w:val="000000100000" w:firstRow="0" w:lastRow="0" w:firstColumn="0" w:lastColumn="0" w:oddVBand="0" w:evenVBand="0" w:oddHBand="1" w:evenHBand="0" w:firstRowFirstColumn="0" w:firstRowLastColumn="0" w:lastRowFirstColumn="0" w:lastRowLastColumn="0"/>
          <w:trHeight w:val="60"/>
        </w:trPr>
        <w:tc>
          <w:tcPr>
            <w:tcW w:w="3490" w:type="dxa"/>
            <w:tcBorders>
              <w:top w:val="single" w:sz="4" w:space="0" w:color="FFFFFF" w:themeColor="background1"/>
            </w:tcBorders>
            <w:shd w:val="clear" w:color="auto" w:fill="BFBFBF"/>
          </w:tcPr>
          <w:p w14:paraId="54EF3481" w14:textId="77777777" w:rsidR="00861E2E" w:rsidRPr="009E5893" w:rsidRDefault="00861E2E" w:rsidP="00506E02">
            <w:pPr>
              <w:pStyle w:val="Tablebodytextnospaceafter"/>
              <w:spacing w:before="30" w:after="30"/>
              <w:rPr>
                <w:b/>
              </w:rPr>
            </w:pPr>
            <w:r w:rsidRPr="009E5893">
              <w:rPr>
                <w:b/>
              </w:rPr>
              <w:t>Received during the year</w:t>
            </w:r>
          </w:p>
        </w:tc>
        <w:tc>
          <w:tcPr>
            <w:tcW w:w="1151" w:type="dxa"/>
            <w:tcBorders>
              <w:top w:val="single" w:sz="4" w:space="0" w:color="FFFFFF" w:themeColor="background1"/>
            </w:tcBorders>
            <w:shd w:val="clear" w:color="auto" w:fill="BFBFBF"/>
          </w:tcPr>
          <w:p w14:paraId="77BE2428" w14:textId="77777777" w:rsidR="00861E2E" w:rsidRPr="00BE4BB3" w:rsidRDefault="00861E2E" w:rsidP="00506E02">
            <w:pPr>
              <w:pStyle w:val="Tablebodytextnospaceafter"/>
              <w:spacing w:before="30" w:after="30"/>
            </w:pPr>
          </w:p>
        </w:tc>
        <w:tc>
          <w:tcPr>
            <w:tcW w:w="1152" w:type="dxa"/>
            <w:tcBorders>
              <w:top w:val="single" w:sz="4" w:space="0" w:color="FFFFFF" w:themeColor="background1"/>
            </w:tcBorders>
            <w:shd w:val="clear" w:color="auto" w:fill="BFBFBF"/>
          </w:tcPr>
          <w:p w14:paraId="547E16EE" w14:textId="77777777" w:rsidR="00861E2E" w:rsidRPr="00BE4BB3" w:rsidRDefault="00861E2E" w:rsidP="00506E02">
            <w:pPr>
              <w:pStyle w:val="Tablebodytextnospaceafter"/>
              <w:spacing w:before="30" w:after="30"/>
            </w:pPr>
          </w:p>
        </w:tc>
        <w:tc>
          <w:tcPr>
            <w:tcW w:w="1151" w:type="dxa"/>
            <w:tcBorders>
              <w:top w:val="single" w:sz="4" w:space="0" w:color="FFFFFF" w:themeColor="background1"/>
            </w:tcBorders>
            <w:shd w:val="clear" w:color="auto" w:fill="BFBFBF"/>
          </w:tcPr>
          <w:p w14:paraId="044280CE" w14:textId="77777777" w:rsidR="00861E2E" w:rsidRPr="00BE4BB3" w:rsidRDefault="00861E2E" w:rsidP="00506E02">
            <w:pPr>
              <w:pStyle w:val="Tablebodytextnospaceafter"/>
              <w:spacing w:before="30" w:after="30"/>
            </w:pPr>
          </w:p>
        </w:tc>
        <w:tc>
          <w:tcPr>
            <w:tcW w:w="1152" w:type="dxa"/>
            <w:tcBorders>
              <w:top w:val="single" w:sz="4" w:space="0" w:color="FFFFFF" w:themeColor="background1"/>
            </w:tcBorders>
            <w:shd w:val="clear" w:color="auto" w:fill="BFBFBF"/>
          </w:tcPr>
          <w:p w14:paraId="0654183C" w14:textId="77777777" w:rsidR="00861E2E" w:rsidRPr="00BE4BB3" w:rsidRDefault="00861E2E" w:rsidP="00506E02">
            <w:pPr>
              <w:pStyle w:val="Tablebodytextnospaceafter"/>
              <w:spacing w:before="30" w:after="30"/>
            </w:pPr>
          </w:p>
        </w:tc>
        <w:tc>
          <w:tcPr>
            <w:tcW w:w="1152" w:type="dxa"/>
            <w:tcBorders>
              <w:top w:val="single" w:sz="4" w:space="0" w:color="FFFFFF" w:themeColor="background1"/>
            </w:tcBorders>
            <w:shd w:val="clear" w:color="auto" w:fill="BFBFBF"/>
          </w:tcPr>
          <w:p w14:paraId="63326E84" w14:textId="77777777" w:rsidR="00861E2E" w:rsidRPr="00BE4BB3" w:rsidRDefault="00861E2E" w:rsidP="00506E02">
            <w:pPr>
              <w:pStyle w:val="Tablebodytextnospaceafter"/>
              <w:spacing w:before="30" w:after="30"/>
            </w:pPr>
          </w:p>
        </w:tc>
      </w:tr>
      <w:tr w:rsidR="00861E2E" w14:paraId="5092665B" w14:textId="77777777" w:rsidTr="00861E2E">
        <w:trPr>
          <w:cnfStyle w:val="000000010000" w:firstRow="0" w:lastRow="0" w:firstColumn="0" w:lastColumn="0" w:oddVBand="0" w:evenVBand="0" w:oddHBand="0" w:evenHBand="1" w:firstRowFirstColumn="0" w:firstRowLastColumn="0" w:lastRowFirstColumn="0" w:lastRowLastColumn="0"/>
          <w:trHeight w:val="60"/>
        </w:trPr>
        <w:tc>
          <w:tcPr>
            <w:tcW w:w="3490" w:type="dxa"/>
            <w:tcBorders>
              <w:bottom w:val="single" w:sz="4" w:space="0" w:color="FFFFFF" w:themeColor="background1"/>
            </w:tcBorders>
          </w:tcPr>
          <w:p w14:paraId="009CD72F" w14:textId="77777777" w:rsidR="00861E2E" w:rsidRPr="00BE4BB3" w:rsidRDefault="00861E2E" w:rsidP="00506E02">
            <w:pPr>
              <w:pStyle w:val="Tablebodytextnospaceafter"/>
              <w:spacing w:before="30" w:after="30"/>
            </w:pPr>
            <w:r w:rsidRPr="00BE4BB3">
              <w:t>Ombudsmen Act</w:t>
            </w:r>
          </w:p>
        </w:tc>
        <w:tc>
          <w:tcPr>
            <w:tcW w:w="1151" w:type="dxa"/>
          </w:tcPr>
          <w:p w14:paraId="1BF7E82A" w14:textId="77777777" w:rsidR="00861E2E" w:rsidRPr="00CA1F2C" w:rsidRDefault="00861E2E" w:rsidP="00506E02">
            <w:pPr>
              <w:pStyle w:val="Tablebodytextnospaceafter"/>
              <w:spacing w:before="30" w:after="30"/>
              <w:jc w:val="right"/>
            </w:pPr>
            <w:r w:rsidRPr="00CA1F2C">
              <w:t>2,054</w:t>
            </w:r>
          </w:p>
        </w:tc>
        <w:tc>
          <w:tcPr>
            <w:tcW w:w="1152" w:type="dxa"/>
          </w:tcPr>
          <w:p w14:paraId="10924EAE" w14:textId="77777777" w:rsidR="00861E2E" w:rsidRPr="00CA1F2C" w:rsidRDefault="00861E2E" w:rsidP="00506E02">
            <w:pPr>
              <w:pStyle w:val="Tablebodytextnospaceafter"/>
              <w:spacing w:before="30" w:after="30"/>
              <w:jc w:val="right"/>
            </w:pPr>
            <w:r>
              <w:t>2,191</w:t>
            </w:r>
          </w:p>
        </w:tc>
        <w:tc>
          <w:tcPr>
            <w:tcW w:w="1151" w:type="dxa"/>
          </w:tcPr>
          <w:p w14:paraId="57E129C3" w14:textId="77777777" w:rsidR="00861E2E" w:rsidRDefault="00861E2E" w:rsidP="00506E02">
            <w:pPr>
              <w:pStyle w:val="Tablebodytextnospaceafter"/>
              <w:spacing w:before="30" w:after="30"/>
              <w:jc w:val="right"/>
            </w:pPr>
            <w:r>
              <w:t>2,263</w:t>
            </w:r>
          </w:p>
        </w:tc>
        <w:tc>
          <w:tcPr>
            <w:tcW w:w="1152" w:type="dxa"/>
          </w:tcPr>
          <w:p w14:paraId="740BF70A" w14:textId="77777777" w:rsidR="00861E2E" w:rsidRDefault="00861E2E" w:rsidP="00506E02">
            <w:pPr>
              <w:pStyle w:val="Tablebodytextnospaceafter"/>
              <w:spacing w:before="30" w:after="30"/>
              <w:jc w:val="right"/>
            </w:pPr>
            <w:r>
              <w:t>2,413</w:t>
            </w:r>
          </w:p>
        </w:tc>
        <w:tc>
          <w:tcPr>
            <w:tcW w:w="1152" w:type="dxa"/>
          </w:tcPr>
          <w:p w14:paraId="0A113106" w14:textId="77777777" w:rsidR="00861E2E" w:rsidRDefault="002D4AAD" w:rsidP="008A6446">
            <w:pPr>
              <w:pStyle w:val="Tablebodytextnospaceafter"/>
              <w:spacing w:before="30" w:after="30"/>
              <w:jc w:val="right"/>
            </w:pPr>
            <w:r>
              <w:t>2,</w:t>
            </w:r>
            <w:r w:rsidR="008A6446">
              <w:t>811</w:t>
            </w:r>
          </w:p>
        </w:tc>
      </w:tr>
      <w:tr w:rsidR="00861E2E" w14:paraId="3361BD7F" w14:textId="77777777" w:rsidTr="002D4AAD">
        <w:trPr>
          <w:cnfStyle w:val="000000100000" w:firstRow="0" w:lastRow="0" w:firstColumn="0" w:lastColumn="0" w:oddVBand="0" w:evenVBand="0" w:oddHBand="1" w:evenHBand="0" w:firstRowFirstColumn="0" w:firstRowLastColumn="0" w:lastRowFirstColumn="0" w:lastRowLastColumn="0"/>
          <w:trHeight w:val="60"/>
        </w:trPr>
        <w:tc>
          <w:tcPr>
            <w:tcW w:w="3490" w:type="dxa"/>
            <w:tcBorders>
              <w:top w:val="single" w:sz="4" w:space="0" w:color="FFFFFF" w:themeColor="background1"/>
              <w:bottom w:val="single" w:sz="4" w:space="0" w:color="FFFFFF" w:themeColor="background1"/>
            </w:tcBorders>
          </w:tcPr>
          <w:p w14:paraId="1B6D8D39" w14:textId="77777777" w:rsidR="00861E2E" w:rsidRPr="00BE4BB3" w:rsidRDefault="00861E2E" w:rsidP="00506E02">
            <w:pPr>
              <w:pStyle w:val="Tablebodytextnospaceafter"/>
              <w:spacing w:before="30" w:after="30"/>
            </w:pPr>
            <w:r w:rsidRPr="00BE4BB3">
              <w:t>Official Information Act</w:t>
            </w:r>
          </w:p>
        </w:tc>
        <w:tc>
          <w:tcPr>
            <w:tcW w:w="1151" w:type="dxa"/>
          </w:tcPr>
          <w:p w14:paraId="54CF8737" w14:textId="77777777" w:rsidR="00861E2E" w:rsidRPr="00CA1F2C" w:rsidRDefault="00861E2E" w:rsidP="00506E02">
            <w:pPr>
              <w:pStyle w:val="Tablebodytextnospaceafter"/>
              <w:spacing w:before="30" w:after="30"/>
              <w:jc w:val="right"/>
            </w:pPr>
            <w:r w:rsidRPr="00CA1F2C">
              <w:t>1,100</w:t>
            </w:r>
          </w:p>
        </w:tc>
        <w:tc>
          <w:tcPr>
            <w:tcW w:w="1152" w:type="dxa"/>
          </w:tcPr>
          <w:p w14:paraId="38833C12" w14:textId="77777777" w:rsidR="00861E2E" w:rsidRPr="00CA1F2C" w:rsidRDefault="00861E2E" w:rsidP="00506E02">
            <w:pPr>
              <w:pStyle w:val="Tablebodytextnospaceafter"/>
              <w:spacing w:before="30" w:after="30"/>
              <w:jc w:val="right"/>
            </w:pPr>
            <w:r>
              <w:t>1,174</w:t>
            </w:r>
          </w:p>
        </w:tc>
        <w:tc>
          <w:tcPr>
            <w:tcW w:w="1151" w:type="dxa"/>
          </w:tcPr>
          <w:p w14:paraId="1DA45861" w14:textId="77777777" w:rsidR="00861E2E" w:rsidRDefault="00861E2E" w:rsidP="00506E02">
            <w:pPr>
              <w:pStyle w:val="Tablebodytextnospaceafter"/>
              <w:spacing w:before="30" w:after="30"/>
              <w:jc w:val="right"/>
            </w:pPr>
            <w:r>
              <w:t>1,378</w:t>
            </w:r>
          </w:p>
        </w:tc>
        <w:tc>
          <w:tcPr>
            <w:tcW w:w="1152" w:type="dxa"/>
          </w:tcPr>
          <w:p w14:paraId="44DF52E9" w14:textId="77777777" w:rsidR="00861E2E" w:rsidRDefault="00861E2E" w:rsidP="00506E02">
            <w:pPr>
              <w:pStyle w:val="Tablebodytextnospaceafter"/>
              <w:spacing w:before="30" w:after="30"/>
              <w:jc w:val="right"/>
            </w:pPr>
            <w:r>
              <w:t>1,901</w:t>
            </w:r>
          </w:p>
        </w:tc>
        <w:tc>
          <w:tcPr>
            <w:tcW w:w="1152" w:type="dxa"/>
          </w:tcPr>
          <w:p w14:paraId="467C8E09" w14:textId="77777777" w:rsidR="00861E2E" w:rsidRDefault="002D4AAD" w:rsidP="002D4AAD">
            <w:pPr>
              <w:pStyle w:val="Tablebodytextnospaceafter"/>
              <w:spacing w:before="30" w:after="30"/>
              <w:jc w:val="right"/>
            </w:pPr>
            <w:r>
              <w:t>1,329</w:t>
            </w:r>
          </w:p>
        </w:tc>
      </w:tr>
      <w:tr w:rsidR="00861E2E" w14:paraId="55879D9F" w14:textId="77777777" w:rsidTr="00861E2E">
        <w:trPr>
          <w:cnfStyle w:val="000000010000" w:firstRow="0" w:lastRow="0" w:firstColumn="0" w:lastColumn="0" w:oddVBand="0" w:evenVBand="0" w:oddHBand="0" w:evenHBand="1" w:firstRowFirstColumn="0" w:firstRowLastColumn="0" w:lastRowFirstColumn="0" w:lastRowLastColumn="0"/>
          <w:trHeight w:val="60"/>
        </w:trPr>
        <w:tc>
          <w:tcPr>
            <w:tcW w:w="3490" w:type="dxa"/>
            <w:tcBorders>
              <w:top w:val="single" w:sz="4" w:space="0" w:color="FFFFFF" w:themeColor="background1"/>
              <w:bottom w:val="single" w:sz="4" w:space="0" w:color="FFFFFF" w:themeColor="background1"/>
            </w:tcBorders>
          </w:tcPr>
          <w:p w14:paraId="47AF7CE4" w14:textId="77777777" w:rsidR="00861E2E" w:rsidRPr="00BE4BB3" w:rsidRDefault="00861E2E" w:rsidP="00506E02">
            <w:pPr>
              <w:pStyle w:val="Tablebodytextnospaceafter"/>
              <w:spacing w:before="30" w:after="30"/>
            </w:pPr>
            <w:r w:rsidRPr="00BE4BB3">
              <w:t>Local Government Official Information and Meetings Act</w:t>
            </w:r>
          </w:p>
        </w:tc>
        <w:tc>
          <w:tcPr>
            <w:tcW w:w="1151" w:type="dxa"/>
          </w:tcPr>
          <w:p w14:paraId="325702CE" w14:textId="77777777" w:rsidR="00861E2E" w:rsidRPr="00CA1F2C" w:rsidRDefault="00861E2E" w:rsidP="00506E02">
            <w:pPr>
              <w:pStyle w:val="Tablebodytextnospaceafter"/>
              <w:spacing w:before="30" w:after="30"/>
              <w:jc w:val="right"/>
            </w:pPr>
            <w:r w:rsidRPr="00CA1F2C">
              <w:t>240</w:t>
            </w:r>
          </w:p>
        </w:tc>
        <w:tc>
          <w:tcPr>
            <w:tcW w:w="1152" w:type="dxa"/>
          </w:tcPr>
          <w:p w14:paraId="4F1379B8" w14:textId="77777777" w:rsidR="00861E2E" w:rsidRPr="00CA1F2C" w:rsidRDefault="00861E2E" w:rsidP="00506E02">
            <w:pPr>
              <w:pStyle w:val="Tablebodytextnospaceafter"/>
              <w:spacing w:before="30" w:after="30"/>
              <w:jc w:val="right"/>
            </w:pPr>
            <w:r>
              <w:t>248</w:t>
            </w:r>
          </w:p>
        </w:tc>
        <w:tc>
          <w:tcPr>
            <w:tcW w:w="1151" w:type="dxa"/>
          </w:tcPr>
          <w:p w14:paraId="39315C5D" w14:textId="77777777" w:rsidR="00861E2E" w:rsidRDefault="00861E2E" w:rsidP="00506E02">
            <w:pPr>
              <w:pStyle w:val="Tablebodytextnospaceafter"/>
              <w:spacing w:before="30" w:after="30"/>
              <w:jc w:val="right"/>
            </w:pPr>
            <w:r>
              <w:t>299</w:t>
            </w:r>
          </w:p>
        </w:tc>
        <w:tc>
          <w:tcPr>
            <w:tcW w:w="1152" w:type="dxa"/>
          </w:tcPr>
          <w:p w14:paraId="35B1316E" w14:textId="77777777" w:rsidR="00861E2E" w:rsidRDefault="00861E2E" w:rsidP="00506E02">
            <w:pPr>
              <w:pStyle w:val="Tablebodytextnospaceafter"/>
              <w:spacing w:before="30" w:after="30"/>
              <w:jc w:val="right"/>
            </w:pPr>
            <w:r>
              <w:t>364</w:t>
            </w:r>
          </w:p>
        </w:tc>
        <w:tc>
          <w:tcPr>
            <w:tcW w:w="1152" w:type="dxa"/>
          </w:tcPr>
          <w:p w14:paraId="69C21409" w14:textId="77777777" w:rsidR="00861E2E" w:rsidRDefault="002D4AAD" w:rsidP="00506E02">
            <w:pPr>
              <w:pStyle w:val="Tablebodytextnospaceafter"/>
              <w:spacing w:before="30" w:after="30"/>
              <w:jc w:val="right"/>
            </w:pPr>
            <w:r>
              <w:t>354</w:t>
            </w:r>
          </w:p>
        </w:tc>
      </w:tr>
      <w:tr w:rsidR="00861E2E" w14:paraId="598E3311" w14:textId="77777777" w:rsidTr="00861E2E">
        <w:trPr>
          <w:cnfStyle w:val="000000100000" w:firstRow="0" w:lastRow="0" w:firstColumn="0" w:lastColumn="0" w:oddVBand="0" w:evenVBand="0" w:oddHBand="1" w:evenHBand="0" w:firstRowFirstColumn="0" w:firstRowLastColumn="0" w:lastRowFirstColumn="0" w:lastRowLastColumn="0"/>
          <w:trHeight w:val="60"/>
        </w:trPr>
        <w:tc>
          <w:tcPr>
            <w:tcW w:w="3490" w:type="dxa"/>
            <w:tcBorders>
              <w:top w:val="single" w:sz="4" w:space="0" w:color="FFFFFF" w:themeColor="background1"/>
              <w:bottom w:val="single" w:sz="4" w:space="0" w:color="FFFFFF" w:themeColor="background1"/>
            </w:tcBorders>
          </w:tcPr>
          <w:p w14:paraId="4EB6BC5F" w14:textId="77777777" w:rsidR="00861E2E" w:rsidRPr="00BE4BB3" w:rsidRDefault="00861E2E" w:rsidP="00506E02">
            <w:pPr>
              <w:pStyle w:val="Tablebodytextnospaceafter"/>
              <w:spacing w:before="30" w:after="30"/>
            </w:pPr>
            <w:r w:rsidRPr="00BE4BB3">
              <w:t>Protected Disclosures Act</w:t>
            </w:r>
          </w:p>
        </w:tc>
        <w:tc>
          <w:tcPr>
            <w:tcW w:w="1151" w:type="dxa"/>
          </w:tcPr>
          <w:p w14:paraId="536559A8" w14:textId="77777777" w:rsidR="00861E2E" w:rsidRPr="00CA1F2C" w:rsidRDefault="00861E2E" w:rsidP="00506E02">
            <w:pPr>
              <w:pStyle w:val="Tablebodytextnospaceafter"/>
              <w:spacing w:before="30" w:after="30"/>
              <w:jc w:val="right"/>
            </w:pPr>
            <w:r w:rsidRPr="00CA1F2C">
              <w:t>6</w:t>
            </w:r>
          </w:p>
        </w:tc>
        <w:tc>
          <w:tcPr>
            <w:tcW w:w="1152" w:type="dxa"/>
          </w:tcPr>
          <w:p w14:paraId="722D775E" w14:textId="77777777" w:rsidR="00861E2E" w:rsidRPr="00CA1F2C" w:rsidRDefault="00861E2E" w:rsidP="00506E02">
            <w:pPr>
              <w:pStyle w:val="Tablebodytextnospaceafter"/>
              <w:spacing w:before="30" w:after="30"/>
              <w:jc w:val="right"/>
            </w:pPr>
            <w:r>
              <w:t>10</w:t>
            </w:r>
          </w:p>
        </w:tc>
        <w:tc>
          <w:tcPr>
            <w:tcW w:w="1151" w:type="dxa"/>
          </w:tcPr>
          <w:p w14:paraId="55493C38" w14:textId="77777777" w:rsidR="00861E2E" w:rsidRDefault="00861E2E" w:rsidP="00506E02">
            <w:pPr>
              <w:pStyle w:val="Tablebodytextnospaceafter"/>
              <w:spacing w:before="30" w:after="30"/>
              <w:jc w:val="right"/>
            </w:pPr>
            <w:r>
              <w:t>8</w:t>
            </w:r>
          </w:p>
        </w:tc>
        <w:tc>
          <w:tcPr>
            <w:tcW w:w="1152" w:type="dxa"/>
          </w:tcPr>
          <w:p w14:paraId="75981FE9" w14:textId="77777777" w:rsidR="00861E2E" w:rsidRDefault="00861E2E" w:rsidP="00506E02">
            <w:pPr>
              <w:pStyle w:val="Tablebodytextnospaceafter"/>
              <w:spacing w:before="30" w:after="30"/>
              <w:jc w:val="right"/>
            </w:pPr>
            <w:r>
              <w:t>39</w:t>
            </w:r>
          </w:p>
        </w:tc>
        <w:tc>
          <w:tcPr>
            <w:tcW w:w="1152" w:type="dxa"/>
          </w:tcPr>
          <w:p w14:paraId="680D193D" w14:textId="77777777" w:rsidR="00861E2E" w:rsidRDefault="000642C8" w:rsidP="00506E02">
            <w:pPr>
              <w:pStyle w:val="Tablebodytextnospaceafter"/>
              <w:spacing w:before="30" w:after="30"/>
              <w:jc w:val="right"/>
            </w:pPr>
            <w:r>
              <w:t>78</w:t>
            </w:r>
          </w:p>
        </w:tc>
      </w:tr>
      <w:tr w:rsidR="00861E2E" w14:paraId="08A9D77F" w14:textId="77777777" w:rsidTr="00861E2E">
        <w:trPr>
          <w:cnfStyle w:val="000000010000" w:firstRow="0" w:lastRow="0" w:firstColumn="0" w:lastColumn="0" w:oddVBand="0" w:evenVBand="0" w:oddHBand="0" w:evenHBand="1" w:firstRowFirstColumn="0" w:firstRowLastColumn="0" w:lastRowFirstColumn="0" w:lastRowLastColumn="0"/>
          <w:trHeight w:val="60"/>
        </w:trPr>
        <w:tc>
          <w:tcPr>
            <w:tcW w:w="3490" w:type="dxa"/>
            <w:tcBorders>
              <w:top w:val="single" w:sz="4" w:space="0" w:color="FFFFFF" w:themeColor="background1"/>
              <w:bottom w:val="single" w:sz="4" w:space="0" w:color="FFFFFF" w:themeColor="background1"/>
            </w:tcBorders>
          </w:tcPr>
          <w:p w14:paraId="3F4A0152" w14:textId="77777777" w:rsidR="00861E2E" w:rsidRPr="00BE4BB3" w:rsidRDefault="00861E2E" w:rsidP="00506E02">
            <w:pPr>
              <w:pStyle w:val="Tablebodytextnospaceafter"/>
              <w:spacing w:before="30" w:after="30"/>
            </w:pPr>
            <w:r w:rsidRPr="00BE4BB3">
              <w:t xml:space="preserve">Other </w:t>
            </w:r>
            <w:r>
              <w:t>c</w:t>
            </w:r>
            <w:r w:rsidRPr="00BE4BB3">
              <w:t>ontacts</w:t>
            </w:r>
          </w:p>
        </w:tc>
        <w:tc>
          <w:tcPr>
            <w:tcW w:w="1151" w:type="dxa"/>
          </w:tcPr>
          <w:p w14:paraId="15218115" w14:textId="77777777" w:rsidR="00861E2E" w:rsidRPr="00CA1F2C" w:rsidRDefault="00861E2E" w:rsidP="00506E02">
            <w:pPr>
              <w:pStyle w:val="Tablebodytextnospaceafter"/>
              <w:spacing w:before="30" w:after="30"/>
              <w:jc w:val="right"/>
            </w:pPr>
            <w:r w:rsidRPr="00CA1F2C">
              <w:t>9,166</w:t>
            </w:r>
          </w:p>
        </w:tc>
        <w:tc>
          <w:tcPr>
            <w:tcW w:w="1152" w:type="dxa"/>
          </w:tcPr>
          <w:p w14:paraId="4161B162" w14:textId="77777777" w:rsidR="00861E2E" w:rsidRPr="00CA1F2C" w:rsidRDefault="00861E2E" w:rsidP="00506E02">
            <w:pPr>
              <w:pStyle w:val="Tablebodytextnospaceafter"/>
              <w:spacing w:before="30" w:after="30"/>
              <w:jc w:val="right"/>
            </w:pPr>
            <w:r>
              <w:t>8,198</w:t>
            </w:r>
          </w:p>
        </w:tc>
        <w:tc>
          <w:tcPr>
            <w:tcW w:w="1151" w:type="dxa"/>
          </w:tcPr>
          <w:p w14:paraId="5BDEE3A0" w14:textId="77777777" w:rsidR="00861E2E" w:rsidRDefault="00861E2E" w:rsidP="00506E02">
            <w:pPr>
              <w:pStyle w:val="Tablebodytextnospaceafter"/>
              <w:spacing w:before="30" w:after="30"/>
              <w:jc w:val="right"/>
            </w:pPr>
            <w:r>
              <w:t>7,475</w:t>
            </w:r>
          </w:p>
        </w:tc>
        <w:tc>
          <w:tcPr>
            <w:tcW w:w="1152" w:type="dxa"/>
          </w:tcPr>
          <w:p w14:paraId="10CF67F7" w14:textId="77777777" w:rsidR="00861E2E" w:rsidRDefault="00861E2E" w:rsidP="00506E02">
            <w:pPr>
              <w:pStyle w:val="Tablebodytextnospaceafter"/>
              <w:spacing w:before="30" w:after="30"/>
              <w:jc w:val="right"/>
            </w:pPr>
            <w:r>
              <w:t>7,120</w:t>
            </w:r>
          </w:p>
        </w:tc>
        <w:tc>
          <w:tcPr>
            <w:tcW w:w="1152" w:type="dxa"/>
          </w:tcPr>
          <w:p w14:paraId="7FD4255A" w14:textId="77777777" w:rsidR="00861E2E" w:rsidRDefault="002D4AAD" w:rsidP="000642C8">
            <w:pPr>
              <w:pStyle w:val="Tablebodytextnospaceafter"/>
              <w:spacing w:before="30" w:after="30"/>
              <w:jc w:val="right"/>
            </w:pPr>
            <w:r>
              <w:t>7,2</w:t>
            </w:r>
            <w:r w:rsidR="000642C8">
              <w:t>17</w:t>
            </w:r>
          </w:p>
        </w:tc>
      </w:tr>
      <w:tr w:rsidR="00861E2E" w14:paraId="2B3D6201" w14:textId="77777777" w:rsidTr="00861E2E">
        <w:trPr>
          <w:cnfStyle w:val="000000100000" w:firstRow="0" w:lastRow="0" w:firstColumn="0" w:lastColumn="0" w:oddVBand="0" w:evenVBand="0" w:oddHBand="1" w:evenHBand="0" w:firstRowFirstColumn="0" w:firstRowLastColumn="0" w:lastRowFirstColumn="0" w:lastRowLastColumn="0"/>
          <w:trHeight w:val="60"/>
        </w:trPr>
        <w:tc>
          <w:tcPr>
            <w:tcW w:w="3490" w:type="dxa"/>
            <w:tcBorders>
              <w:top w:val="single" w:sz="4" w:space="0" w:color="FFFFFF" w:themeColor="background1"/>
            </w:tcBorders>
          </w:tcPr>
          <w:p w14:paraId="76BCE8E4" w14:textId="77777777" w:rsidR="00861E2E" w:rsidRPr="00BE4BB3" w:rsidRDefault="00861E2E" w:rsidP="00506E02">
            <w:pPr>
              <w:pStyle w:val="Tablebodytextnospaceafter"/>
              <w:spacing w:before="30" w:after="30"/>
            </w:pPr>
            <w:r w:rsidRPr="00BE4BB3">
              <w:t xml:space="preserve">Other work </w:t>
            </w:r>
          </w:p>
        </w:tc>
        <w:tc>
          <w:tcPr>
            <w:tcW w:w="1151" w:type="dxa"/>
          </w:tcPr>
          <w:p w14:paraId="483F7727" w14:textId="77777777" w:rsidR="00861E2E" w:rsidRPr="00845EB1" w:rsidRDefault="00861E2E" w:rsidP="00506E02">
            <w:pPr>
              <w:pStyle w:val="Tablebodytextnospaceafter"/>
              <w:spacing w:before="30" w:after="30"/>
              <w:jc w:val="right"/>
            </w:pPr>
            <w:r>
              <w:t>29</w:t>
            </w:r>
          </w:p>
        </w:tc>
        <w:tc>
          <w:tcPr>
            <w:tcW w:w="1152" w:type="dxa"/>
          </w:tcPr>
          <w:p w14:paraId="45CAE49D" w14:textId="77777777" w:rsidR="00861E2E" w:rsidRPr="00CA1F2C" w:rsidRDefault="00861E2E" w:rsidP="00506E02">
            <w:pPr>
              <w:pStyle w:val="Tablebodytextnospaceafter"/>
              <w:spacing w:before="30" w:after="30"/>
              <w:jc w:val="right"/>
            </w:pPr>
            <w:r>
              <w:t>25</w:t>
            </w:r>
          </w:p>
        </w:tc>
        <w:tc>
          <w:tcPr>
            <w:tcW w:w="1151" w:type="dxa"/>
          </w:tcPr>
          <w:p w14:paraId="13B145E3" w14:textId="77777777" w:rsidR="00861E2E" w:rsidRDefault="00861E2E" w:rsidP="00506E02">
            <w:pPr>
              <w:pStyle w:val="Tablebodytextnospaceafter"/>
              <w:spacing w:before="30" w:after="30"/>
              <w:jc w:val="right"/>
            </w:pPr>
            <w:r>
              <w:t>45</w:t>
            </w:r>
          </w:p>
        </w:tc>
        <w:tc>
          <w:tcPr>
            <w:tcW w:w="1152" w:type="dxa"/>
          </w:tcPr>
          <w:p w14:paraId="12D2C9B1" w14:textId="77777777" w:rsidR="00861E2E" w:rsidRDefault="00861E2E" w:rsidP="00506E02">
            <w:pPr>
              <w:pStyle w:val="Tablebodytextnospaceafter"/>
              <w:spacing w:before="30" w:after="30"/>
              <w:jc w:val="right"/>
            </w:pPr>
            <w:r>
              <w:t>49</w:t>
            </w:r>
          </w:p>
        </w:tc>
        <w:tc>
          <w:tcPr>
            <w:tcW w:w="1152" w:type="dxa"/>
          </w:tcPr>
          <w:p w14:paraId="3B9055EE" w14:textId="77777777" w:rsidR="00861E2E" w:rsidRDefault="000642C8" w:rsidP="00506E02">
            <w:pPr>
              <w:pStyle w:val="Tablebodytextnospaceafter"/>
              <w:spacing w:before="30" w:after="30"/>
              <w:jc w:val="right"/>
            </w:pPr>
            <w:r>
              <w:t>73</w:t>
            </w:r>
          </w:p>
        </w:tc>
      </w:tr>
      <w:tr w:rsidR="00861E2E" w14:paraId="73AB5E79" w14:textId="77777777" w:rsidTr="00861E2E">
        <w:trPr>
          <w:cnfStyle w:val="000000010000" w:firstRow="0" w:lastRow="0" w:firstColumn="0" w:lastColumn="0" w:oddVBand="0" w:evenVBand="0" w:oddHBand="0" w:evenHBand="1" w:firstRowFirstColumn="0" w:firstRowLastColumn="0" w:lastRowFirstColumn="0" w:lastRowLastColumn="0"/>
          <w:trHeight w:val="60"/>
        </w:trPr>
        <w:tc>
          <w:tcPr>
            <w:tcW w:w="3490" w:type="dxa"/>
            <w:tcBorders>
              <w:bottom w:val="single" w:sz="4" w:space="0" w:color="FFFFFF" w:themeColor="background1"/>
            </w:tcBorders>
          </w:tcPr>
          <w:p w14:paraId="6CE59255" w14:textId="77777777" w:rsidR="00861E2E" w:rsidRPr="00C912F8" w:rsidRDefault="00861E2E" w:rsidP="00506E02">
            <w:pPr>
              <w:pStyle w:val="Tablebodytextnospaceafter"/>
              <w:spacing w:before="30" w:after="30"/>
              <w:rPr>
                <w:rStyle w:val="Emphasis"/>
              </w:rPr>
            </w:pPr>
            <w:r w:rsidRPr="00C912F8">
              <w:rPr>
                <w:rStyle w:val="Emphasis"/>
              </w:rPr>
              <w:t>Total</w:t>
            </w:r>
          </w:p>
        </w:tc>
        <w:tc>
          <w:tcPr>
            <w:tcW w:w="1151" w:type="dxa"/>
            <w:tcBorders>
              <w:bottom w:val="single" w:sz="4" w:space="0" w:color="FFFFFF" w:themeColor="background1"/>
            </w:tcBorders>
          </w:tcPr>
          <w:p w14:paraId="3E2BBC24" w14:textId="77777777" w:rsidR="00861E2E" w:rsidRPr="00C912F8" w:rsidRDefault="00861E2E" w:rsidP="00506E02">
            <w:pPr>
              <w:pStyle w:val="Tablebodytextnospaceafter"/>
              <w:spacing w:before="30" w:after="30"/>
              <w:jc w:val="right"/>
              <w:rPr>
                <w:rStyle w:val="Emphasis"/>
              </w:rPr>
            </w:pPr>
            <w:r w:rsidRPr="00C912F8">
              <w:rPr>
                <w:rStyle w:val="Emphasis"/>
              </w:rPr>
              <w:t>12,595</w:t>
            </w:r>
          </w:p>
        </w:tc>
        <w:tc>
          <w:tcPr>
            <w:tcW w:w="1152" w:type="dxa"/>
            <w:tcBorders>
              <w:bottom w:val="single" w:sz="4" w:space="0" w:color="FFFFFF" w:themeColor="background1"/>
            </w:tcBorders>
          </w:tcPr>
          <w:p w14:paraId="2EDD9542" w14:textId="77777777" w:rsidR="00861E2E" w:rsidRPr="00C912F8" w:rsidRDefault="00861E2E" w:rsidP="00506E02">
            <w:pPr>
              <w:pStyle w:val="Tablebodytextnospaceafter"/>
              <w:spacing w:before="30" w:after="30"/>
              <w:jc w:val="right"/>
              <w:rPr>
                <w:rStyle w:val="Emphasis"/>
              </w:rPr>
            </w:pPr>
            <w:r w:rsidRPr="00C912F8">
              <w:rPr>
                <w:rStyle w:val="Emphasis"/>
              </w:rPr>
              <w:t>11,846</w:t>
            </w:r>
          </w:p>
        </w:tc>
        <w:tc>
          <w:tcPr>
            <w:tcW w:w="1151" w:type="dxa"/>
            <w:tcBorders>
              <w:bottom w:val="single" w:sz="4" w:space="0" w:color="FFFFFF" w:themeColor="background1"/>
            </w:tcBorders>
          </w:tcPr>
          <w:p w14:paraId="05B3D933" w14:textId="77777777" w:rsidR="00861E2E" w:rsidRPr="00C912F8" w:rsidRDefault="00861E2E" w:rsidP="00506E02">
            <w:pPr>
              <w:pStyle w:val="Tablebodytextnospaceafter"/>
              <w:spacing w:before="30" w:after="30"/>
              <w:jc w:val="right"/>
              <w:rPr>
                <w:rStyle w:val="Emphasis"/>
              </w:rPr>
            </w:pPr>
            <w:r>
              <w:rPr>
                <w:rStyle w:val="Emphasis"/>
              </w:rPr>
              <w:t>11,468</w:t>
            </w:r>
          </w:p>
        </w:tc>
        <w:tc>
          <w:tcPr>
            <w:tcW w:w="1152" w:type="dxa"/>
            <w:tcBorders>
              <w:bottom w:val="single" w:sz="4" w:space="0" w:color="FFFFFF" w:themeColor="background1"/>
            </w:tcBorders>
          </w:tcPr>
          <w:p w14:paraId="5FA0334C" w14:textId="77777777" w:rsidR="00861E2E" w:rsidRDefault="00861E2E" w:rsidP="00506E02">
            <w:pPr>
              <w:pStyle w:val="Tablebodytextnospaceafter"/>
              <w:spacing w:before="30" w:after="30"/>
              <w:jc w:val="right"/>
              <w:rPr>
                <w:rStyle w:val="Emphasis"/>
              </w:rPr>
            </w:pPr>
            <w:r>
              <w:rPr>
                <w:rStyle w:val="Emphasis"/>
              </w:rPr>
              <w:t>11,886</w:t>
            </w:r>
          </w:p>
        </w:tc>
        <w:tc>
          <w:tcPr>
            <w:tcW w:w="1152" w:type="dxa"/>
            <w:tcBorders>
              <w:bottom w:val="single" w:sz="4" w:space="0" w:color="FFFFFF" w:themeColor="background1"/>
            </w:tcBorders>
          </w:tcPr>
          <w:p w14:paraId="1FDCC62D" w14:textId="77777777" w:rsidR="00861E2E" w:rsidRDefault="002D4AAD" w:rsidP="008A6446">
            <w:pPr>
              <w:pStyle w:val="Tablebodytextnospaceafter"/>
              <w:spacing w:before="30" w:after="30"/>
              <w:jc w:val="right"/>
              <w:rPr>
                <w:rStyle w:val="Emphasis"/>
              </w:rPr>
            </w:pPr>
            <w:r>
              <w:rPr>
                <w:rStyle w:val="Emphasis"/>
              </w:rPr>
              <w:t>11,</w:t>
            </w:r>
            <w:r w:rsidR="008A6446">
              <w:rPr>
                <w:rStyle w:val="Emphasis"/>
              </w:rPr>
              <w:t>862</w:t>
            </w:r>
          </w:p>
        </w:tc>
      </w:tr>
      <w:tr w:rsidR="00861E2E" w14:paraId="26F6FE1A" w14:textId="77777777" w:rsidTr="00861E2E">
        <w:trPr>
          <w:cnfStyle w:val="000000100000" w:firstRow="0" w:lastRow="0" w:firstColumn="0" w:lastColumn="0" w:oddVBand="0" w:evenVBand="0" w:oddHBand="1" w:evenHBand="0" w:firstRowFirstColumn="0" w:firstRowLastColumn="0" w:lastRowFirstColumn="0" w:lastRowLastColumn="0"/>
          <w:trHeight w:val="60"/>
        </w:trPr>
        <w:tc>
          <w:tcPr>
            <w:tcW w:w="3490" w:type="dxa"/>
            <w:tcBorders>
              <w:top w:val="single" w:sz="4" w:space="0" w:color="FFFFFF" w:themeColor="background1"/>
            </w:tcBorders>
            <w:shd w:val="clear" w:color="auto" w:fill="BFBFBF"/>
          </w:tcPr>
          <w:p w14:paraId="105435A8" w14:textId="77777777" w:rsidR="00861E2E" w:rsidRPr="009E5893" w:rsidRDefault="00E92439" w:rsidP="00506E02">
            <w:pPr>
              <w:pStyle w:val="Tablebodytextnospaceafter"/>
              <w:spacing w:before="30" w:after="30"/>
              <w:rPr>
                <w:b/>
              </w:rPr>
            </w:pPr>
            <w:r>
              <w:rPr>
                <w:b/>
              </w:rPr>
              <w:t>Completed</w:t>
            </w:r>
            <w:r w:rsidR="00861E2E" w:rsidRPr="009E5893">
              <w:rPr>
                <w:b/>
              </w:rPr>
              <w:t xml:space="preserve"> during the year</w:t>
            </w:r>
          </w:p>
        </w:tc>
        <w:tc>
          <w:tcPr>
            <w:tcW w:w="1151" w:type="dxa"/>
            <w:tcBorders>
              <w:top w:val="single" w:sz="4" w:space="0" w:color="FFFFFF" w:themeColor="background1"/>
            </w:tcBorders>
            <w:shd w:val="clear" w:color="auto" w:fill="BFBFBF"/>
          </w:tcPr>
          <w:p w14:paraId="099B1E83" w14:textId="77777777" w:rsidR="00861E2E" w:rsidRPr="00BE4BB3" w:rsidRDefault="00861E2E" w:rsidP="00506E02">
            <w:pPr>
              <w:pStyle w:val="Tablebodytextnospaceafter"/>
              <w:spacing w:before="30" w:after="30"/>
            </w:pPr>
          </w:p>
        </w:tc>
        <w:tc>
          <w:tcPr>
            <w:tcW w:w="1152" w:type="dxa"/>
            <w:tcBorders>
              <w:top w:val="single" w:sz="4" w:space="0" w:color="FFFFFF" w:themeColor="background1"/>
            </w:tcBorders>
            <w:shd w:val="clear" w:color="auto" w:fill="BFBFBF"/>
          </w:tcPr>
          <w:p w14:paraId="1EEE4F13" w14:textId="77777777" w:rsidR="00861E2E" w:rsidRPr="00BE4BB3" w:rsidRDefault="00861E2E" w:rsidP="00506E02">
            <w:pPr>
              <w:pStyle w:val="Tablebodytextnospaceafter"/>
              <w:spacing w:before="30" w:after="30"/>
            </w:pPr>
          </w:p>
        </w:tc>
        <w:tc>
          <w:tcPr>
            <w:tcW w:w="1151" w:type="dxa"/>
            <w:tcBorders>
              <w:top w:val="single" w:sz="4" w:space="0" w:color="FFFFFF" w:themeColor="background1"/>
            </w:tcBorders>
            <w:shd w:val="clear" w:color="auto" w:fill="BFBFBF"/>
          </w:tcPr>
          <w:p w14:paraId="375C4A52" w14:textId="77777777" w:rsidR="00861E2E" w:rsidRPr="00BE4BB3" w:rsidRDefault="00861E2E" w:rsidP="00506E02">
            <w:pPr>
              <w:pStyle w:val="Tablebodytextnospaceafter"/>
              <w:spacing w:before="30" w:after="30"/>
            </w:pPr>
          </w:p>
        </w:tc>
        <w:tc>
          <w:tcPr>
            <w:tcW w:w="1152" w:type="dxa"/>
            <w:tcBorders>
              <w:top w:val="single" w:sz="4" w:space="0" w:color="FFFFFF" w:themeColor="background1"/>
            </w:tcBorders>
            <w:shd w:val="clear" w:color="auto" w:fill="BFBFBF"/>
          </w:tcPr>
          <w:p w14:paraId="6A9BEB07" w14:textId="77777777" w:rsidR="00861E2E" w:rsidRPr="00BE4BB3" w:rsidRDefault="00861E2E" w:rsidP="00506E02">
            <w:pPr>
              <w:pStyle w:val="Tablebodytextnospaceafter"/>
              <w:spacing w:before="30" w:after="30"/>
            </w:pPr>
          </w:p>
        </w:tc>
        <w:tc>
          <w:tcPr>
            <w:tcW w:w="1152" w:type="dxa"/>
            <w:tcBorders>
              <w:top w:val="single" w:sz="4" w:space="0" w:color="FFFFFF" w:themeColor="background1"/>
            </w:tcBorders>
            <w:shd w:val="clear" w:color="auto" w:fill="BFBFBF"/>
          </w:tcPr>
          <w:p w14:paraId="7A945111" w14:textId="77777777" w:rsidR="00861E2E" w:rsidRPr="00BE4BB3" w:rsidRDefault="00861E2E" w:rsidP="00506E02">
            <w:pPr>
              <w:pStyle w:val="Tablebodytextnospaceafter"/>
              <w:spacing w:before="30" w:after="30"/>
            </w:pPr>
          </w:p>
        </w:tc>
      </w:tr>
      <w:tr w:rsidR="00861E2E" w14:paraId="78F12E6F" w14:textId="77777777" w:rsidTr="00861E2E">
        <w:trPr>
          <w:cnfStyle w:val="000000010000" w:firstRow="0" w:lastRow="0" w:firstColumn="0" w:lastColumn="0" w:oddVBand="0" w:evenVBand="0" w:oddHBand="0" w:evenHBand="1" w:firstRowFirstColumn="0" w:firstRowLastColumn="0" w:lastRowFirstColumn="0" w:lastRowLastColumn="0"/>
          <w:trHeight w:val="60"/>
        </w:trPr>
        <w:tc>
          <w:tcPr>
            <w:tcW w:w="3490" w:type="dxa"/>
            <w:tcBorders>
              <w:top w:val="single" w:sz="4" w:space="0" w:color="FFFFFF" w:themeColor="background1"/>
            </w:tcBorders>
          </w:tcPr>
          <w:p w14:paraId="6C7EE7E9" w14:textId="77777777" w:rsidR="00861E2E" w:rsidRPr="00BE4BB3" w:rsidRDefault="00861E2E" w:rsidP="00506E02">
            <w:pPr>
              <w:pStyle w:val="Tablebodytextnospaceafter"/>
              <w:spacing w:before="30" w:after="30"/>
            </w:pPr>
            <w:r w:rsidRPr="00BE4BB3">
              <w:t>Ombudsmen Act</w:t>
            </w:r>
          </w:p>
        </w:tc>
        <w:tc>
          <w:tcPr>
            <w:tcW w:w="1151" w:type="dxa"/>
          </w:tcPr>
          <w:p w14:paraId="5B93C5E3" w14:textId="77777777" w:rsidR="00861E2E" w:rsidRPr="00CA1F2C" w:rsidRDefault="00861E2E" w:rsidP="00506E02">
            <w:pPr>
              <w:pStyle w:val="Tablebodytextnospaceafter"/>
              <w:spacing w:before="30" w:after="30"/>
              <w:jc w:val="right"/>
            </w:pPr>
            <w:r w:rsidRPr="00CA1F2C">
              <w:t>2,241</w:t>
            </w:r>
          </w:p>
        </w:tc>
        <w:tc>
          <w:tcPr>
            <w:tcW w:w="1152" w:type="dxa"/>
          </w:tcPr>
          <w:p w14:paraId="4F1B7333" w14:textId="77777777" w:rsidR="00861E2E" w:rsidRPr="00CA1F2C" w:rsidRDefault="00861E2E" w:rsidP="00506E02">
            <w:pPr>
              <w:pStyle w:val="Tablebodytextnospaceafter"/>
              <w:spacing w:before="30" w:after="30"/>
              <w:jc w:val="right"/>
            </w:pPr>
            <w:r>
              <w:t>2,285</w:t>
            </w:r>
          </w:p>
        </w:tc>
        <w:tc>
          <w:tcPr>
            <w:tcW w:w="1151" w:type="dxa"/>
          </w:tcPr>
          <w:p w14:paraId="6B1F4E48" w14:textId="77777777" w:rsidR="00861E2E" w:rsidRDefault="00861E2E" w:rsidP="00506E02">
            <w:pPr>
              <w:pStyle w:val="Tablebodytextnospaceafter"/>
              <w:spacing w:before="30" w:after="30"/>
              <w:jc w:val="right"/>
            </w:pPr>
            <w:r>
              <w:t>2,398</w:t>
            </w:r>
          </w:p>
        </w:tc>
        <w:tc>
          <w:tcPr>
            <w:tcW w:w="1152" w:type="dxa"/>
          </w:tcPr>
          <w:p w14:paraId="2B0B096F" w14:textId="77777777" w:rsidR="00861E2E" w:rsidRDefault="00861E2E" w:rsidP="00506E02">
            <w:pPr>
              <w:pStyle w:val="Tablebodytextnospaceafter"/>
              <w:spacing w:before="30" w:after="30"/>
              <w:jc w:val="right"/>
            </w:pPr>
            <w:r>
              <w:t>2,355</w:t>
            </w:r>
          </w:p>
        </w:tc>
        <w:tc>
          <w:tcPr>
            <w:tcW w:w="1152" w:type="dxa"/>
          </w:tcPr>
          <w:p w14:paraId="6175A2BE" w14:textId="77777777" w:rsidR="00861E2E" w:rsidRDefault="00E92439" w:rsidP="000642C8">
            <w:pPr>
              <w:pStyle w:val="Tablebodytextnospaceafter"/>
              <w:spacing w:before="30" w:after="30"/>
              <w:jc w:val="right"/>
            </w:pPr>
            <w:r>
              <w:t>2,</w:t>
            </w:r>
            <w:r w:rsidR="000642C8">
              <w:t>665</w:t>
            </w:r>
          </w:p>
        </w:tc>
      </w:tr>
      <w:tr w:rsidR="00861E2E" w14:paraId="76C080D3" w14:textId="77777777" w:rsidTr="00861E2E">
        <w:trPr>
          <w:cnfStyle w:val="000000100000" w:firstRow="0" w:lastRow="0" w:firstColumn="0" w:lastColumn="0" w:oddVBand="0" w:evenVBand="0" w:oddHBand="1" w:evenHBand="0" w:firstRowFirstColumn="0" w:firstRowLastColumn="0" w:lastRowFirstColumn="0" w:lastRowLastColumn="0"/>
          <w:trHeight w:val="60"/>
        </w:trPr>
        <w:tc>
          <w:tcPr>
            <w:tcW w:w="3490" w:type="dxa"/>
          </w:tcPr>
          <w:p w14:paraId="578F493D" w14:textId="77777777" w:rsidR="00861E2E" w:rsidRPr="00CA1F2C" w:rsidRDefault="00861E2E" w:rsidP="00506E02">
            <w:pPr>
              <w:pStyle w:val="Tablebodytextnospaceafter"/>
              <w:spacing w:before="30" w:after="30"/>
            </w:pPr>
            <w:r w:rsidRPr="00CA1F2C">
              <w:t>Official Information Act</w:t>
            </w:r>
          </w:p>
        </w:tc>
        <w:tc>
          <w:tcPr>
            <w:tcW w:w="1151" w:type="dxa"/>
          </w:tcPr>
          <w:p w14:paraId="2EF99F2C" w14:textId="77777777" w:rsidR="00861E2E" w:rsidRPr="00CA1F2C" w:rsidRDefault="00861E2E" w:rsidP="00506E02">
            <w:pPr>
              <w:pStyle w:val="Tablebodytextnospaceafter"/>
              <w:spacing w:before="30" w:after="30"/>
              <w:jc w:val="right"/>
            </w:pPr>
            <w:r w:rsidRPr="00CA1F2C">
              <w:t>1,084</w:t>
            </w:r>
          </w:p>
        </w:tc>
        <w:tc>
          <w:tcPr>
            <w:tcW w:w="1152" w:type="dxa"/>
          </w:tcPr>
          <w:p w14:paraId="395C380C" w14:textId="77777777" w:rsidR="00861E2E" w:rsidRPr="00CA1F2C" w:rsidRDefault="00861E2E" w:rsidP="00506E02">
            <w:pPr>
              <w:pStyle w:val="Tablebodytextnospaceafter"/>
              <w:spacing w:before="30" w:after="30"/>
              <w:jc w:val="right"/>
            </w:pPr>
            <w:r>
              <w:t>1,375</w:t>
            </w:r>
          </w:p>
        </w:tc>
        <w:tc>
          <w:tcPr>
            <w:tcW w:w="1151" w:type="dxa"/>
          </w:tcPr>
          <w:p w14:paraId="21DEEEC4" w14:textId="77777777" w:rsidR="00861E2E" w:rsidRDefault="00861E2E" w:rsidP="00506E02">
            <w:pPr>
              <w:pStyle w:val="Tablebodytextnospaceafter"/>
              <w:spacing w:before="30" w:after="30"/>
              <w:jc w:val="right"/>
            </w:pPr>
            <w:r>
              <w:t>1,598</w:t>
            </w:r>
          </w:p>
        </w:tc>
        <w:tc>
          <w:tcPr>
            <w:tcW w:w="1152" w:type="dxa"/>
          </w:tcPr>
          <w:p w14:paraId="007A96D8" w14:textId="77777777" w:rsidR="00861E2E" w:rsidRDefault="00861E2E" w:rsidP="00506E02">
            <w:pPr>
              <w:pStyle w:val="Tablebodytextnospaceafter"/>
              <w:spacing w:before="30" w:after="30"/>
              <w:jc w:val="right"/>
            </w:pPr>
            <w:r>
              <w:t>1,859</w:t>
            </w:r>
          </w:p>
        </w:tc>
        <w:tc>
          <w:tcPr>
            <w:tcW w:w="1152" w:type="dxa"/>
          </w:tcPr>
          <w:p w14:paraId="79F99470" w14:textId="77777777" w:rsidR="00861E2E" w:rsidRDefault="00E92439" w:rsidP="00506E02">
            <w:pPr>
              <w:pStyle w:val="Tablebodytextnospaceafter"/>
              <w:spacing w:before="30" w:after="30"/>
              <w:jc w:val="right"/>
            </w:pPr>
            <w:r>
              <w:t>1,371</w:t>
            </w:r>
          </w:p>
        </w:tc>
      </w:tr>
      <w:tr w:rsidR="00861E2E" w14:paraId="1DD4D297" w14:textId="77777777" w:rsidTr="00861E2E">
        <w:trPr>
          <w:cnfStyle w:val="000000010000" w:firstRow="0" w:lastRow="0" w:firstColumn="0" w:lastColumn="0" w:oddVBand="0" w:evenVBand="0" w:oddHBand="0" w:evenHBand="1" w:firstRowFirstColumn="0" w:firstRowLastColumn="0" w:lastRowFirstColumn="0" w:lastRowLastColumn="0"/>
          <w:trHeight w:val="60"/>
        </w:trPr>
        <w:tc>
          <w:tcPr>
            <w:tcW w:w="3490" w:type="dxa"/>
          </w:tcPr>
          <w:p w14:paraId="521B18DC" w14:textId="77777777" w:rsidR="00861E2E" w:rsidRPr="00CA1F2C" w:rsidRDefault="00861E2E" w:rsidP="00506E02">
            <w:pPr>
              <w:pStyle w:val="Tablebodytextnospaceafter"/>
              <w:spacing w:before="30" w:after="30"/>
            </w:pPr>
            <w:r w:rsidRPr="00CA1F2C">
              <w:t>Local Government Official Information and Meetings Act</w:t>
            </w:r>
          </w:p>
        </w:tc>
        <w:tc>
          <w:tcPr>
            <w:tcW w:w="1151" w:type="dxa"/>
          </w:tcPr>
          <w:p w14:paraId="749593A6" w14:textId="77777777" w:rsidR="00861E2E" w:rsidRPr="00CA1F2C" w:rsidRDefault="00861E2E" w:rsidP="00506E02">
            <w:pPr>
              <w:pStyle w:val="Tablebodytextnospaceafter"/>
              <w:spacing w:before="30" w:after="30"/>
              <w:jc w:val="right"/>
            </w:pPr>
            <w:r w:rsidRPr="00CA1F2C">
              <w:t>247</w:t>
            </w:r>
          </w:p>
        </w:tc>
        <w:tc>
          <w:tcPr>
            <w:tcW w:w="1152" w:type="dxa"/>
          </w:tcPr>
          <w:p w14:paraId="294E3E71" w14:textId="77777777" w:rsidR="00861E2E" w:rsidRPr="00CA1F2C" w:rsidRDefault="00861E2E" w:rsidP="00506E02">
            <w:pPr>
              <w:pStyle w:val="Tablebodytextnospaceafter"/>
              <w:spacing w:before="30" w:after="30"/>
              <w:jc w:val="right"/>
            </w:pPr>
            <w:r>
              <w:t>258</w:t>
            </w:r>
          </w:p>
        </w:tc>
        <w:tc>
          <w:tcPr>
            <w:tcW w:w="1151" w:type="dxa"/>
          </w:tcPr>
          <w:p w14:paraId="39BE47B3" w14:textId="77777777" w:rsidR="00861E2E" w:rsidRDefault="00861E2E" w:rsidP="00506E02">
            <w:pPr>
              <w:pStyle w:val="Tablebodytextnospaceafter"/>
              <w:spacing w:before="30" w:after="30"/>
              <w:jc w:val="right"/>
            </w:pPr>
            <w:r>
              <w:t>344</w:t>
            </w:r>
          </w:p>
        </w:tc>
        <w:tc>
          <w:tcPr>
            <w:tcW w:w="1152" w:type="dxa"/>
          </w:tcPr>
          <w:p w14:paraId="53D15EEA" w14:textId="77777777" w:rsidR="00861E2E" w:rsidRDefault="00861E2E" w:rsidP="00506E02">
            <w:pPr>
              <w:pStyle w:val="Tablebodytextnospaceafter"/>
              <w:spacing w:before="30" w:after="30"/>
              <w:jc w:val="right"/>
            </w:pPr>
            <w:r>
              <w:t>339</w:t>
            </w:r>
          </w:p>
        </w:tc>
        <w:tc>
          <w:tcPr>
            <w:tcW w:w="1152" w:type="dxa"/>
          </w:tcPr>
          <w:p w14:paraId="22331C63" w14:textId="77777777" w:rsidR="00861E2E" w:rsidRDefault="00E92439" w:rsidP="00506E02">
            <w:pPr>
              <w:pStyle w:val="Tablebodytextnospaceafter"/>
              <w:spacing w:before="30" w:after="30"/>
              <w:jc w:val="right"/>
            </w:pPr>
            <w:r>
              <w:t>353</w:t>
            </w:r>
          </w:p>
        </w:tc>
      </w:tr>
      <w:tr w:rsidR="00861E2E" w14:paraId="42456BDB" w14:textId="77777777" w:rsidTr="00861E2E">
        <w:trPr>
          <w:cnfStyle w:val="000000100000" w:firstRow="0" w:lastRow="0" w:firstColumn="0" w:lastColumn="0" w:oddVBand="0" w:evenVBand="0" w:oddHBand="1" w:evenHBand="0" w:firstRowFirstColumn="0" w:firstRowLastColumn="0" w:lastRowFirstColumn="0" w:lastRowLastColumn="0"/>
          <w:trHeight w:val="60"/>
        </w:trPr>
        <w:tc>
          <w:tcPr>
            <w:tcW w:w="3490" w:type="dxa"/>
          </w:tcPr>
          <w:p w14:paraId="089FAF6B" w14:textId="77777777" w:rsidR="00861E2E" w:rsidRPr="00CA1F2C" w:rsidRDefault="00861E2E" w:rsidP="00506E02">
            <w:pPr>
              <w:pStyle w:val="Tablebodytextnospaceafter"/>
              <w:spacing w:before="30" w:after="30"/>
            </w:pPr>
            <w:r w:rsidRPr="00CA1F2C">
              <w:t>Protected Disclosures Act</w:t>
            </w:r>
          </w:p>
        </w:tc>
        <w:tc>
          <w:tcPr>
            <w:tcW w:w="1151" w:type="dxa"/>
          </w:tcPr>
          <w:p w14:paraId="71195710" w14:textId="77777777" w:rsidR="00861E2E" w:rsidRPr="00CA1F2C" w:rsidRDefault="00861E2E" w:rsidP="00506E02">
            <w:pPr>
              <w:pStyle w:val="Tablebodytextnospaceafter"/>
              <w:spacing w:before="30" w:after="30"/>
              <w:jc w:val="right"/>
            </w:pPr>
            <w:r w:rsidRPr="00CA1F2C">
              <w:t>9</w:t>
            </w:r>
          </w:p>
        </w:tc>
        <w:tc>
          <w:tcPr>
            <w:tcW w:w="1152" w:type="dxa"/>
          </w:tcPr>
          <w:p w14:paraId="742DEDAE" w14:textId="77777777" w:rsidR="00861E2E" w:rsidRPr="00CA1F2C" w:rsidRDefault="00861E2E" w:rsidP="00506E02">
            <w:pPr>
              <w:pStyle w:val="Tablebodytextnospaceafter"/>
              <w:spacing w:before="30" w:after="30"/>
              <w:jc w:val="right"/>
            </w:pPr>
            <w:r>
              <w:t>10</w:t>
            </w:r>
          </w:p>
        </w:tc>
        <w:tc>
          <w:tcPr>
            <w:tcW w:w="1151" w:type="dxa"/>
          </w:tcPr>
          <w:p w14:paraId="21042991" w14:textId="77777777" w:rsidR="00861E2E" w:rsidRDefault="00861E2E" w:rsidP="00506E02">
            <w:pPr>
              <w:pStyle w:val="Tablebodytextnospaceafter"/>
              <w:spacing w:before="30" w:after="30"/>
              <w:jc w:val="right"/>
            </w:pPr>
            <w:r>
              <w:t>7</w:t>
            </w:r>
          </w:p>
        </w:tc>
        <w:tc>
          <w:tcPr>
            <w:tcW w:w="1152" w:type="dxa"/>
          </w:tcPr>
          <w:p w14:paraId="37BB752B" w14:textId="77777777" w:rsidR="00861E2E" w:rsidRDefault="00861E2E" w:rsidP="00506E02">
            <w:pPr>
              <w:pStyle w:val="Tablebodytextnospaceafter"/>
              <w:spacing w:before="30" w:after="30"/>
              <w:jc w:val="right"/>
            </w:pPr>
            <w:r>
              <w:t>41</w:t>
            </w:r>
          </w:p>
        </w:tc>
        <w:tc>
          <w:tcPr>
            <w:tcW w:w="1152" w:type="dxa"/>
          </w:tcPr>
          <w:p w14:paraId="2D8AD621" w14:textId="77777777" w:rsidR="00861E2E" w:rsidRDefault="000642C8" w:rsidP="00506E02">
            <w:pPr>
              <w:pStyle w:val="Tablebodytextnospaceafter"/>
              <w:spacing w:before="30" w:after="30"/>
              <w:jc w:val="right"/>
            </w:pPr>
            <w:r>
              <w:t>74</w:t>
            </w:r>
          </w:p>
        </w:tc>
      </w:tr>
      <w:tr w:rsidR="00861E2E" w14:paraId="5B4F8DEC" w14:textId="77777777" w:rsidTr="00861E2E">
        <w:trPr>
          <w:cnfStyle w:val="000000010000" w:firstRow="0" w:lastRow="0" w:firstColumn="0" w:lastColumn="0" w:oddVBand="0" w:evenVBand="0" w:oddHBand="0" w:evenHBand="1" w:firstRowFirstColumn="0" w:firstRowLastColumn="0" w:lastRowFirstColumn="0" w:lastRowLastColumn="0"/>
          <w:trHeight w:val="60"/>
        </w:trPr>
        <w:tc>
          <w:tcPr>
            <w:tcW w:w="3490" w:type="dxa"/>
          </w:tcPr>
          <w:p w14:paraId="7C478F6A" w14:textId="77777777" w:rsidR="00861E2E" w:rsidRPr="00CA1F2C" w:rsidRDefault="00861E2E" w:rsidP="00506E02">
            <w:pPr>
              <w:pStyle w:val="Tablebodytextnospaceafter"/>
              <w:spacing w:before="30" w:after="30"/>
            </w:pPr>
            <w:r w:rsidRPr="00CA1F2C">
              <w:t xml:space="preserve">Other </w:t>
            </w:r>
            <w:r>
              <w:t>c</w:t>
            </w:r>
            <w:r w:rsidRPr="00CA1F2C">
              <w:t>ontacts</w:t>
            </w:r>
          </w:p>
        </w:tc>
        <w:tc>
          <w:tcPr>
            <w:tcW w:w="1151" w:type="dxa"/>
          </w:tcPr>
          <w:p w14:paraId="6055D40F" w14:textId="77777777" w:rsidR="00861E2E" w:rsidRPr="00CA1F2C" w:rsidRDefault="00861E2E" w:rsidP="00506E02">
            <w:pPr>
              <w:pStyle w:val="Tablebodytextnospaceafter"/>
              <w:spacing w:before="30" w:after="30"/>
              <w:jc w:val="right"/>
            </w:pPr>
            <w:r w:rsidRPr="00CA1F2C">
              <w:t>9,185</w:t>
            </w:r>
          </w:p>
        </w:tc>
        <w:tc>
          <w:tcPr>
            <w:tcW w:w="1152" w:type="dxa"/>
          </w:tcPr>
          <w:p w14:paraId="57B53BB5" w14:textId="77777777" w:rsidR="00861E2E" w:rsidRPr="00CA1F2C" w:rsidRDefault="00861E2E" w:rsidP="00506E02">
            <w:pPr>
              <w:pStyle w:val="Tablebodytextnospaceafter"/>
              <w:spacing w:before="30" w:after="30"/>
              <w:jc w:val="right"/>
            </w:pPr>
            <w:r>
              <w:t>8,168</w:t>
            </w:r>
          </w:p>
        </w:tc>
        <w:tc>
          <w:tcPr>
            <w:tcW w:w="1151" w:type="dxa"/>
          </w:tcPr>
          <w:p w14:paraId="5EC07D0C" w14:textId="77777777" w:rsidR="00861E2E" w:rsidRDefault="00861E2E" w:rsidP="00506E02">
            <w:pPr>
              <w:pStyle w:val="Tablebodytextnospaceafter"/>
              <w:spacing w:before="30" w:after="30"/>
              <w:jc w:val="right"/>
            </w:pPr>
            <w:r>
              <w:t>7,475</w:t>
            </w:r>
          </w:p>
        </w:tc>
        <w:tc>
          <w:tcPr>
            <w:tcW w:w="1152" w:type="dxa"/>
          </w:tcPr>
          <w:p w14:paraId="198A1D96" w14:textId="77777777" w:rsidR="00861E2E" w:rsidRDefault="00861E2E" w:rsidP="00506E02">
            <w:pPr>
              <w:pStyle w:val="Tablebodytextnospaceafter"/>
              <w:spacing w:before="30" w:after="30"/>
              <w:jc w:val="right"/>
            </w:pPr>
            <w:r>
              <w:t>7,143</w:t>
            </w:r>
          </w:p>
        </w:tc>
        <w:tc>
          <w:tcPr>
            <w:tcW w:w="1152" w:type="dxa"/>
          </w:tcPr>
          <w:p w14:paraId="629DD05E" w14:textId="77777777" w:rsidR="00861E2E" w:rsidRDefault="00E92439" w:rsidP="000642C8">
            <w:pPr>
              <w:pStyle w:val="Tablebodytextnospaceafter"/>
              <w:spacing w:before="30" w:after="30"/>
              <w:jc w:val="right"/>
            </w:pPr>
            <w:r>
              <w:t>7,2</w:t>
            </w:r>
            <w:r w:rsidR="000642C8">
              <w:t>12</w:t>
            </w:r>
          </w:p>
        </w:tc>
      </w:tr>
      <w:tr w:rsidR="00861E2E" w14:paraId="5B1ECDBF" w14:textId="77777777" w:rsidTr="00861E2E">
        <w:trPr>
          <w:cnfStyle w:val="000000100000" w:firstRow="0" w:lastRow="0" w:firstColumn="0" w:lastColumn="0" w:oddVBand="0" w:evenVBand="0" w:oddHBand="1" w:evenHBand="0" w:firstRowFirstColumn="0" w:firstRowLastColumn="0" w:lastRowFirstColumn="0" w:lastRowLastColumn="0"/>
          <w:trHeight w:val="60"/>
        </w:trPr>
        <w:tc>
          <w:tcPr>
            <w:tcW w:w="3490" w:type="dxa"/>
          </w:tcPr>
          <w:p w14:paraId="16048688" w14:textId="77777777" w:rsidR="00861E2E" w:rsidRPr="00CA1F2C" w:rsidRDefault="00861E2E" w:rsidP="00506E02">
            <w:pPr>
              <w:pStyle w:val="Tablebodytextnospaceafter"/>
              <w:spacing w:before="30" w:after="30"/>
            </w:pPr>
            <w:r w:rsidRPr="00CA1F2C">
              <w:t xml:space="preserve">Other work </w:t>
            </w:r>
          </w:p>
        </w:tc>
        <w:tc>
          <w:tcPr>
            <w:tcW w:w="1151" w:type="dxa"/>
          </w:tcPr>
          <w:p w14:paraId="46A9C32E" w14:textId="77777777" w:rsidR="00861E2E" w:rsidRPr="004756F2" w:rsidRDefault="00861E2E" w:rsidP="00506E02">
            <w:pPr>
              <w:pStyle w:val="Tablebodytextnospaceafter"/>
              <w:spacing w:before="30" w:after="30"/>
              <w:jc w:val="right"/>
            </w:pPr>
            <w:r w:rsidRPr="004756F2">
              <w:t>20</w:t>
            </w:r>
          </w:p>
        </w:tc>
        <w:tc>
          <w:tcPr>
            <w:tcW w:w="1152" w:type="dxa"/>
          </w:tcPr>
          <w:p w14:paraId="79B1A941" w14:textId="77777777" w:rsidR="00861E2E" w:rsidRPr="00C912F8" w:rsidRDefault="00861E2E" w:rsidP="00506E02">
            <w:pPr>
              <w:pStyle w:val="Tablebodytextnospaceafter"/>
              <w:spacing w:before="30" w:after="30"/>
              <w:jc w:val="right"/>
            </w:pPr>
            <w:r w:rsidRPr="00C912F8">
              <w:t>45</w:t>
            </w:r>
          </w:p>
        </w:tc>
        <w:tc>
          <w:tcPr>
            <w:tcW w:w="1151" w:type="dxa"/>
          </w:tcPr>
          <w:p w14:paraId="2FB711E2" w14:textId="77777777" w:rsidR="00861E2E" w:rsidRPr="00C912F8" w:rsidRDefault="00861E2E" w:rsidP="00506E02">
            <w:pPr>
              <w:pStyle w:val="Tablebodytextnospaceafter"/>
              <w:spacing w:before="30" w:after="30"/>
              <w:jc w:val="right"/>
            </w:pPr>
            <w:r>
              <w:t>24</w:t>
            </w:r>
          </w:p>
        </w:tc>
        <w:tc>
          <w:tcPr>
            <w:tcW w:w="1152" w:type="dxa"/>
          </w:tcPr>
          <w:p w14:paraId="1D35DAE7" w14:textId="77777777" w:rsidR="00861E2E" w:rsidRDefault="00861E2E" w:rsidP="00506E02">
            <w:pPr>
              <w:pStyle w:val="Tablebodytextnospaceafter"/>
              <w:spacing w:before="30" w:after="30"/>
              <w:jc w:val="right"/>
            </w:pPr>
            <w:r>
              <w:t>56</w:t>
            </w:r>
          </w:p>
        </w:tc>
        <w:tc>
          <w:tcPr>
            <w:tcW w:w="1152" w:type="dxa"/>
          </w:tcPr>
          <w:p w14:paraId="361B948E" w14:textId="77777777" w:rsidR="00861E2E" w:rsidRDefault="000642C8" w:rsidP="00506E02">
            <w:pPr>
              <w:pStyle w:val="Tablebodytextnospaceafter"/>
              <w:spacing w:before="30" w:after="30"/>
              <w:jc w:val="right"/>
            </w:pPr>
            <w:r>
              <w:t>65</w:t>
            </w:r>
          </w:p>
        </w:tc>
      </w:tr>
      <w:tr w:rsidR="00861E2E" w14:paraId="606C2EA5" w14:textId="77777777" w:rsidTr="00861E2E">
        <w:trPr>
          <w:cnfStyle w:val="000000010000" w:firstRow="0" w:lastRow="0" w:firstColumn="0" w:lastColumn="0" w:oddVBand="0" w:evenVBand="0" w:oddHBand="0" w:evenHBand="1" w:firstRowFirstColumn="0" w:firstRowLastColumn="0" w:lastRowFirstColumn="0" w:lastRowLastColumn="0"/>
          <w:trHeight w:val="60"/>
        </w:trPr>
        <w:tc>
          <w:tcPr>
            <w:tcW w:w="3490" w:type="dxa"/>
            <w:tcBorders>
              <w:bottom w:val="single" w:sz="4" w:space="0" w:color="FFFFFF" w:themeColor="background1"/>
            </w:tcBorders>
          </w:tcPr>
          <w:p w14:paraId="47C80123" w14:textId="77777777" w:rsidR="00861E2E" w:rsidRPr="00C912F8" w:rsidRDefault="00861E2E" w:rsidP="00506E02">
            <w:pPr>
              <w:pStyle w:val="Tablebodytextnospaceafter"/>
              <w:spacing w:before="30" w:after="30"/>
              <w:rPr>
                <w:rStyle w:val="Emphasis"/>
              </w:rPr>
            </w:pPr>
            <w:r w:rsidRPr="00C912F8">
              <w:rPr>
                <w:rStyle w:val="Emphasis"/>
              </w:rPr>
              <w:t>Total</w:t>
            </w:r>
          </w:p>
        </w:tc>
        <w:tc>
          <w:tcPr>
            <w:tcW w:w="1151" w:type="dxa"/>
            <w:tcBorders>
              <w:bottom w:val="single" w:sz="4" w:space="0" w:color="FFFFFF" w:themeColor="background1"/>
            </w:tcBorders>
          </w:tcPr>
          <w:p w14:paraId="5EE07301" w14:textId="77777777" w:rsidR="00861E2E" w:rsidRPr="00C912F8" w:rsidRDefault="00861E2E" w:rsidP="00506E02">
            <w:pPr>
              <w:pStyle w:val="Tablebodytextnospaceafter"/>
              <w:spacing w:before="30" w:after="30"/>
              <w:jc w:val="right"/>
              <w:rPr>
                <w:rStyle w:val="Emphasis"/>
              </w:rPr>
            </w:pPr>
            <w:r w:rsidRPr="00C912F8">
              <w:rPr>
                <w:rStyle w:val="Emphasis"/>
              </w:rPr>
              <w:t>12,786</w:t>
            </w:r>
          </w:p>
        </w:tc>
        <w:tc>
          <w:tcPr>
            <w:tcW w:w="1152" w:type="dxa"/>
            <w:tcBorders>
              <w:bottom w:val="single" w:sz="4" w:space="0" w:color="FFFFFF" w:themeColor="background1"/>
            </w:tcBorders>
          </w:tcPr>
          <w:p w14:paraId="63A8DEA7" w14:textId="77777777" w:rsidR="00861E2E" w:rsidRPr="00C912F8" w:rsidRDefault="00861E2E" w:rsidP="00506E02">
            <w:pPr>
              <w:pStyle w:val="Tablebodytextnospaceafter"/>
              <w:spacing w:before="30" w:after="30"/>
              <w:jc w:val="right"/>
              <w:rPr>
                <w:rStyle w:val="Emphasis"/>
              </w:rPr>
            </w:pPr>
            <w:r w:rsidRPr="00C912F8">
              <w:rPr>
                <w:rStyle w:val="Emphasis"/>
              </w:rPr>
              <w:t>12,141</w:t>
            </w:r>
          </w:p>
        </w:tc>
        <w:tc>
          <w:tcPr>
            <w:tcW w:w="1151" w:type="dxa"/>
            <w:tcBorders>
              <w:bottom w:val="single" w:sz="4" w:space="0" w:color="FFFFFF" w:themeColor="background1"/>
            </w:tcBorders>
          </w:tcPr>
          <w:p w14:paraId="60729F15" w14:textId="77777777" w:rsidR="00861E2E" w:rsidRPr="00C912F8" w:rsidRDefault="00861E2E" w:rsidP="00506E02">
            <w:pPr>
              <w:pStyle w:val="Tablebodytextnospaceafter"/>
              <w:spacing w:before="30" w:after="30"/>
              <w:jc w:val="right"/>
              <w:rPr>
                <w:rStyle w:val="Emphasis"/>
              </w:rPr>
            </w:pPr>
            <w:r>
              <w:rPr>
                <w:rStyle w:val="Emphasis"/>
              </w:rPr>
              <w:t>11,846</w:t>
            </w:r>
          </w:p>
        </w:tc>
        <w:tc>
          <w:tcPr>
            <w:tcW w:w="1152" w:type="dxa"/>
            <w:tcBorders>
              <w:bottom w:val="single" w:sz="4" w:space="0" w:color="FFFFFF" w:themeColor="background1"/>
            </w:tcBorders>
          </w:tcPr>
          <w:p w14:paraId="284DD07B" w14:textId="77777777" w:rsidR="00861E2E" w:rsidRDefault="00861E2E" w:rsidP="00506E02">
            <w:pPr>
              <w:pStyle w:val="Tablebodytextnospaceafter"/>
              <w:spacing w:before="30" w:after="30"/>
              <w:jc w:val="right"/>
              <w:rPr>
                <w:rStyle w:val="Emphasis"/>
              </w:rPr>
            </w:pPr>
            <w:r>
              <w:rPr>
                <w:rStyle w:val="Emphasis"/>
              </w:rPr>
              <w:t>11,793</w:t>
            </w:r>
          </w:p>
        </w:tc>
        <w:tc>
          <w:tcPr>
            <w:tcW w:w="1152" w:type="dxa"/>
            <w:tcBorders>
              <w:bottom w:val="single" w:sz="4" w:space="0" w:color="FFFFFF" w:themeColor="background1"/>
            </w:tcBorders>
          </w:tcPr>
          <w:p w14:paraId="4C43CF15" w14:textId="77777777" w:rsidR="00861E2E" w:rsidRDefault="002D4AAD" w:rsidP="00506E02">
            <w:pPr>
              <w:pStyle w:val="Tablebodytextnospaceafter"/>
              <w:spacing w:before="30" w:after="30"/>
              <w:jc w:val="right"/>
              <w:rPr>
                <w:rStyle w:val="Emphasis"/>
              </w:rPr>
            </w:pPr>
            <w:r>
              <w:rPr>
                <w:rStyle w:val="Emphasis"/>
              </w:rPr>
              <w:t>11,740</w:t>
            </w:r>
          </w:p>
        </w:tc>
      </w:tr>
      <w:tr w:rsidR="00861E2E" w14:paraId="29903673" w14:textId="77777777" w:rsidTr="00861E2E">
        <w:trPr>
          <w:cnfStyle w:val="000000100000" w:firstRow="0" w:lastRow="0" w:firstColumn="0" w:lastColumn="0" w:oddVBand="0" w:evenVBand="0" w:oddHBand="1" w:evenHBand="0" w:firstRowFirstColumn="0" w:firstRowLastColumn="0" w:lastRowFirstColumn="0" w:lastRowLastColumn="0"/>
          <w:trHeight w:val="60"/>
        </w:trPr>
        <w:tc>
          <w:tcPr>
            <w:tcW w:w="3490" w:type="dxa"/>
            <w:tcBorders>
              <w:top w:val="single" w:sz="4" w:space="0" w:color="FFFFFF" w:themeColor="background1"/>
            </w:tcBorders>
            <w:shd w:val="clear" w:color="auto" w:fill="BFBFBF"/>
          </w:tcPr>
          <w:p w14:paraId="31465DDD" w14:textId="77777777" w:rsidR="00861E2E" w:rsidRPr="009E5893" w:rsidRDefault="00861E2E" w:rsidP="00506E02">
            <w:pPr>
              <w:pStyle w:val="Tablebodytextnospaceafter"/>
              <w:spacing w:before="30" w:after="30"/>
              <w:rPr>
                <w:b/>
              </w:rPr>
            </w:pPr>
            <w:r w:rsidRPr="009E5893">
              <w:rPr>
                <w:b/>
              </w:rPr>
              <w:t>On hand at 30 June</w:t>
            </w:r>
          </w:p>
        </w:tc>
        <w:tc>
          <w:tcPr>
            <w:tcW w:w="1151" w:type="dxa"/>
            <w:tcBorders>
              <w:top w:val="single" w:sz="4" w:space="0" w:color="FFFFFF" w:themeColor="background1"/>
            </w:tcBorders>
            <w:shd w:val="clear" w:color="auto" w:fill="BFBFBF"/>
          </w:tcPr>
          <w:p w14:paraId="738BACAA" w14:textId="77777777" w:rsidR="00861E2E" w:rsidRPr="00BE4BB3" w:rsidRDefault="00861E2E" w:rsidP="00506E02">
            <w:pPr>
              <w:pStyle w:val="Tablebodytextnospaceafter"/>
              <w:spacing w:before="30" w:after="30"/>
            </w:pPr>
          </w:p>
        </w:tc>
        <w:tc>
          <w:tcPr>
            <w:tcW w:w="1152" w:type="dxa"/>
            <w:tcBorders>
              <w:top w:val="single" w:sz="4" w:space="0" w:color="FFFFFF" w:themeColor="background1"/>
            </w:tcBorders>
            <w:shd w:val="clear" w:color="auto" w:fill="BFBFBF"/>
          </w:tcPr>
          <w:p w14:paraId="506BFD9A" w14:textId="77777777" w:rsidR="00861E2E" w:rsidRPr="00BE4BB3" w:rsidRDefault="00861E2E" w:rsidP="00506E02">
            <w:pPr>
              <w:pStyle w:val="Tablebodytextnospaceafter"/>
              <w:spacing w:before="30" w:after="30"/>
            </w:pPr>
          </w:p>
        </w:tc>
        <w:tc>
          <w:tcPr>
            <w:tcW w:w="1151" w:type="dxa"/>
            <w:tcBorders>
              <w:top w:val="single" w:sz="4" w:space="0" w:color="FFFFFF" w:themeColor="background1"/>
            </w:tcBorders>
            <w:shd w:val="clear" w:color="auto" w:fill="BFBFBF"/>
          </w:tcPr>
          <w:p w14:paraId="59ECE2EC" w14:textId="77777777" w:rsidR="00861E2E" w:rsidRPr="00BE4BB3" w:rsidRDefault="00861E2E" w:rsidP="00506E02">
            <w:pPr>
              <w:pStyle w:val="Tablebodytextnospaceafter"/>
              <w:spacing w:before="30" w:after="30"/>
            </w:pPr>
          </w:p>
        </w:tc>
        <w:tc>
          <w:tcPr>
            <w:tcW w:w="1152" w:type="dxa"/>
            <w:tcBorders>
              <w:top w:val="single" w:sz="4" w:space="0" w:color="FFFFFF" w:themeColor="background1"/>
            </w:tcBorders>
            <w:shd w:val="clear" w:color="auto" w:fill="BFBFBF"/>
          </w:tcPr>
          <w:p w14:paraId="6FCA59BD" w14:textId="77777777" w:rsidR="00861E2E" w:rsidRPr="00BE4BB3" w:rsidRDefault="00861E2E" w:rsidP="00506E02">
            <w:pPr>
              <w:pStyle w:val="Tablebodytextnospaceafter"/>
              <w:spacing w:before="30" w:after="30"/>
            </w:pPr>
          </w:p>
        </w:tc>
        <w:tc>
          <w:tcPr>
            <w:tcW w:w="1152" w:type="dxa"/>
            <w:tcBorders>
              <w:top w:val="single" w:sz="4" w:space="0" w:color="FFFFFF" w:themeColor="background1"/>
            </w:tcBorders>
            <w:shd w:val="clear" w:color="auto" w:fill="BFBFBF"/>
          </w:tcPr>
          <w:p w14:paraId="40E197FA" w14:textId="77777777" w:rsidR="00861E2E" w:rsidRPr="00BE4BB3" w:rsidRDefault="00861E2E" w:rsidP="00506E02">
            <w:pPr>
              <w:pStyle w:val="Tablebodytextnospaceafter"/>
              <w:spacing w:before="30" w:after="30"/>
            </w:pPr>
          </w:p>
        </w:tc>
      </w:tr>
      <w:tr w:rsidR="00861E2E" w14:paraId="5E93EDF0" w14:textId="77777777" w:rsidTr="00861E2E">
        <w:trPr>
          <w:cnfStyle w:val="000000010000" w:firstRow="0" w:lastRow="0" w:firstColumn="0" w:lastColumn="0" w:oddVBand="0" w:evenVBand="0" w:oddHBand="0" w:evenHBand="1" w:firstRowFirstColumn="0" w:firstRowLastColumn="0" w:lastRowFirstColumn="0" w:lastRowLastColumn="0"/>
          <w:trHeight w:val="309"/>
        </w:trPr>
        <w:tc>
          <w:tcPr>
            <w:tcW w:w="3490" w:type="dxa"/>
            <w:tcBorders>
              <w:top w:val="single" w:sz="4" w:space="0" w:color="FFFFFF" w:themeColor="background1"/>
            </w:tcBorders>
          </w:tcPr>
          <w:p w14:paraId="1C85B172" w14:textId="77777777" w:rsidR="00861E2E" w:rsidRPr="00BE4BB3" w:rsidRDefault="00861E2E" w:rsidP="00506E02">
            <w:pPr>
              <w:pStyle w:val="Tablebodytextnospaceafter"/>
              <w:spacing w:before="30" w:after="30"/>
            </w:pPr>
            <w:r w:rsidRPr="00BE4BB3">
              <w:t>Ombudsmen Act</w:t>
            </w:r>
          </w:p>
        </w:tc>
        <w:tc>
          <w:tcPr>
            <w:tcW w:w="1151" w:type="dxa"/>
          </w:tcPr>
          <w:p w14:paraId="4FF529D2" w14:textId="77777777" w:rsidR="00861E2E" w:rsidRPr="00CA1F2C" w:rsidRDefault="00861E2E" w:rsidP="00506E02">
            <w:pPr>
              <w:pStyle w:val="Tablebodytextnospaceafter"/>
              <w:spacing w:before="30" w:after="30"/>
              <w:jc w:val="right"/>
            </w:pPr>
            <w:r w:rsidRPr="00CA1F2C">
              <w:t>542</w:t>
            </w:r>
          </w:p>
        </w:tc>
        <w:tc>
          <w:tcPr>
            <w:tcW w:w="1152" w:type="dxa"/>
          </w:tcPr>
          <w:p w14:paraId="0B523B1A" w14:textId="77777777" w:rsidR="00861E2E" w:rsidRPr="00CA1F2C" w:rsidRDefault="00861E2E" w:rsidP="00506E02">
            <w:pPr>
              <w:pStyle w:val="Tablebodytextnospaceafter"/>
              <w:spacing w:before="30" w:after="30"/>
              <w:jc w:val="right"/>
            </w:pPr>
            <w:r>
              <w:t>430</w:t>
            </w:r>
          </w:p>
        </w:tc>
        <w:tc>
          <w:tcPr>
            <w:tcW w:w="1151" w:type="dxa"/>
          </w:tcPr>
          <w:p w14:paraId="6CB217CE" w14:textId="77777777" w:rsidR="00861E2E" w:rsidRDefault="00861E2E" w:rsidP="00506E02">
            <w:pPr>
              <w:pStyle w:val="Tablebodytextnospaceafter"/>
              <w:spacing w:before="30" w:after="30"/>
              <w:jc w:val="right"/>
            </w:pPr>
            <w:r>
              <w:t>296</w:t>
            </w:r>
          </w:p>
        </w:tc>
        <w:tc>
          <w:tcPr>
            <w:tcW w:w="1152" w:type="dxa"/>
          </w:tcPr>
          <w:p w14:paraId="07481EFE" w14:textId="77777777" w:rsidR="00861E2E" w:rsidRDefault="00861E2E" w:rsidP="00506E02">
            <w:pPr>
              <w:pStyle w:val="Tablebodytextnospaceafter"/>
              <w:spacing w:before="30" w:after="30"/>
              <w:jc w:val="right"/>
            </w:pPr>
            <w:r>
              <w:t>354</w:t>
            </w:r>
          </w:p>
        </w:tc>
        <w:tc>
          <w:tcPr>
            <w:tcW w:w="1152" w:type="dxa"/>
          </w:tcPr>
          <w:p w14:paraId="74D9B223" w14:textId="77777777" w:rsidR="00861E2E" w:rsidRDefault="009A1F31" w:rsidP="00506E02">
            <w:pPr>
              <w:pStyle w:val="Tablebodytextnospaceafter"/>
              <w:spacing w:before="30" w:after="30"/>
              <w:jc w:val="right"/>
            </w:pPr>
            <w:r>
              <w:t>500</w:t>
            </w:r>
          </w:p>
        </w:tc>
      </w:tr>
      <w:tr w:rsidR="00861E2E" w14:paraId="5E85125C" w14:textId="77777777" w:rsidTr="00861E2E">
        <w:trPr>
          <w:cnfStyle w:val="000000100000" w:firstRow="0" w:lastRow="0" w:firstColumn="0" w:lastColumn="0" w:oddVBand="0" w:evenVBand="0" w:oddHBand="1" w:evenHBand="0" w:firstRowFirstColumn="0" w:firstRowLastColumn="0" w:lastRowFirstColumn="0" w:lastRowLastColumn="0"/>
          <w:trHeight w:val="60"/>
        </w:trPr>
        <w:tc>
          <w:tcPr>
            <w:tcW w:w="3490" w:type="dxa"/>
          </w:tcPr>
          <w:p w14:paraId="6C1BE887" w14:textId="77777777" w:rsidR="00861E2E" w:rsidRPr="00BE4BB3" w:rsidRDefault="00861E2E" w:rsidP="00506E02">
            <w:pPr>
              <w:pStyle w:val="Tablebodytextnospaceafter"/>
              <w:spacing w:before="30" w:after="30"/>
            </w:pPr>
            <w:r w:rsidRPr="00BE4BB3">
              <w:t>Official Information Act</w:t>
            </w:r>
          </w:p>
        </w:tc>
        <w:tc>
          <w:tcPr>
            <w:tcW w:w="1151" w:type="dxa"/>
          </w:tcPr>
          <w:p w14:paraId="05B462CE" w14:textId="77777777" w:rsidR="00861E2E" w:rsidRPr="00CA1F2C" w:rsidRDefault="00861E2E" w:rsidP="00506E02">
            <w:pPr>
              <w:pStyle w:val="Tablebodytextnospaceafter"/>
              <w:spacing w:before="30" w:after="30"/>
              <w:jc w:val="right"/>
            </w:pPr>
            <w:r w:rsidRPr="00CA1F2C">
              <w:t>849</w:t>
            </w:r>
          </w:p>
        </w:tc>
        <w:tc>
          <w:tcPr>
            <w:tcW w:w="1152" w:type="dxa"/>
          </w:tcPr>
          <w:p w14:paraId="743F31B4" w14:textId="77777777" w:rsidR="00861E2E" w:rsidRPr="00CA1F2C" w:rsidRDefault="00861E2E" w:rsidP="00506E02">
            <w:pPr>
              <w:pStyle w:val="Tablebodytextnospaceafter"/>
              <w:spacing w:before="30" w:after="30"/>
              <w:jc w:val="right"/>
            </w:pPr>
            <w:r>
              <w:t>647</w:t>
            </w:r>
          </w:p>
        </w:tc>
        <w:tc>
          <w:tcPr>
            <w:tcW w:w="1151" w:type="dxa"/>
          </w:tcPr>
          <w:p w14:paraId="3762C16C" w14:textId="77777777" w:rsidR="00861E2E" w:rsidRDefault="00861E2E" w:rsidP="00506E02">
            <w:pPr>
              <w:pStyle w:val="Tablebodytextnospaceafter"/>
              <w:spacing w:before="30" w:after="30"/>
              <w:jc w:val="right"/>
            </w:pPr>
            <w:r>
              <w:t>427</w:t>
            </w:r>
          </w:p>
        </w:tc>
        <w:tc>
          <w:tcPr>
            <w:tcW w:w="1152" w:type="dxa"/>
          </w:tcPr>
          <w:p w14:paraId="62A32FF6" w14:textId="77777777" w:rsidR="00861E2E" w:rsidRDefault="00861E2E" w:rsidP="00506E02">
            <w:pPr>
              <w:pStyle w:val="Tablebodytextnospaceafter"/>
              <w:spacing w:before="30" w:after="30"/>
              <w:jc w:val="right"/>
            </w:pPr>
            <w:r>
              <w:t>469</w:t>
            </w:r>
          </w:p>
        </w:tc>
        <w:tc>
          <w:tcPr>
            <w:tcW w:w="1152" w:type="dxa"/>
          </w:tcPr>
          <w:p w14:paraId="2973E781" w14:textId="77777777" w:rsidR="00861E2E" w:rsidRDefault="00E92439" w:rsidP="00506E02">
            <w:pPr>
              <w:pStyle w:val="Tablebodytextnospaceafter"/>
              <w:spacing w:before="30" w:after="30"/>
              <w:jc w:val="right"/>
            </w:pPr>
            <w:r>
              <w:t>428</w:t>
            </w:r>
          </w:p>
        </w:tc>
      </w:tr>
      <w:tr w:rsidR="00861E2E" w14:paraId="1FC9A2B6" w14:textId="77777777" w:rsidTr="00861E2E">
        <w:trPr>
          <w:cnfStyle w:val="000000010000" w:firstRow="0" w:lastRow="0" w:firstColumn="0" w:lastColumn="0" w:oddVBand="0" w:evenVBand="0" w:oddHBand="0" w:evenHBand="1" w:firstRowFirstColumn="0" w:firstRowLastColumn="0" w:lastRowFirstColumn="0" w:lastRowLastColumn="0"/>
          <w:trHeight w:val="60"/>
        </w:trPr>
        <w:tc>
          <w:tcPr>
            <w:tcW w:w="3490" w:type="dxa"/>
          </w:tcPr>
          <w:p w14:paraId="321E2CBD" w14:textId="77777777" w:rsidR="00861E2E" w:rsidRPr="00BE4BB3" w:rsidRDefault="00861E2E" w:rsidP="00506E02">
            <w:pPr>
              <w:pStyle w:val="Tablebodytextnospaceafter"/>
              <w:spacing w:before="30" w:after="30"/>
            </w:pPr>
            <w:r w:rsidRPr="00BE4BB3">
              <w:t>Local Government Official Information and Meetings Act</w:t>
            </w:r>
          </w:p>
        </w:tc>
        <w:tc>
          <w:tcPr>
            <w:tcW w:w="1151" w:type="dxa"/>
          </w:tcPr>
          <w:p w14:paraId="4AA715EB" w14:textId="77777777" w:rsidR="00861E2E" w:rsidRPr="00CA1F2C" w:rsidRDefault="00861E2E" w:rsidP="00506E02">
            <w:pPr>
              <w:pStyle w:val="Tablebodytextnospaceafter"/>
              <w:spacing w:before="30" w:after="30"/>
              <w:jc w:val="right"/>
            </w:pPr>
            <w:r w:rsidRPr="00CA1F2C">
              <w:t>153</w:t>
            </w:r>
          </w:p>
        </w:tc>
        <w:tc>
          <w:tcPr>
            <w:tcW w:w="1152" w:type="dxa"/>
          </w:tcPr>
          <w:p w14:paraId="0700A840" w14:textId="77777777" w:rsidR="00861E2E" w:rsidRPr="00CA1F2C" w:rsidRDefault="00861E2E" w:rsidP="00506E02">
            <w:pPr>
              <w:pStyle w:val="Tablebodytextnospaceafter"/>
              <w:spacing w:before="30" w:after="30"/>
              <w:jc w:val="right"/>
            </w:pPr>
            <w:r>
              <w:t>142</w:t>
            </w:r>
          </w:p>
        </w:tc>
        <w:tc>
          <w:tcPr>
            <w:tcW w:w="1151" w:type="dxa"/>
          </w:tcPr>
          <w:p w14:paraId="3F43447D" w14:textId="77777777" w:rsidR="00861E2E" w:rsidRDefault="00861E2E" w:rsidP="00506E02">
            <w:pPr>
              <w:pStyle w:val="Tablebodytextnospaceafter"/>
              <w:spacing w:before="30" w:after="30"/>
              <w:jc w:val="right"/>
            </w:pPr>
            <w:r>
              <w:t>97</w:t>
            </w:r>
          </w:p>
        </w:tc>
        <w:tc>
          <w:tcPr>
            <w:tcW w:w="1152" w:type="dxa"/>
          </w:tcPr>
          <w:p w14:paraId="12A753D1" w14:textId="77777777" w:rsidR="00861E2E" w:rsidRDefault="00861E2E" w:rsidP="00506E02">
            <w:pPr>
              <w:pStyle w:val="Tablebodytextnospaceafter"/>
              <w:spacing w:before="30" w:after="30"/>
              <w:jc w:val="right"/>
            </w:pPr>
            <w:r>
              <w:t>122</w:t>
            </w:r>
          </w:p>
        </w:tc>
        <w:tc>
          <w:tcPr>
            <w:tcW w:w="1152" w:type="dxa"/>
          </w:tcPr>
          <w:p w14:paraId="38473BB0" w14:textId="77777777" w:rsidR="00861E2E" w:rsidRDefault="00E92439" w:rsidP="00506E02">
            <w:pPr>
              <w:pStyle w:val="Tablebodytextnospaceafter"/>
              <w:spacing w:before="30" w:after="30"/>
              <w:jc w:val="right"/>
            </w:pPr>
            <w:r>
              <w:t>123</w:t>
            </w:r>
          </w:p>
        </w:tc>
      </w:tr>
      <w:tr w:rsidR="00861E2E" w14:paraId="331AB7F6" w14:textId="77777777" w:rsidTr="00861E2E">
        <w:trPr>
          <w:cnfStyle w:val="000000100000" w:firstRow="0" w:lastRow="0" w:firstColumn="0" w:lastColumn="0" w:oddVBand="0" w:evenVBand="0" w:oddHBand="1" w:evenHBand="0" w:firstRowFirstColumn="0" w:firstRowLastColumn="0" w:lastRowFirstColumn="0" w:lastRowLastColumn="0"/>
          <w:trHeight w:val="60"/>
        </w:trPr>
        <w:tc>
          <w:tcPr>
            <w:tcW w:w="3490" w:type="dxa"/>
          </w:tcPr>
          <w:p w14:paraId="1573D671" w14:textId="77777777" w:rsidR="00861E2E" w:rsidRPr="00BE4BB3" w:rsidRDefault="00861E2E" w:rsidP="00506E02">
            <w:pPr>
              <w:pStyle w:val="Tablebodytextnospaceafter"/>
              <w:spacing w:before="30" w:after="30"/>
            </w:pPr>
            <w:r w:rsidRPr="00BE4BB3">
              <w:t>Protected Disclosures Act</w:t>
            </w:r>
          </w:p>
        </w:tc>
        <w:tc>
          <w:tcPr>
            <w:tcW w:w="1151" w:type="dxa"/>
          </w:tcPr>
          <w:p w14:paraId="17F67AFB" w14:textId="77777777" w:rsidR="00861E2E" w:rsidRPr="00CA1F2C" w:rsidRDefault="00861E2E" w:rsidP="00506E02">
            <w:pPr>
              <w:pStyle w:val="Tablebodytextnospaceafter"/>
              <w:spacing w:before="30" w:after="30"/>
              <w:jc w:val="right"/>
            </w:pPr>
            <w:r w:rsidRPr="00CA1F2C">
              <w:t>2</w:t>
            </w:r>
          </w:p>
        </w:tc>
        <w:tc>
          <w:tcPr>
            <w:tcW w:w="1152" w:type="dxa"/>
          </w:tcPr>
          <w:p w14:paraId="65D89F10" w14:textId="77777777" w:rsidR="00861E2E" w:rsidRPr="00CA1F2C" w:rsidRDefault="00861E2E" w:rsidP="00506E02">
            <w:pPr>
              <w:pStyle w:val="Tablebodytextnospaceafter"/>
              <w:spacing w:before="30" w:after="30"/>
              <w:jc w:val="right"/>
            </w:pPr>
            <w:r>
              <w:t>2</w:t>
            </w:r>
          </w:p>
        </w:tc>
        <w:tc>
          <w:tcPr>
            <w:tcW w:w="1151" w:type="dxa"/>
          </w:tcPr>
          <w:p w14:paraId="425B0546" w14:textId="77777777" w:rsidR="00861E2E" w:rsidRDefault="00861E2E" w:rsidP="00506E02">
            <w:pPr>
              <w:pStyle w:val="Tablebodytextnospaceafter"/>
              <w:spacing w:before="30" w:after="30"/>
              <w:jc w:val="right"/>
            </w:pPr>
            <w:r>
              <w:t>3</w:t>
            </w:r>
          </w:p>
        </w:tc>
        <w:tc>
          <w:tcPr>
            <w:tcW w:w="1152" w:type="dxa"/>
          </w:tcPr>
          <w:p w14:paraId="38E62DD0" w14:textId="77777777" w:rsidR="00861E2E" w:rsidRDefault="00861E2E" w:rsidP="00506E02">
            <w:pPr>
              <w:pStyle w:val="Tablebodytextnospaceafter"/>
              <w:spacing w:before="30" w:after="30"/>
              <w:jc w:val="right"/>
            </w:pPr>
            <w:r>
              <w:t>1</w:t>
            </w:r>
          </w:p>
        </w:tc>
        <w:tc>
          <w:tcPr>
            <w:tcW w:w="1152" w:type="dxa"/>
          </w:tcPr>
          <w:p w14:paraId="7178672A" w14:textId="77777777" w:rsidR="00861E2E" w:rsidRDefault="000642C8" w:rsidP="00506E02">
            <w:pPr>
              <w:pStyle w:val="Tablebodytextnospaceafter"/>
              <w:spacing w:before="30" w:after="30"/>
              <w:jc w:val="right"/>
            </w:pPr>
            <w:r>
              <w:t>5</w:t>
            </w:r>
          </w:p>
        </w:tc>
      </w:tr>
      <w:tr w:rsidR="00861E2E" w14:paraId="42BDD1DA" w14:textId="77777777" w:rsidTr="00861E2E">
        <w:trPr>
          <w:cnfStyle w:val="000000010000" w:firstRow="0" w:lastRow="0" w:firstColumn="0" w:lastColumn="0" w:oddVBand="0" w:evenVBand="0" w:oddHBand="0" w:evenHBand="1" w:firstRowFirstColumn="0" w:firstRowLastColumn="0" w:lastRowFirstColumn="0" w:lastRowLastColumn="0"/>
          <w:trHeight w:val="60"/>
        </w:trPr>
        <w:tc>
          <w:tcPr>
            <w:tcW w:w="3490" w:type="dxa"/>
          </w:tcPr>
          <w:p w14:paraId="23101C08" w14:textId="77777777" w:rsidR="00861E2E" w:rsidRPr="00BE4BB3" w:rsidRDefault="00861E2E" w:rsidP="00506E02">
            <w:pPr>
              <w:pStyle w:val="Tablebodytextnospaceafter"/>
              <w:spacing w:before="30" w:after="30"/>
            </w:pPr>
            <w:r w:rsidRPr="00BE4BB3">
              <w:t xml:space="preserve">Other </w:t>
            </w:r>
            <w:r>
              <w:t>c</w:t>
            </w:r>
            <w:r w:rsidRPr="00BE4BB3">
              <w:t>ontacts</w:t>
            </w:r>
          </w:p>
        </w:tc>
        <w:tc>
          <w:tcPr>
            <w:tcW w:w="1151" w:type="dxa"/>
          </w:tcPr>
          <w:p w14:paraId="3C101335" w14:textId="77777777" w:rsidR="00861E2E" w:rsidRPr="00CA1F2C" w:rsidRDefault="00861E2E" w:rsidP="00506E02">
            <w:pPr>
              <w:pStyle w:val="Tablebodytextnospaceafter"/>
              <w:spacing w:before="30" w:after="30"/>
              <w:jc w:val="right"/>
            </w:pPr>
            <w:r w:rsidRPr="00CA1F2C">
              <w:t>15</w:t>
            </w:r>
          </w:p>
        </w:tc>
        <w:tc>
          <w:tcPr>
            <w:tcW w:w="1152" w:type="dxa"/>
          </w:tcPr>
          <w:p w14:paraId="4FBDA9DA" w14:textId="77777777" w:rsidR="00861E2E" w:rsidRPr="00CA1F2C" w:rsidRDefault="00861E2E" w:rsidP="00506E02">
            <w:pPr>
              <w:pStyle w:val="Tablebodytextnospaceafter"/>
              <w:spacing w:before="30" w:after="30"/>
              <w:jc w:val="right"/>
            </w:pPr>
            <w:r>
              <w:t>45</w:t>
            </w:r>
          </w:p>
        </w:tc>
        <w:tc>
          <w:tcPr>
            <w:tcW w:w="1151" w:type="dxa"/>
          </w:tcPr>
          <w:p w14:paraId="3A29E29E" w14:textId="77777777" w:rsidR="00861E2E" w:rsidRDefault="00861E2E" w:rsidP="00506E02">
            <w:pPr>
              <w:pStyle w:val="Tablebodytextnospaceafter"/>
              <w:spacing w:before="30" w:after="30"/>
              <w:jc w:val="right"/>
            </w:pPr>
            <w:r>
              <w:t>45</w:t>
            </w:r>
          </w:p>
        </w:tc>
        <w:tc>
          <w:tcPr>
            <w:tcW w:w="1152" w:type="dxa"/>
          </w:tcPr>
          <w:p w14:paraId="73E799BE" w14:textId="77777777" w:rsidR="00861E2E" w:rsidRDefault="00861E2E" w:rsidP="00506E02">
            <w:pPr>
              <w:pStyle w:val="Tablebodytextnospaceafter"/>
              <w:spacing w:before="30" w:after="30"/>
              <w:jc w:val="right"/>
            </w:pPr>
            <w:r>
              <w:t>22</w:t>
            </w:r>
          </w:p>
        </w:tc>
        <w:tc>
          <w:tcPr>
            <w:tcW w:w="1152" w:type="dxa"/>
          </w:tcPr>
          <w:p w14:paraId="1701FFC4" w14:textId="77777777" w:rsidR="00E92439" w:rsidRDefault="000642C8" w:rsidP="00E92439">
            <w:pPr>
              <w:pStyle w:val="Tablebodytextnospaceafter"/>
              <w:spacing w:before="30" w:after="30"/>
              <w:jc w:val="right"/>
            </w:pPr>
            <w:r>
              <w:t>27</w:t>
            </w:r>
          </w:p>
        </w:tc>
      </w:tr>
      <w:tr w:rsidR="00861E2E" w14:paraId="5296C1D7" w14:textId="77777777" w:rsidTr="00861E2E">
        <w:trPr>
          <w:cnfStyle w:val="000000100000" w:firstRow="0" w:lastRow="0" w:firstColumn="0" w:lastColumn="0" w:oddVBand="0" w:evenVBand="0" w:oddHBand="1" w:evenHBand="0" w:firstRowFirstColumn="0" w:firstRowLastColumn="0" w:lastRowFirstColumn="0" w:lastRowLastColumn="0"/>
          <w:trHeight w:val="228"/>
        </w:trPr>
        <w:tc>
          <w:tcPr>
            <w:tcW w:w="3490" w:type="dxa"/>
          </w:tcPr>
          <w:p w14:paraId="07287543" w14:textId="77777777" w:rsidR="00861E2E" w:rsidRPr="00BE4BB3" w:rsidRDefault="00861E2E" w:rsidP="00506E02">
            <w:pPr>
              <w:pStyle w:val="Tablebodytextnospaceafter"/>
              <w:spacing w:before="30" w:after="30"/>
            </w:pPr>
            <w:r w:rsidRPr="00BE4BB3">
              <w:t xml:space="preserve">Other </w:t>
            </w:r>
            <w:r>
              <w:t>w</w:t>
            </w:r>
            <w:r w:rsidRPr="00BE4BB3">
              <w:t xml:space="preserve">ork </w:t>
            </w:r>
          </w:p>
        </w:tc>
        <w:tc>
          <w:tcPr>
            <w:tcW w:w="1151" w:type="dxa"/>
          </w:tcPr>
          <w:p w14:paraId="36272F62" w14:textId="77777777" w:rsidR="00861E2E" w:rsidRPr="00CA1F2C" w:rsidRDefault="00861E2E" w:rsidP="00506E02">
            <w:pPr>
              <w:pStyle w:val="Tablebodytextnospaceafter"/>
              <w:spacing w:before="30" w:after="30"/>
              <w:jc w:val="right"/>
            </w:pPr>
            <w:r>
              <w:t>30</w:t>
            </w:r>
          </w:p>
        </w:tc>
        <w:tc>
          <w:tcPr>
            <w:tcW w:w="1152" w:type="dxa"/>
          </w:tcPr>
          <w:p w14:paraId="1851843E" w14:textId="77777777" w:rsidR="00861E2E" w:rsidRPr="00CA1F2C" w:rsidRDefault="00861E2E" w:rsidP="00506E02">
            <w:pPr>
              <w:pStyle w:val="Tablebodytextnospaceafter"/>
              <w:spacing w:before="30" w:after="30"/>
              <w:jc w:val="right"/>
            </w:pPr>
            <w:r>
              <w:t>28</w:t>
            </w:r>
          </w:p>
        </w:tc>
        <w:tc>
          <w:tcPr>
            <w:tcW w:w="1151" w:type="dxa"/>
          </w:tcPr>
          <w:p w14:paraId="0A4AF680" w14:textId="77777777" w:rsidR="00861E2E" w:rsidRDefault="00861E2E" w:rsidP="00506E02">
            <w:pPr>
              <w:pStyle w:val="Tablebodytextnospaceafter"/>
              <w:spacing w:before="30" w:after="30"/>
              <w:jc w:val="right"/>
            </w:pPr>
            <w:r>
              <w:t>48</w:t>
            </w:r>
          </w:p>
        </w:tc>
        <w:tc>
          <w:tcPr>
            <w:tcW w:w="1152" w:type="dxa"/>
          </w:tcPr>
          <w:p w14:paraId="78DF33E9" w14:textId="77777777" w:rsidR="00861E2E" w:rsidRDefault="00861E2E" w:rsidP="00506E02">
            <w:pPr>
              <w:pStyle w:val="Tablebodytextnospaceafter"/>
              <w:spacing w:before="30" w:after="30"/>
              <w:jc w:val="right"/>
            </w:pPr>
            <w:r>
              <w:t>41</w:t>
            </w:r>
          </w:p>
        </w:tc>
        <w:tc>
          <w:tcPr>
            <w:tcW w:w="1152" w:type="dxa"/>
          </w:tcPr>
          <w:p w14:paraId="25D76051" w14:textId="77777777" w:rsidR="00861E2E" w:rsidRDefault="000642C8" w:rsidP="00506E02">
            <w:pPr>
              <w:pStyle w:val="Tablebodytextnospaceafter"/>
              <w:spacing w:before="30" w:after="30"/>
              <w:jc w:val="right"/>
            </w:pPr>
            <w:r>
              <w:t>49</w:t>
            </w:r>
          </w:p>
        </w:tc>
      </w:tr>
      <w:tr w:rsidR="00861E2E" w14:paraId="6AD2CD5E" w14:textId="77777777" w:rsidTr="00861E2E">
        <w:trPr>
          <w:cnfStyle w:val="000000010000" w:firstRow="0" w:lastRow="0" w:firstColumn="0" w:lastColumn="0" w:oddVBand="0" w:evenVBand="0" w:oddHBand="0" w:evenHBand="1" w:firstRowFirstColumn="0" w:firstRowLastColumn="0" w:lastRowFirstColumn="0" w:lastRowLastColumn="0"/>
          <w:trHeight w:val="305"/>
        </w:trPr>
        <w:tc>
          <w:tcPr>
            <w:tcW w:w="3490" w:type="dxa"/>
          </w:tcPr>
          <w:p w14:paraId="7C973AB4" w14:textId="77777777" w:rsidR="00861E2E" w:rsidRPr="00C912F8" w:rsidRDefault="00861E2E" w:rsidP="00506E02">
            <w:pPr>
              <w:pStyle w:val="Tablebodytextnospaceafter"/>
              <w:spacing w:before="30" w:after="30"/>
              <w:rPr>
                <w:rStyle w:val="Emphasis"/>
              </w:rPr>
            </w:pPr>
            <w:r w:rsidRPr="00C912F8">
              <w:rPr>
                <w:rStyle w:val="Emphasis"/>
              </w:rPr>
              <w:t>Total</w:t>
            </w:r>
          </w:p>
        </w:tc>
        <w:tc>
          <w:tcPr>
            <w:tcW w:w="1151" w:type="dxa"/>
          </w:tcPr>
          <w:p w14:paraId="50B41748" w14:textId="77777777" w:rsidR="00861E2E" w:rsidRPr="00C912F8" w:rsidRDefault="00861E2E" w:rsidP="00506E02">
            <w:pPr>
              <w:pStyle w:val="Tablebodytextnospaceafter"/>
              <w:spacing w:before="30" w:after="30"/>
              <w:jc w:val="right"/>
              <w:rPr>
                <w:rStyle w:val="Emphasis"/>
              </w:rPr>
            </w:pPr>
            <w:r w:rsidRPr="00C912F8">
              <w:rPr>
                <w:rStyle w:val="Emphasis"/>
              </w:rPr>
              <w:t>1,591</w:t>
            </w:r>
          </w:p>
        </w:tc>
        <w:tc>
          <w:tcPr>
            <w:tcW w:w="1152" w:type="dxa"/>
          </w:tcPr>
          <w:p w14:paraId="27EE03CB" w14:textId="77777777" w:rsidR="00861E2E" w:rsidRPr="00C912F8" w:rsidRDefault="00861E2E" w:rsidP="00506E02">
            <w:pPr>
              <w:pStyle w:val="Tablebodytextnospaceafter"/>
              <w:spacing w:before="30" w:after="30"/>
              <w:jc w:val="right"/>
              <w:rPr>
                <w:rStyle w:val="Emphasis"/>
              </w:rPr>
            </w:pPr>
            <w:r>
              <w:rPr>
                <w:rStyle w:val="Emphasis"/>
              </w:rPr>
              <w:t>1,294</w:t>
            </w:r>
          </w:p>
        </w:tc>
        <w:tc>
          <w:tcPr>
            <w:tcW w:w="1151" w:type="dxa"/>
          </w:tcPr>
          <w:p w14:paraId="71144607" w14:textId="77777777" w:rsidR="00861E2E" w:rsidRDefault="00861E2E" w:rsidP="00506E02">
            <w:pPr>
              <w:pStyle w:val="Tablebodytextnospaceafter"/>
              <w:spacing w:before="30" w:after="30"/>
              <w:jc w:val="right"/>
              <w:rPr>
                <w:rStyle w:val="Emphasis"/>
              </w:rPr>
            </w:pPr>
            <w:r>
              <w:rPr>
                <w:rStyle w:val="Emphasis"/>
              </w:rPr>
              <w:t>916</w:t>
            </w:r>
          </w:p>
        </w:tc>
        <w:tc>
          <w:tcPr>
            <w:tcW w:w="1152" w:type="dxa"/>
          </w:tcPr>
          <w:p w14:paraId="31CF7F18" w14:textId="77777777" w:rsidR="00861E2E" w:rsidRDefault="00861E2E" w:rsidP="00506E02">
            <w:pPr>
              <w:pStyle w:val="Tablebodytextnospaceafter"/>
              <w:spacing w:before="30" w:after="30"/>
              <w:jc w:val="right"/>
              <w:rPr>
                <w:rStyle w:val="Emphasis"/>
              </w:rPr>
            </w:pPr>
            <w:r>
              <w:rPr>
                <w:rStyle w:val="Emphasis"/>
              </w:rPr>
              <w:t>1,009</w:t>
            </w:r>
          </w:p>
        </w:tc>
        <w:tc>
          <w:tcPr>
            <w:tcW w:w="1152" w:type="dxa"/>
          </w:tcPr>
          <w:p w14:paraId="004B7BA3" w14:textId="77777777" w:rsidR="00861E2E" w:rsidRDefault="002D4AAD" w:rsidP="009A1F31">
            <w:pPr>
              <w:pStyle w:val="Tablebodytextnospaceafter"/>
              <w:spacing w:before="30" w:after="30"/>
              <w:jc w:val="right"/>
              <w:rPr>
                <w:rStyle w:val="Emphasis"/>
              </w:rPr>
            </w:pPr>
            <w:r>
              <w:rPr>
                <w:rStyle w:val="Emphasis"/>
              </w:rPr>
              <w:t>1,</w:t>
            </w:r>
            <w:r w:rsidR="009A1F31">
              <w:rPr>
                <w:rStyle w:val="Emphasis"/>
              </w:rPr>
              <w:t>132</w:t>
            </w:r>
          </w:p>
        </w:tc>
      </w:tr>
    </w:tbl>
    <w:bookmarkStart w:id="163" w:name="_Contact_type—who_matters"/>
    <w:bookmarkStart w:id="164" w:name="_Ref336353072"/>
    <w:bookmarkEnd w:id="163"/>
    <w:p w14:paraId="341D6EFC" w14:textId="435DACCE" w:rsidR="00DF1795" w:rsidRDefault="00DF1795" w:rsidP="00DF1795">
      <w:r>
        <w:fldChar w:fldCharType="begin"/>
      </w:r>
      <w:r>
        <w:instrText xml:space="preserve"> HYPERLINK \l "Contents" </w:instrText>
      </w:r>
      <w:r>
        <w:fldChar w:fldCharType="separate"/>
      </w:r>
      <w:r w:rsidRPr="00F5248A">
        <w:rPr>
          <w:rStyle w:val="Hyperlink"/>
        </w:rPr>
        <w:t>Back to contents</w:t>
      </w:r>
      <w:r>
        <w:rPr>
          <w:rStyle w:val="Hyperlink"/>
        </w:rPr>
        <w:fldChar w:fldCharType="end"/>
      </w:r>
      <w:r>
        <w:t>.</w:t>
      </w:r>
    </w:p>
    <w:p w14:paraId="683787B2" w14:textId="77777777" w:rsidR="00F15F11" w:rsidRDefault="00F15F11" w:rsidP="00DF1795"/>
    <w:p w14:paraId="355DA2D0" w14:textId="3421350A" w:rsidR="00DF1795" w:rsidRDefault="00DF1795" w:rsidP="00DF1795">
      <w:pPr>
        <w:pStyle w:val="Heading2"/>
        <w:spacing w:before="480"/>
      </w:pPr>
      <w:bookmarkStart w:id="165" w:name="_Contact_type—who_matters_1"/>
      <w:bookmarkStart w:id="166" w:name="_Ref54703140"/>
      <w:bookmarkEnd w:id="165"/>
      <w:r w:rsidRPr="00BE4BB3">
        <w:t>Co</w:t>
      </w:r>
      <w:r>
        <w:t>ntact type</w:t>
      </w:r>
      <w:bookmarkEnd w:id="164"/>
      <w:r>
        <w:t>—who matters were received from</w:t>
      </w:r>
      <w:bookmarkEnd w:id="166"/>
    </w:p>
    <w:p w14:paraId="78FC8D95" w14:textId="6A8525CB" w:rsidR="00E30A53" w:rsidRPr="00E30A53" w:rsidRDefault="00E30A53" w:rsidP="00D957EE">
      <w:pPr>
        <w:pStyle w:val="Heading4"/>
      </w:pPr>
      <w:r>
        <w:t>3. Contact type</w:t>
      </w:r>
    </w:p>
    <w:tbl>
      <w:tblPr>
        <w:tblStyle w:val="TableGridAnnualReport"/>
        <w:tblW w:w="9258" w:type="dxa"/>
        <w:tblInd w:w="20" w:type="dxa"/>
        <w:tblLook w:val="0420" w:firstRow="1" w:lastRow="0" w:firstColumn="0" w:lastColumn="0" w:noHBand="0" w:noVBand="1"/>
        <w:tblCaption w:val="Table for formatting purposes"/>
      </w:tblPr>
      <w:tblGrid>
        <w:gridCol w:w="6546"/>
        <w:gridCol w:w="1356"/>
        <w:gridCol w:w="1356"/>
      </w:tblGrid>
      <w:tr w:rsidR="00E92439" w14:paraId="5B055640" w14:textId="77777777" w:rsidTr="00E92439">
        <w:trPr>
          <w:cnfStyle w:val="100000000000" w:firstRow="1" w:lastRow="0" w:firstColumn="0" w:lastColumn="0" w:oddVBand="0" w:evenVBand="0" w:oddHBand="0" w:evenHBand="0" w:firstRowFirstColumn="0" w:firstRowLastColumn="0" w:lastRowFirstColumn="0" w:lastRowLastColumn="0"/>
        </w:trPr>
        <w:tc>
          <w:tcPr>
            <w:tcW w:w="6546" w:type="dxa"/>
          </w:tcPr>
          <w:p w14:paraId="643BD5A9" w14:textId="13B85D53" w:rsidR="00E92439" w:rsidRPr="00D67CBD" w:rsidRDefault="00E92439" w:rsidP="00506E02">
            <w:pPr>
              <w:pStyle w:val="Tableheadingrow1"/>
            </w:pPr>
          </w:p>
        </w:tc>
        <w:tc>
          <w:tcPr>
            <w:tcW w:w="1356" w:type="dxa"/>
          </w:tcPr>
          <w:p w14:paraId="668094E6" w14:textId="77777777" w:rsidR="00E92439" w:rsidRDefault="00E92439" w:rsidP="00506E02">
            <w:pPr>
              <w:pStyle w:val="Tableheadingrow1"/>
              <w:jc w:val="right"/>
            </w:pPr>
            <w:r>
              <w:t>2018/19</w:t>
            </w:r>
          </w:p>
        </w:tc>
        <w:tc>
          <w:tcPr>
            <w:tcW w:w="1356" w:type="dxa"/>
          </w:tcPr>
          <w:p w14:paraId="6DDD39F5" w14:textId="77777777" w:rsidR="00E92439" w:rsidRDefault="00E92439" w:rsidP="00506E02">
            <w:pPr>
              <w:pStyle w:val="Tableheadingrow1"/>
              <w:jc w:val="right"/>
            </w:pPr>
            <w:r>
              <w:t>2019/20</w:t>
            </w:r>
          </w:p>
        </w:tc>
      </w:tr>
      <w:tr w:rsidR="0089437B" w14:paraId="27F2DA00" w14:textId="77777777" w:rsidTr="00E92439">
        <w:trPr>
          <w:cnfStyle w:val="000000100000" w:firstRow="0" w:lastRow="0" w:firstColumn="0" w:lastColumn="0" w:oddVBand="0" w:evenVBand="0" w:oddHBand="1" w:evenHBand="0" w:firstRowFirstColumn="0" w:firstRowLastColumn="0" w:lastRowFirstColumn="0" w:lastRowLastColumn="0"/>
        </w:trPr>
        <w:tc>
          <w:tcPr>
            <w:tcW w:w="6546" w:type="dxa"/>
          </w:tcPr>
          <w:p w14:paraId="76CAC4F7" w14:textId="77777777" w:rsidR="0089437B" w:rsidRPr="00D67CBD" w:rsidRDefault="0089437B" w:rsidP="00506E02">
            <w:pPr>
              <w:pStyle w:val="Tablebodytextnospaceafter"/>
            </w:pPr>
            <w:r w:rsidRPr="00D67CBD">
              <w:t>General public</w:t>
            </w:r>
            <w:r>
              <w:t xml:space="preserve"> – individuals</w:t>
            </w:r>
          </w:p>
        </w:tc>
        <w:tc>
          <w:tcPr>
            <w:tcW w:w="1356" w:type="dxa"/>
          </w:tcPr>
          <w:p w14:paraId="5BF33143" w14:textId="77777777" w:rsidR="0089437B" w:rsidRDefault="0089437B" w:rsidP="00506E02">
            <w:pPr>
              <w:pStyle w:val="Tablebodytextnospaceafter"/>
              <w:jc w:val="right"/>
            </w:pPr>
            <w:r>
              <w:t>8,331</w:t>
            </w:r>
          </w:p>
        </w:tc>
        <w:tc>
          <w:tcPr>
            <w:tcW w:w="1356" w:type="dxa"/>
          </w:tcPr>
          <w:p w14:paraId="1BB5C929" w14:textId="77777777" w:rsidR="0089437B" w:rsidRDefault="0089437B" w:rsidP="00A72AE9">
            <w:pPr>
              <w:pStyle w:val="Tablebodytextnospaceafter"/>
              <w:jc w:val="right"/>
            </w:pPr>
            <w:r>
              <w:t>8,110</w:t>
            </w:r>
          </w:p>
        </w:tc>
      </w:tr>
      <w:tr w:rsidR="0089437B" w14:paraId="0DC666A8" w14:textId="77777777" w:rsidTr="00E92439">
        <w:trPr>
          <w:cnfStyle w:val="000000010000" w:firstRow="0" w:lastRow="0" w:firstColumn="0" w:lastColumn="0" w:oddVBand="0" w:evenVBand="0" w:oddHBand="0" w:evenHBand="1" w:firstRowFirstColumn="0" w:firstRowLastColumn="0" w:lastRowFirstColumn="0" w:lastRowLastColumn="0"/>
        </w:trPr>
        <w:tc>
          <w:tcPr>
            <w:tcW w:w="6546" w:type="dxa"/>
          </w:tcPr>
          <w:p w14:paraId="2AA1FD01" w14:textId="77777777" w:rsidR="0089437B" w:rsidRPr="00D67CBD" w:rsidRDefault="0089437B" w:rsidP="00506E02">
            <w:pPr>
              <w:pStyle w:val="Tablebodytextnospaceafter"/>
            </w:pPr>
            <w:r w:rsidRPr="00D67CBD">
              <w:t>Prisoners and prisoner advocates</w:t>
            </w:r>
          </w:p>
        </w:tc>
        <w:tc>
          <w:tcPr>
            <w:tcW w:w="1356" w:type="dxa"/>
          </w:tcPr>
          <w:p w14:paraId="2373E263" w14:textId="77777777" w:rsidR="0089437B" w:rsidRDefault="0089437B" w:rsidP="00506E02">
            <w:pPr>
              <w:pStyle w:val="Tablebodytextnospaceafter"/>
              <w:jc w:val="right"/>
            </w:pPr>
            <w:r>
              <w:t>2,333</w:t>
            </w:r>
          </w:p>
        </w:tc>
        <w:tc>
          <w:tcPr>
            <w:tcW w:w="1356" w:type="dxa"/>
          </w:tcPr>
          <w:p w14:paraId="2FC0AD55" w14:textId="77777777" w:rsidR="0089437B" w:rsidRDefault="0089437B" w:rsidP="00A72AE9">
            <w:pPr>
              <w:pStyle w:val="Tablebodytextnospaceafter"/>
              <w:jc w:val="right"/>
            </w:pPr>
            <w:r>
              <w:t>2,533</w:t>
            </w:r>
          </w:p>
        </w:tc>
      </w:tr>
      <w:tr w:rsidR="0089437B" w14:paraId="2742C058" w14:textId="77777777" w:rsidTr="00E92439">
        <w:trPr>
          <w:cnfStyle w:val="000000100000" w:firstRow="0" w:lastRow="0" w:firstColumn="0" w:lastColumn="0" w:oddVBand="0" w:evenVBand="0" w:oddHBand="1" w:evenHBand="0" w:firstRowFirstColumn="0" w:firstRowLastColumn="0" w:lastRowFirstColumn="0" w:lastRowLastColumn="0"/>
        </w:trPr>
        <w:tc>
          <w:tcPr>
            <w:tcW w:w="6546" w:type="dxa"/>
          </w:tcPr>
          <w:p w14:paraId="0F5CE72B" w14:textId="77777777" w:rsidR="0089437B" w:rsidRPr="00D67CBD" w:rsidRDefault="0089437B" w:rsidP="00506E02">
            <w:pPr>
              <w:pStyle w:val="Tablebodytextnospaceafter"/>
            </w:pPr>
            <w:r w:rsidRPr="00D67CBD">
              <w:t>Departments</w:t>
            </w:r>
            <w:r>
              <w:t xml:space="preserve">, government </w:t>
            </w:r>
            <w:r w:rsidRPr="00D67CBD">
              <w:t xml:space="preserve">organisations and local authorities </w:t>
            </w:r>
          </w:p>
        </w:tc>
        <w:tc>
          <w:tcPr>
            <w:tcW w:w="1356" w:type="dxa"/>
          </w:tcPr>
          <w:p w14:paraId="7A1D0F92" w14:textId="77777777" w:rsidR="0089437B" w:rsidRDefault="0089437B" w:rsidP="00506E02">
            <w:pPr>
              <w:pStyle w:val="Tablebodytextnospaceafter"/>
              <w:jc w:val="right"/>
            </w:pPr>
            <w:r>
              <w:t>490</w:t>
            </w:r>
          </w:p>
        </w:tc>
        <w:tc>
          <w:tcPr>
            <w:tcW w:w="1356" w:type="dxa"/>
          </w:tcPr>
          <w:p w14:paraId="47EB41A9" w14:textId="77777777" w:rsidR="0089437B" w:rsidRDefault="0089437B" w:rsidP="009D1259">
            <w:pPr>
              <w:pStyle w:val="Tablebodytextnospaceafter"/>
              <w:jc w:val="right"/>
            </w:pPr>
            <w:r>
              <w:t>388</w:t>
            </w:r>
          </w:p>
        </w:tc>
      </w:tr>
      <w:tr w:rsidR="0089437B" w14:paraId="27CA80FA" w14:textId="77777777" w:rsidTr="00E92439">
        <w:trPr>
          <w:cnfStyle w:val="000000010000" w:firstRow="0" w:lastRow="0" w:firstColumn="0" w:lastColumn="0" w:oddVBand="0" w:evenVBand="0" w:oddHBand="0" w:evenHBand="1" w:firstRowFirstColumn="0" w:firstRowLastColumn="0" w:lastRowFirstColumn="0" w:lastRowLastColumn="0"/>
        </w:trPr>
        <w:tc>
          <w:tcPr>
            <w:tcW w:w="6546" w:type="dxa"/>
          </w:tcPr>
          <w:p w14:paraId="46D9C28A" w14:textId="77777777" w:rsidR="0089437B" w:rsidRPr="00D67CBD" w:rsidRDefault="0089437B" w:rsidP="00506E02">
            <w:pPr>
              <w:pStyle w:val="Tablebodytextnospaceafter"/>
            </w:pPr>
            <w:r w:rsidRPr="00D67CBD">
              <w:t>Media</w:t>
            </w:r>
          </w:p>
        </w:tc>
        <w:tc>
          <w:tcPr>
            <w:tcW w:w="1356" w:type="dxa"/>
          </w:tcPr>
          <w:p w14:paraId="2B09086B" w14:textId="77777777" w:rsidR="0089437B" w:rsidRDefault="0089437B" w:rsidP="00506E02">
            <w:pPr>
              <w:pStyle w:val="Tablebodytextnospaceafter"/>
              <w:jc w:val="right"/>
            </w:pPr>
            <w:r>
              <w:t>386</w:t>
            </w:r>
          </w:p>
        </w:tc>
        <w:tc>
          <w:tcPr>
            <w:tcW w:w="1356" w:type="dxa"/>
          </w:tcPr>
          <w:p w14:paraId="1494B403" w14:textId="77777777" w:rsidR="0089437B" w:rsidRDefault="0089437B" w:rsidP="00A72AE9">
            <w:pPr>
              <w:pStyle w:val="Tablebodytextnospaceafter"/>
              <w:jc w:val="right"/>
            </w:pPr>
            <w:r>
              <w:t>354</w:t>
            </w:r>
          </w:p>
        </w:tc>
      </w:tr>
      <w:tr w:rsidR="0089437B" w14:paraId="7CA416D8" w14:textId="77777777" w:rsidTr="00E92439">
        <w:trPr>
          <w:cnfStyle w:val="000000100000" w:firstRow="0" w:lastRow="0" w:firstColumn="0" w:lastColumn="0" w:oddVBand="0" w:evenVBand="0" w:oddHBand="1" w:evenHBand="0" w:firstRowFirstColumn="0" w:firstRowLastColumn="0" w:lastRowFirstColumn="0" w:lastRowLastColumn="0"/>
        </w:trPr>
        <w:tc>
          <w:tcPr>
            <w:tcW w:w="6546" w:type="dxa"/>
          </w:tcPr>
          <w:p w14:paraId="1EC2BEE7" w14:textId="77777777" w:rsidR="0089437B" w:rsidRPr="00D67CBD" w:rsidRDefault="0089437B" w:rsidP="00506E02">
            <w:pPr>
              <w:pStyle w:val="Tablebodytextnospaceafter"/>
            </w:pPr>
            <w:r w:rsidRPr="00D67CBD">
              <w:t>Companies</w:t>
            </w:r>
            <w:r>
              <w:t>,</w:t>
            </w:r>
            <w:r w:rsidRPr="00D67CBD">
              <w:t xml:space="preserve"> associations</w:t>
            </w:r>
            <w:r>
              <w:t xml:space="preserve"> and incorporated societies</w:t>
            </w:r>
          </w:p>
        </w:tc>
        <w:tc>
          <w:tcPr>
            <w:tcW w:w="1356" w:type="dxa"/>
          </w:tcPr>
          <w:p w14:paraId="302273B8" w14:textId="77777777" w:rsidR="0089437B" w:rsidRDefault="0089437B" w:rsidP="00506E02">
            <w:pPr>
              <w:pStyle w:val="Tablebodytextnospaceafter"/>
              <w:jc w:val="right"/>
            </w:pPr>
            <w:r>
              <w:t>143</w:t>
            </w:r>
          </w:p>
        </w:tc>
        <w:tc>
          <w:tcPr>
            <w:tcW w:w="1356" w:type="dxa"/>
          </w:tcPr>
          <w:p w14:paraId="34BE1E7B" w14:textId="77777777" w:rsidR="0089437B" w:rsidRDefault="0089437B" w:rsidP="00E11F2D">
            <w:pPr>
              <w:pStyle w:val="Tablebodytextnospaceafter"/>
              <w:jc w:val="right"/>
            </w:pPr>
            <w:r>
              <w:t>214</w:t>
            </w:r>
          </w:p>
        </w:tc>
      </w:tr>
      <w:tr w:rsidR="0089437B" w14:paraId="42D92F46" w14:textId="77777777" w:rsidTr="00E92439">
        <w:trPr>
          <w:cnfStyle w:val="000000010000" w:firstRow="0" w:lastRow="0" w:firstColumn="0" w:lastColumn="0" w:oddVBand="0" w:evenVBand="0" w:oddHBand="0" w:evenHBand="1" w:firstRowFirstColumn="0" w:firstRowLastColumn="0" w:lastRowFirstColumn="0" w:lastRowLastColumn="0"/>
        </w:trPr>
        <w:tc>
          <w:tcPr>
            <w:tcW w:w="6546" w:type="dxa"/>
          </w:tcPr>
          <w:p w14:paraId="3E0D4538" w14:textId="77777777" w:rsidR="0089437B" w:rsidRPr="00D67CBD" w:rsidRDefault="0089437B" w:rsidP="00506E02">
            <w:pPr>
              <w:pStyle w:val="Tablebodytextnospaceafter"/>
            </w:pPr>
            <w:r>
              <w:t>Ombudsman self-initiated</w:t>
            </w:r>
          </w:p>
        </w:tc>
        <w:tc>
          <w:tcPr>
            <w:tcW w:w="1356" w:type="dxa"/>
          </w:tcPr>
          <w:p w14:paraId="1E254CCA" w14:textId="77777777" w:rsidR="0089437B" w:rsidRDefault="0089437B" w:rsidP="00506E02">
            <w:pPr>
              <w:pStyle w:val="Tablebodytextnospaceafter"/>
              <w:jc w:val="right"/>
            </w:pPr>
            <w:r>
              <w:t>42</w:t>
            </w:r>
          </w:p>
        </w:tc>
        <w:tc>
          <w:tcPr>
            <w:tcW w:w="1356" w:type="dxa"/>
          </w:tcPr>
          <w:p w14:paraId="17FF93E3" w14:textId="77777777" w:rsidR="0089437B" w:rsidRDefault="0089437B" w:rsidP="003F3E63">
            <w:pPr>
              <w:pStyle w:val="Tablebodytextnospaceafter"/>
              <w:jc w:val="right"/>
            </w:pPr>
            <w:r>
              <w:t>71</w:t>
            </w:r>
          </w:p>
        </w:tc>
      </w:tr>
      <w:tr w:rsidR="0089437B" w14:paraId="22A0EEE5" w14:textId="77777777" w:rsidTr="00E92439">
        <w:trPr>
          <w:cnfStyle w:val="000000100000" w:firstRow="0" w:lastRow="0" w:firstColumn="0" w:lastColumn="0" w:oddVBand="0" w:evenVBand="0" w:oddHBand="1" w:evenHBand="0" w:firstRowFirstColumn="0" w:firstRowLastColumn="0" w:lastRowFirstColumn="0" w:lastRowLastColumn="0"/>
        </w:trPr>
        <w:tc>
          <w:tcPr>
            <w:tcW w:w="6546" w:type="dxa"/>
          </w:tcPr>
          <w:p w14:paraId="20F77908" w14:textId="77777777" w:rsidR="0089437B" w:rsidRDefault="0089437B" w:rsidP="00506E02">
            <w:pPr>
              <w:pStyle w:val="Tablebodytextnospaceafter"/>
            </w:pPr>
            <w:r w:rsidRPr="00D67CBD">
              <w:t>Special interest groups</w:t>
            </w:r>
          </w:p>
        </w:tc>
        <w:tc>
          <w:tcPr>
            <w:tcW w:w="1356" w:type="dxa"/>
          </w:tcPr>
          <w:p w14:paraId="50EAF143" w14:textId="77777777" w:rsidR="0089437B" w:rsidRDefault="0089437B" w:rsidP="00506E02">
            <w:pPr>
              <w:pStyle w:val="Tablebodytextnospaceafter"/>
              <w:jc w:val="right"/>
            </w:pPr>
            <w:r>
              <w:t>7</w:t>
            </w:r>
          </w:p>
        </w:tc>
        <w:tc>
          <w:tcPr>
            <w:tcW w:w="1356" w:type="dxa"/>
          </w:tcPr>
          <w:p w14:paraId="60366A82" w14:textId="77777777" w:rsidR="0089437B" w:rsidRDefault="0089437B" w:rsidP="00506E02">
            <w:pPr>
              <w:pStyle w:val="Tablebodytextnospaceafter"/>
              <w:jc w:val="right"/>
            </w:pPr>
            <w:r>
              <w:t>56</w:t>
            </w:r>
          </w:p>
        </w:tc>
      </w:tr>
      <w:tr w:rsidR="0089437B" w14:paraId="5A9741EB" w14:textId="77777777" w:rsidTr="00E92439">
        <w:trPr>
          <w:cnfStyle w:val="000000010000" w:firstRow="0" w:lastRow="0" w:firstColumn="0" w:lastColumn="0" w:oddVBand="0" w:evenVBand="0" w:oddHBand="0" w:evenHBand="1" w:firstRowFirstColumn="0" w:firstRowLastColumn="0" w:lastRowFirstColumn="0" w:lastRowLastColumn="0"/>
        </w:trPr>
        <w:tc>
          <w:tcPr>
            <w:tcW w:w="6546" w:type="dxa"/>
          </w:tcPr>
          <w:p w14:paraId="12F98FBA" w14:textId="77777777" w:rsidR="0089437B" w:rsidRPr="00D67CBD" w:rsidRDefault="0089437B" w:rsidP="00506E02">
            <w:pPr>
              <w:pStyle w:val="Tablebodytextnospaceafter"/>
            </w:pPr>
            <w:r w:rsidRPr="00D67CBD">
              <w:t>Member</w:t>
            </w:r>
            <w:r>
              <w:t>s</w:t>
            </w:r>
            <w:r w:rsidRPr="00D67CBD">
              <w:t xml:space="preserve"> of Parliament</w:t>
            </w:r>
          </w:p>
        </w:tc>
        <w:tc>
          <w:tcPr>
            <w:tcW w:w="1356" w:type="dxa"/>
          </w:tcPr>
          <w:p w14:paraId="0B0B7F75" w14:textId="77777777" w:rsidR="0089437B" w:rsidRDefault="0089437B" w:rsidP="00506E02">
            <w:pPr>
              <w:pStyle w:val="Tablebodytextnospaceafter"/>
              <w:jc w:val="right"/>
            </w:pPr>
            <w:r>
              <w:t>61</w:t>
            </w:r>
          </w:p>
        </w:tc>
        <w:tc>
          <w:tcPr>
            <w:tcW w:w="1356" w:type="dxa"/>
          </w:tcPr>
          <w:p w14:paraId="53255769" w14:textId="77777777" w:rsidR="0089437B" w:rsidRDefault="0089437B" w:rsidP="00506E02">
            <w:pPr>
              <w:pStyle w:val="Tablebodytextnospaceafter"/>
              <w:jc w:val="right"/>
            </w:pPr>
            <w:r>
              <w:t>53</w:t>
            </w:r>
          </w:p>
        </w:tc>
      </w:tr>
      <w:tr w:rsidR="0089437B" w14:paraId="01F9B1B3" w14:textId="77777777" w:rsidTr="00E92439">
        <w:trPr>
          <w:cnfStyle w:val="000000100000" w:firstRow="0" w:lastRow="0" w:firstColumn="0" w:lastColumn="0" w:oddVBand="0" w:evenVBand="0" w:oddHBand="1" w:evenHBand="0" w:firstRowFirstColumn="0" w:firstRowLastColumn="0" w:lastRowFirstColumn="0" w:lastRowLastColumn="0"/>
        </w:trPr>
        <w:tc>
          <w:tcPr>
            <w:tcW w:w="6546" w:type="dxa"/>
          </w:tcPr>
          <w:p w14:paraId="77C8A7FD" w14:textId="77777777" w:rsidR="0089437B" w:rsidRPr="00D67CBD" w:rsidRDefault="0089437B" w:rsidP="00506E02">
            <w:pPr>
              <w:pStyle w:val="Tablebodytextnospaceafter"/>
            </w:pPr>
            <w:r>
              <w:t>Review agency (Privacy Commissioner, Independent Police Conduct Authority, Health and Disability Commissioner)</w:t>
            </w:r>
          </w:p>
        </w:tc>
        <w:tc>
          <w:tcPr>
            <w:tcW w:w="1356" w:type="dxa"/>
          </w:tcPr>
          <w:p w14:paraId="67E18A05" w14:textId="77777777" w:rsidR="0089437B" w:rsidRDefault="0089437B" w:rsidP="00506E02">
            <w:pPr>
              <w:pStyle w:val="Tablebodytextnospaceafter"/>
              <w:jc w:val="right"/>
            </w:pPr>
            <w:r>
              <w:t>14</w:t>
            </w:r>
          </w:p>
        </w:tc>
        <w:tc>
          <w:tcPr>
            <w:tcW w:w="1356" w:type="dxa"/>
          </w:tcPr>
          <w:p w14:paraId="5278DE6C" w14:textId="77777777" w:rsidR="0089437B" w:rsidRDefault="0089437B" w:rsidP="00506E02">
            <w:pPr>
              <w:pStyle w:val="Tablebodytextnospaceafter"/>
              <w:jc w:val="right"/>
            </w:pPr>
            <w:r>
              <w:t>30</w:t>
            </w:r>
          </w:p>
        </w:tc>
      </w:tr>
      <w:tr w:rsidR="0089437B" w14:paraId="51ECCC6C" w14:textId="77777777" w:rsidTr="00E92439">
        <w:trPr>
          <w:cnfStyle w:val="000000010000" w:firstRow="0" w:lastRow="0" w:firstColumn="0" w:lastColumn="0" w:oddVBand="0" w:evenVBand="0" w:oddHBand="0" w:evenHBand="1" w:firstRowFirstColumn="0" w:firstRowLastColumn="0" w:lastRowFirstColumn="0" w:lastRowLastColumn="0"/>
        </w:trPr>
        <w:tc>
          <w:tcPr>
            <w:tcW w:w="6546" w:type="dxa"/>
          </w:tcPr>
          <w:p w14:paraId="6322D90C" w14:textId="77777777" w:rsidR="0089437B" w:rsidRPr="00D67CBD" w:rsidRDefault="0089437B" w:rsidP="00506E02">
            <w:pPr>
              <w:pStyle w:val="Tablebodytextnospaceafter"/>
            </w:pPr>
            <w:r w:rsidRPr="00D67CBD">
              <w:t>Political party research unit</w:t>
            </w:r>
            <w:r>
              <w:t>s</w:t>
            </w:r>
          </w:p>
        </w:tc>
        <w:tc>
          <w:tcPr>
            <w:tcW w:w="1356" w:type="dxa"/>
          </w:tcPr>
          <w:p w14:paraId="4AED83F8" w14:textId="77777777" w:rsidR="0089437B" w:rsidRDefault="0089437B" w:rsidP="00506E02">
            <w:pPr>
              <w:pStyle w:val="Tablebodytextnospaceafter"/>
              <w:jc w:val="right"/>
            </w:pPr>
            <w:r>
              <w:t>46</w:t>
            </w:r>
          </w:p>
        </w:tc>
        <w:tc>
          <w:tcPr>
            <w:tcW w:w="1356" w:type="dxa"/>
          </w:tcPr>
          <w:p w14:paraId="14EC8D13" w14:textId="77777777" w:rsidR="0089437B" w:rsidRDefault="0089437B" w:rsidP="00506E02">
            <w:pPr>
              <w:pStyle w:val="Tablebodytextnospaceafter"/>
              <w:jc w:val="right"/>
            </w:pPr>
            <w:r>
              <w:t>25</w:t>
            </w:r>
          </w:p>
        </w:tc>
      </w:tr>
      <w:tr w:rsidR="0089437B" w14:paraId="29BA8E94" w14:textId="77777777" w:rsidTr="00E92439">
        <w:trPr>
          <w:cnfStyle w:val="000000100000" w:firstRow="0" w:lastRow="0" w:firstColumn="0" w:lastColumn="0" w:oddVBand="0" w:evenVBand="0" w:oddHBand="1" w:evenHBand="0" w:firstRowFirstColumn="0" w:firstRowLastColumn="0" w:lastRowFirstColumn="0" w:lastRowLastColumn="0"/>
        </w:trPr>
        <w:tc>
          <w:tcPr>
            <w:tcW w:w="6546" w:type="dxa"/>
          </w:tcPr>
          <w:p w14:paraId="046B1FC2" w14:textId="77777777" w:rsidR="0089437B" w:rsidRPr="00D67CBD" w:rsidRDefault="0089437B" w:rsidP="00506E02">
            <w:pPr>
              <w:pStyle w:val="Tablebodytextnospaceafter"/>
            </w:pPr>
            <w:r>
              <w:t>Trade Unions</w:t>
            </w:r>
          </w:p>
        </w:tc>
        <w:tc>
          <w:tcPr>
            <w:tcW w:w="1356" w:type="dxa"/>
          </w:tcPr>
          <w:p w14:paraId="1CAE04C2" w14:textId="77777777" w:rsidR="0089437B" w:rsidRDefault="0089437B" w:rsidP="00506E02">
            <w:pPr>
              <w:pStyle w:val="Tablebodytextnospaceafter"/>
              <w:jc w:val="right"/>
            </w:pPr>
            <w:r>
              <w:t>6</w:t>
            </w:r>
          </w:p>
        </w:tc>
        <w:tc>
          <w:tcPr>
            <w:tcW w:w="1356" w:type="dxa"/>
          </w:tcPr>
          <w:p w14:paraId="5AF9518E" w14:textId="77777777" w:rsidR="0089437B" w:rsidRDefault="0089437B" w:rsidP="00506E02">
            <w:pPr>
              <w:pStyle w:val="Tablebodytextnospaceafter"/>
              <w:jc w:val="right"/>
            </w:pPr>
            <w:r>
              <w:t>8</w:t>
            </w:r>
          </w:p>
        </w:tc>
      </w:tr>
      <w:tr w:rsidR="0089437B" w14:paraId="0A54FF4C" w14:textId="77777777" w:rsidTr="00E92439">
        <w:trPr>
          <w:cnfStyle w:val="000000010000" w:firstRow="0" w:lastRow="0" w:firstColumn="0" w:lastColumn="0" w:oddVBand="0" w:evenVBand="0" w:oddHBand="0" w:evenHBand="1" w:firstRowFirstColumn="0" w:firstRowLastColumn="0" w:lastRowFirstColumn="0" w:lastRowLastColumn="0"/>
        </w:trPr>
        <w:tc>
          <w:tcPr>
            <w:tcW w:w="6546" w:type="dxa"/>
          </w:tcPr>
          <w:p w14:paraId="74FC7D02" w14:textId="77777777" w:rsidR="0089437B" w:rsidRPr="00D67CBD" w:rsidRDefault="0089437B" w:rsidP="00506E02">
            <w:pPr>
              <w:pStyle w:val="Tablebodytextnospaceafter"/>
            </w:pPr>
            <w:r w:rsidRPr="00D67CBD">
              <w:t xml:space="preserve">Other </w:t>
            </w:r>
          </w:p>
        </w:tc>
        <w:tc>
          <w:tcPr>
            <w:tcW w:w="1356" w:type="dxa"/>
          </w:tcPr>
          <w:p w14:paraId="1554AD3D" w14:textId="77777777" w:rsidR="0089437B" w:rsidRDefault="0089437B" w:rsidP="00506E02">
            <w:pPr>
              <w:pStyle w:val="Tablebodytextnospaceafter"/>
              <w:jc w:val="right"/>
            </w:pPr>
            <w:r>
              <w:t>13</w:t>
            </w:r>
          </w:p>
        </w:tc>
        <w:tc>
          <w:tcPr>
            <w:tcW w:w="1356" w:type="dxa"/>
          </w:tcPr>
          <w:p w14:paraId="6C86CC35" w14:textId="77777777" w:rsidR="0089437B" w:rsidRDefault="0089437B" w:rsidP="00B36099">
            <w:pPr>
              <w:pStyle w:val="Tablebodytextnospaceafter"/>
              <w:jc w:val="right"/>
            </w:pPr>
            <w:r>
              <w:t>8</w:t>
            </w:r>
          </w:p>
        </w:tc>
      </w:tr>
      <w:tr w:rsidR="0089437B" w14:paraId="4B2DBDA0" w14:textId="77777777" w:rsidTr="00E92439">
        <w:trPr>
          <w:cnfStyle w:val="000000100000" w:firstRow="0" w:lastRow="0" w:firstColumn="0" w:lastColumn="0" w:oddVBand="0" w:evenVBand="0" w:oddHBand="1" w:evenHBand="0" w:firstRowFirstColumn="0" w:firstRowLastColumn="0" w:lastRowFirstColumn="0" w:lastRowLastColumn="0"/>
        </w:trPr>
        <w:tc>
          <w:tcPr>
            <w:tcW w:w="6546" w:type="dxa"/>
          </w:tcPr>
          <w:p w14:paraId="79D2CBC4" w14:textId="77777777" w:rsidR="0089437B" w:rsidRPr="00D67CBD" w:rsidRDefault="0089437B" w:rsidP="00506E02">
            <w:pPr>
              <w:pStyle w:val="Tablebodytextnospaceafter"/>
            </w:pPr>
            <w:r>
              <w:t>Researchers</w:t>
            </w:r>
          </w:p>
        </w:tc>
        <w:tc>
          <w:tcPr>
            <w:tcW w:w="1356" w:type="dxa"/>
          </w:tcPr>
          <w:p w14:paraId="26E01125" w14:textId="77777777" w:rsidR="0089437B" w:rsidRDefault="0089437B" w:rsidP="00506E02">
            <w:pPr>
              <w:pStyle w:val="Tablebodytextnospaceafter"/>
              <w:jc w:val="right"/>
            </w:pPr>
            <w:r>
              <w:t>7</w:t>
            </w:r>
          </w:p>
        </w:tc>
        <w:tc>
          <w:tcPr>
            <w:tcW w:w="1356" w:type="dxa"/>
          </w:tcPr>
          <w:p w14:paraId="7CFE847D" w14:textId="77777777" w:rsidR="0089437B" w:rsidRDefault="0089437B" w:rsidP="00506E02">
            <w:pPr>
              <w:pStyle w:val="Tablebodytextnospaceafter"/>
              <w:jc w:val="right"/>
            </w:pPr>
            <w:r>
              <w:t>7</w:t>
            </w:r>
          </w:p>
        </w:tc>
      </w:tr>
      <w:tr w:rsidR="0089437B" w14:paraId="3A7ECB48" w14:textId="77777777" w:rsidTr="00E92439">
        <w:trPr>
          <w:cnfStyle w:val="000000010000" w:firstRow="0" w:lastRow="0" w:firstColumn="0" w:lastColumn="0" w:oddVBand="0" w:evenVBand="0" w:oddHBand="0" w:evenHBand="1" w:firstRowFirstColumn="0" w:firstRowLastColumn="0" w:lastRowFirstColumn="0" w:lastRowLastColumn="0"/>
        </w:trPr>
        <w:tc>
          <w:tcPr>
            <w:tcW w:w="6546" w:type="dxa"/>
          </w:tcPr>
          <w:p w14:paraId="34D073AD" w14:textId="77777777" w:rsidR="0089437B" w:rsidRDefault="0089437B" w:rsidP="00506E02">
            <w:pPr>
              <w:pStyle w:val="Tablebodytextnospaceafter"/>
            </w:pPr>
            <w:r>
              <w:t>Ministers</w:t>
            </w:r>
          </w:p>
        </w:tc>
        <w:tc>
          <w:tcPr>
            <w:tcW w:w="1356" w:type="dxa"/>
          </w:tcPr>
          <w:p w14:paraId="3BF27170" w14:textId="77777777" w:rsidR="0089437B" w:rsidRDefault="0089437B" w:rsidP="00506E02">
            <w:pPr>
              <w:pStyle w:val="Tablebodytextnospaceafter"/>
              <w:jc w:val="right"/>
            </w:pPr>
            <w:r>
              <w:t>6</w:t>
            </w:r>
          </w:p>
        </w:tc>
        <w:tc>
          <w:tcPr>
            <w:tcW w:w="1356" w:type="dxa"/>
          </w:tcPr>
          <w:p w14:paraId="5EF6BB5D" w14:textId="77777777" w:rsidR="0089437B" w:rsidRDefault="0089437B" w:rsidP="00506E02">
            <w:pPr>
              <w:pStyle w:val="Tablebodytextnospaceafter"/>
              <w:jc w:val="right"/>
            </w:pPr>
            <w:r>
              <w:t>3</w:t>
            </w:r>
          </w:p>
        </w:tc>
      </w:tr>
      <w:tr w:rsidR="0089437B" w14:paraId="3482E447" w14:textId="77777777" w:rsidTr="00E92439">
        <w:trPr>
          <w:cnfStyle w:val="000000100000" w:firstRow="0" w:lastRow="0" w:firstColumn="0" w:lastColumn="0" w:oddVBand="0" w:evenVBand="0" w:oddHBand="1" w:evenHBand="0" w:firstRowFirstColumn="0" w:firstRowLastColumn="0" w:lastRowFirstColumn="0" w:lastRowLastColumn="0"/>
        </w:trPr>
        <w:tc>
          <w:tcPr>
            <w:tcW w:w="6546" w:type="dxa"/>
          </w:tcPr>
          <w:p w14:paraId="2D496399" w14:textId="77777777" w:rsidR="0089437B" w:rsidRPr="00D67CBD" w:rsidRDefault="0089437B" w:rsidP="00506E02">
            <w:pPr>
              <w:pStyle w:val="Tablebodytextnospaceafter"/>
            </w:pPr>
            <w:r>
              <w:t>Select Committee</w:t>
            </w:r>
          </w:p>
        </w:tc>
        <w:tc>
          <w:tcPr>
            <w:tcW w:w="1356" w:type="dxa"/>
          </w:tcPr>
          <w:p w14:paraId="737EA145" w14:textId="77777777" w:rsidR="0089437B" w:rsidRDefault="0089437B" w:rsidP="00506E02">
            <w:pPr>
              <w:pStyle w:val="Tablebodytextnospaceafter"/>
              <w:jc w:val="right"/>
            </w:pPr>
            <w:r>
              <w:t>1</w:t>
            </w:r>
          </w:p>
        </w:tc>
        <w:tc>
          <w:tcPr>
            <w:tcW w:w="1356" w:type="dxa"/>
          </w:tcPr>
          <w:p w14:paraId="5BFDD936" w14:textId="77777777" w:rsidR="0089437B" w:rsidRDefault="0089437B" w:rsidP="00506E02">
            <w:pPr>
              <w:pStyle w:val="Tablebodytextnospaceafter"/>
              <w:jc w:val="right"/>
            </w:pPr>
            <w:r>
              <w:t>2</w:t>
            </w:r>
          </w:p>
        </w:tc>
      </w:tr>
      <w:tr w:rsidR="00E92439" w14:paraId="6C203C13" w14:textId="77777777" w:rsidTr="00E92439">
        <w:trPr>
          <w:cnfStyle w:val="000000010000" w:firstRow="0" w:lastRow="0" w:firstColumn="0" w:lastColumn="0" w:oddVBand="0" w:evenVBand="0" w:oddHBand="0" w:evenHBand="1" w:firstRowFirstColumn="0" w:firstRowLastColumn="0" w:lastRowFirstColumn="0" w:lastRowLastColumn="0"/>
        </w:trPr>
        <w:tc>
          <w:tcPr>
            <w:tcW w:w="6546" w:type="dxa"/>
            <w:shd w:val="clear" w:color="auto" w:fill="BFBFBF"/>
          </w:tcPr>
          <w:p w14:paraId="1C7C54B5" w14:textId="77777777" w:rsidR="00E92439" w:rsidRPr="00414DAE" w:rsidRDefault="00E92439" w:rsidP="00506E02">
            <w:pPr>
              <w:pStyle w:val="Tablebodytextnospaceafter"/>
              <w:rPr>
                <w:rStyle w:val="Emphasis"/>
              </w:rPr>
            </w:pPr>
            <w:r w:rsidRPr="00414DAE">
              <w:rPr>
                <w:rStyle w:val="Emphasis"/>
              </w:rPr>
              <w:t>Total</w:t>
            </w:r>
          </w:p>
        </w:tc>
        <w:tc>
          <w:tcPr>
            <w:tcW w:w="1356" w:type="dxa"/>
            <w:shd w:val="clear" w:color="auto" w:fill="BFBFBF"/>
          </w:tcPr>
          <w:p w14:paraId="68CA6038" w14:textId="77777777" w:rsidR="00E92439" w:rsidRDefault="00E92439" w:rsidP="00506E02">
            <w:pPr>
              <w:pStyle w:val="Tablebodytextnospaceafter"/>
              <w:jc w:val="right"/>
              <w:rPr>
                <w:rStyle w:val="Emphasis"/>
              </w:rPr>
            </w:pPr>
            <w:r>
              <w:rPr>
                <w:rStyle w:val="Emphasis"/>
              </w:rPr>
              <w:t>11,886</w:t>
            </w:r>
          </w:p>
        </w:tc>
        <w:tc>
          <w:tcPr>
            <w:tcW w:w="1356" w:type="dxa"/>
            <w:shd w:val="clear" w:color="auto" w:fill="BFBFBF"/>
          </w:tcPr>
          <w:p w14:paraId="36DA3496" w14:textId="77777777" w:rsidR="00E92439" w:rsidRDefault="00B36099" w:rsidP="009D0B04">
            <w:pPr>
              <w:pStyle w:val="Tablebodytextnospaceafter"/>
              <w:jc w:val="right"/>
              <w:rPr>
                <w:rStyle w:val="Emphasis"/>
              </w:rPr>
            </w:pPr>
            <w:r>
              <w:rPr>
                <w:rStyle w:val="Emphasis"/>
              </w:rPr>
              <w:t>11,</w:t>
            </w:r>
            <w:r w:rsidR="009D1259">
              <w:rPr>
                <w:rStyle w:val="Emphasis"/>
              </w:rPr>
              <w:t>86</w:t>
            </w:r>
            <w:r w:rsidR="009D0B04">
              <w:rPr>
                <w:rStyle w:val="Emphasis"/>
              </w:rPr>
              <w:t>2</w:t>
            </w:r>
          </w:p>
        </w:tc>
      </w:tr>
    </w:tbl>
    <w:bookmarkStart w:id="167" w:name="_Age_profile_of"/>
    <w:bookmarkStart w:id="168" w:name="_Ref336353076"/>
    <w:bookmarkEnd w:id="167"/>
    <w:p w14:paraId="2BADA016" w14:textId="6D6B0EC4" w:rsidR="00DF1795" w:rsidRDefault="00DF1795" w:rsidP="00DF1795">
      <w:r>
        <w:fldChar w:fldCharType="begin"/>
      </w:r>
      <w:r>
        <w:instrText xml:space="preserve"> HYPERLINK \l "Contents" </w:instrText>
      </w:r>
      <w:r>
        <w:fldChar w:fldCharType="separate"/>
      </w:r>
      <w:r w:rsidRPr="00F5248A">
        <w:rPr>
          <w:rStyle w:val="Hyperlink"/>
        </w:rPr>
        <w:t>Back to contents</w:t>
      </w:r>
      <w:r>
        <w:rPr>
          <w:rStyle w:val="Hyperlink"/>
        </w:rPr>
        <w:fldChar w:fldCharType="end"/>
      </w:r>
      <w:r>
        <w:t>.</w:t>
      </w:r>
    </w:p>
    <w:p w14:paraId="3EE33725" w14:textId="77777777" w:rsidR="00F15F11" w:rsidRDefault="00F15F11" w:rsidP="00DF1795"/>
    <w:p w14:paraId="2DC76766" w14:textId="77777777" w:rsidR="00DF1795" w:rsidRPr="00BE4BB3" w:rsidRDefault="00DF1795" w:rsidP="00DF1795">
      <w:pPr>
        <w:pStyle w:val="Heading2"/>
        <w:spacing w:before="480" w:after="240"/>
      </w:pPr>
      <w:bookmarkStart w:id="169" w:name="_Age_profile_of_1"/>
      <w:bookmarkStart w:id="170" w:name="_Ref54703146"/>
      <w:bookmarkEnd w:id="169"/>
      <w:r w:rsidRPr="00BE4BB3">
        <w:t>Age profile of open and closed complaints and other contacts</w:t>
      </w:r>
      <w:bookmarkEnd w:id="168"/>
      <w:bookmarkEnd w:id="170"/>
      <w:r w:rsidRPr="00BE4BB3">
        <w:t xml:space="preserve"> </w:t>
      </w:r>
    </w:p>
    <w:p w14:paraId="55D68F8B" w14:textId="77777777" w:rsidR="00DF1795" w:rsidRPr="00BE4BB3" w:rsidRDefault="001C7062" w:rsidP="00DF1795">
      <w:pPr>
        <w:pStyle w:val="Heading4"/>
      </w:pPr>
      <w:r>
        <w:t xml:space="preserve">4. </w:t>
      </w:r>
      <w:r w:rsidR="00DF1795" w:rsidRPr="00BE4BB3">
        <w:t>Age profile</w:t>
      </w:r>
      <w:r w:rsidR="00DF1795">
        <w:t xml:space="preserve"> – </w:t>
      </w:r>
      <w:r w:rsidR="00DF1795" w:rsidRPr="00BE4BB3">
        <w:t xml:space="preserve">all complaints and other contacts closed </w:t>
      </w:r>
      <w:r w:rsidR="00DF1795" w:rsidRPr="00412633">
        <w:t>in 201</w:t>
      </w:r>
      <w:r w:rsidR="00B36099">
        <w:t>9</w:t>
      </w:r>
      <w:r w:rsidR="00DF1795">
        <w:t>/</w:t>
      </w:r>
      <w:r w:rsidR="00B36099">
        <w:t>20</w:t>
      </w:r>
    </w:p>
    <w:tbl>
      <w:tblPr>
        <w:tblStyle w:val="TableGridAnnualReport"/>
        <w:tblW w:w="9228" w:type="dxa"/>
        <w:tblInd w:w="40" w:type="dxa"/>
        <w:tblLook w:val="0420" w:firstRow="1" w:lastRow="0" w:firstColumn="0" w:lastColumn="0" w:noHBand="0" w:noVBand="1"/>
        <w:tblCaption w:val="Table for formatting purposes"/>
      </w:tblPr>
      <w:tblGrid>
        <w:gridCol w:w="4524"/>
        <w:gridCol w:w="1132"/>
        <w:gridCol w:w="1221"/>
        <w:gridCol w:w="1181"/>
        <w:gridCol w:w="1170"/>
      </w:tblGrid>
      <w:tr w:rsidR="00B36099" w14:paraId="33C4F8E8" w14:textId="77777777" w:rsidTr="00B36099">
        <w:trPr>
          <w:cnfStyle w:val="100000000000" w:firstRow="1" w:lastRow="0" w:firstColumn="0" w:lastColumn="0" w:oddVBand="0" w:evenVBand="0" w:oddHBand="0" w:evenHBand="0" w:firstRowFirstColumn="0" w:firstRowLastColumn="0" w:lastRowFirstColumn="0" w:lastRowLastColumn="0"/>
          <w:trHeight w:val="1059"/>
        </w:trPr>
        <w:tc>
          <w:tcPr>
            <w:tcW w:w="4524" w:type="dxa"/>
          </w:tcPr>
          <w:p w14:paraId="234D9905" w14:textId="77777777" w:rsidR="00B36099" w:rsidRPr="00BE4BB3" w:rsidRDefault="00B36099" w:rsidP="00506E02">
            <w:pPr>
              <w:pStyle w:val="Tableheadingrow1"/>
            </w:pPr>
          </w:p>
        </w:tc>
        <w:tc>
          <w:tcPr>
            <w:tcW w:w="1132" w:type="dxa"/>
          </w:tcPr>
          <w:p w14:paraId="72F42044" w14:textId="77777777" w:rsidR="00B36099" w:rsidRDefault="00B36099" w:rsidP="00506E02">
            <w:pPr>
              <w:pStyle w:val="Tableheadingrow1"/>
              <w:jc w:val="center"/>
            </w:pPr>
            <w:r>
              <w:t>Year ended</w:t>
            </w:r>
          </w:p>
          <w:p w14:paraId="1A86CD89" w14:textId="77777777" w:rsidR="00B36099" w:rsidRPr="00BE4BB3" w:rsidRDefault="00B36099" w:rsidP="00506E02">
            <w:pPr>
              <w:pStyle w:val="Tableheadingrow1"/>
              <w:jc w:val="center"/>
            </w:pPr>
            <w:r w:rsidRPr="008B544B">
              <w:t>30/06/17</w:t>
            </w:r>
          </w:p>
        </w:tc>
        <w:tc>
          <w:tcPr>
            <w:tcW w:w="1221" w:type="dxa"/>
          </w:tcPr>
          <w:p w14:paraId="4087CBEC" w14:textId="77777777" w:rsidR="00B36099" w:rsidRPr="00BE4BB3" w:rsidRDefault="00B36099" w:rsidP="00506E02">
            <w:pPr>
              <w:pStyle w:val="Tableheadingrow1"/>
              <w:jc w:val="center"/>
            </w:pPr>
            <w:r>
              <w:t>Year ended 30/06/18</w:t>
            </w:r>
          </w:p>
        </w:tc>
        <w:tc>
          <w:tcPr>
            <w:tcW w:w="1181" w:type="dxa"/>
          </w:tcPr>
          <w:p w14:paraId="34A6FDB1" w14:textId="77777777" w:rsidR="00B36099" w:rsidRDefault="00B36099" w:rsidP="00506E02">
            <w:pPr>
              <w:pStyle w:val="Tableheadingrow1"/>
              <w:jc w:val="center"/>
            </w:pPr>
            <w:r>
              <w:t>Year ended 30/06/19</w:t>
            </w:r>
          </w:p>
        </w:tc>
        <w:tc>
          <w:tcPr>
            <w:tcW w:w="1170" w:type="dxa"/>
          </w:tcPr>
          <w:p w14:paraId="055F4ACB" w14:textId="77777777" w:rsidR="00B36099" w:rsidRDefault="00B36099" w:rsidP="00506E02">
            <w:pPr>
              <w:pStyle w:val="Tableheadingrow1"/>
              <w:jc w:val="center"/>
            </w:pPr>
            <w:r>
              <w:t>Year ended 30/06/20</w:t>
            </w:r>
          </w:p>
        </w:tc>
      </w:tr>
      <w:tr w:rsidR="00B36099" w14:paraId="7BAC3CAB" w14:textId="77777777" w:rsidTr="00B36099">
        <w:trPr>
          <w:cnfStyle w:val="000000100000" w:firstRow="0" w:lastRow="0" w:firstColumn="0" w:lastColumn="0" w:oddVBand="0" w:evenVBand="0" w:oddHBand="1" w:evenHBand="0" w:firstRowFirstColumn="0" w:firstRowLastColumn="0" w:lastRowFirstColumn="0" w:lastRowLastColumn="0"/>
          <w:trHeight w:val="283"/>
        </w:trPr>
        <w:tc>
          <w:tcPr>
            <w:tcW w:w="4524" w:type="dxa"/>
          </w:tcPr>
          <w:p w14:paraId="268DA7BC" w14:textId="77777777" w:rsidR="00B36099" w:rsidRPr="00BE4BB3" w:rsidRDefault="00B36099" w:rsidP="00506E02">
            <w:pPr>
              <w:pStyle w:val="Tablebodytextnospaceafter"/>
              <w:spacing w:before="30" w:after="30"/>
            </w:pPr>
            <w:r w:rsidRPr="00BE4BB3">
              <w:t>Aged 6 months or less from date of receipt</w:t>
            </w:r>
          </w:p>
        </w:tc>
        <w:tc>
          <w:tcPr>
            <w:tcW w:w="1132" w:type="dxa"/>
          </w:tcPr>
          <w:p w14:paraId="2368ADC4" w14:textId="77777777" w:rsidR="00B36099" w:rsidRPr="006A20D9" w:rsidRDefault="00B36099" w:rsidP="00506E02">
            <w:pPr>
              <w:pStyle w:val="Tablebodytextnospaceafter"/>
              <w:jc w:val="right"/>
            </w:pPr>
            <w:r>
              <w:t>92%</w:t>
            </w:r>
          </w:p>
        </w:tc>
        <w:tc>
          <w:tcPr>
            <w:tcW w:w="1221" w:type="dxa"/>
          </w:tcPr>
          <w:p w14:paraId="01DF0336" w14:textId="77777777" w:rsidR="00B36099" w:rsidRPr="007A5D23" w:rsidRDefault="00B36099" w:rsidP="00506E02">
            <w:pPr>
              <w:pStyle w:val="Tablebodytextnospaceafter"/>
              <w:spacing w:before="30" w:after="30"/>
              <w:jc w:val="right"/>
            </w:pPr>
            <w:r>
              <w:t>92%</w:t>
            </w:r>
          </w:p>
        </w:tc>
        <w:tc>
          <w:tcPr>
            <w:tcW w:w="1181" w:type="dxa"/>
          </w:tcPr>
          <w:p w14:paraId="638ADB46" w14:textId="77777777" w:rsidR="00B36099" w:rsidRDefault="00B36099" w:rsidP="00D6031B">
            <w:pPr>
              <w:pStyle w:val="Tablebodytextnospaceafter"/>
              <w:spacing w:before="30" w:after="30"/>
              <w:jc w:val="right"/>
            </w:pPr>
            <w:r>
              <w:t>96%</w:t>
            </w:r>
          </w:p>
        </w:tc>
        <w:tc>
          <w:tcPr>
            <w:tcW w:w="1170" w:type="dxa"/>
          </w:tcPr>
          <w:p w14:paraId="610AF029" w14:textId="77777777" w:rsidR="00B36099" w:rsidRDefault="00B36099" w:rsidP="00D6031B">
            <w:pPr>
              <w:pStyle w:val="Tablebodytextnospaceafter"/>
              <w:spacing w:before="30" w:after="30"/>
              <w:jc w:val="right"/>
            </w:pPr>
            <w:r>
              <w:t>9</w:t>
            </w:r>
            <w:r w:rsidR="00D6031B">
              <w:t>4</w:t>
            </w:r>
            <w:r>
              <w:t>%</w:t>
            </w:r>
          </w:p>
        </w:tc>
      </w:tr>
      <w:tr w:rsidR="00B36099" w14:paraId="2A5ED535" w14:textId="77777777" w:rsidTr="00B36099">
        <w:trPr>
          <w:cnfStyle w:val="000000010000" w:firstRow="0" w:lastRow="0" w:firstColumn="0" w:lastColumn="0" w:oddVBand="0" w:evenVBand="0" w:oddHBand="0" w:evenHBand="1" w:firstRowFirstColumn="0" w:firstRowLastColumn="0" w:lastRowFirstColumn="0" w:lastRowLastColumn="0"/>
          <w:trHeight w:val="283"/>
        </w:trPr>
        <w:tc>
          <w:tcPr>
            <w:tcW w:w="4524" w:type="dxa"/>
          </w:tcPr>
          <w:p w14:paraId="19A05BEB" w14:textId="77777777" w:rsidR="00B36099" w:rsidRPr="00BE4BB3" w:rsidRDefault="00B36099" w:rsidP="00506E02">
            <w:pPr>
              <w:pStyle w:val="Tablebodytextnospaceafter"/>
              <w:spacing w:before="30" w:after="30"/>
            </w:pPr>
            <w:r w:rsidRPr="00BE4BB3">
              <w:t>Aged between 7 and 12 months from date of receipt</w:t>
            </w:r>
          </w:p>
        </w:tc>
        <w:tc>
          <w:tcPr>
            <w:tcW w:w="1132" w:type="dxa"/>
          </w:tcPr>
          <w:p w14:paraId="37F2FA26" w14:textId="77777777" w:rsidR="00B36099" w:rsidRPr="006A20D9" w:rsidRDefault="00B36099" w:rsidP="00506E02">
            <w:pPr>
              <w:pStyle w:val="Tablebodytextnospaceafter"/>
              <w:jc w:val="right"/>
            </w:pPr>
            <w:r>
              <w:t>3%</w:t>
            </w:r>
          </w:p>
        </w:tc>
        <w:tc>
          <w:tcPr>
            <w:tcW w:w="1221" w:type="dxa"/>
          </w:tcPr>
          <w:p w14:paraId="7F734AFC" w14:textId="77777777" w:rsidR="00B36099" w:rsidRPr="007A5D23" w:rsidRDefault="00B36099" w:rsidP="00506E02">
            <w:pPr>
              <w:pStyle w:val="Tablebodytextnospaceafter"/>
              <w:spacing w:before="30" w:after="30"/>
              <w:jc w:val="right"/>
            </w:pPr>
            <w:r>
              <w:t>3%</w:t>
            </w:r>
          </w:p>
        </w:tc>
        <w:tc>
          <w:tcPr>
            <w:tcW w:w="1181" w:type="dxa"/>
          </w:tcPr>
          <w:p w14:paraId="051094D2" w14:textId="77777777" w:rsidR="00B36099" w:rsidRDefault="00D6031B" w:rsidP="00506E02">
            <w:pPr>
              <w:pStyle w:val="Tablebodytextnospaceafter"/>
              <w:spacing w:before="30" w:after="30"/>
              <w:jc w:val="right"/>
            </w:pPr>
            <w:r>
              <w:t>3</w:t>
            </w:r>
            <w:r w:rsidR="00B36099">
              <w:t>%</w:t>
            </w:r>
          </w:p>
        </w:tc>
        <w:tc>
          <w:tcPr>
            <w:tcW w:w="1170" w:type="dxa"/>
          </w:tcPr>
          <w:p w14:paraId="6829E5B9" w14:textId="77777777" w:rsidR="00B36099" w:rsidRDefault="00D6031B" w:rsidP="00506E02">
            <w:pPr>
              <w:pStyle w:val="Tablebodytextnospaceafter"/>
              <w:spacing w:before="30" w:after="30"/>
              <w:jc w:val="right"/>
            </w:pPr>
            <w:r>
              <w:t>4</w:t>
            </w:r>
            <w:r w:rsidR="00B36099">
              <w:t>%</w:t>
            </w:r>
          </w:p>
        </w:tc>
      </w:tr>
      <w:tr w:rsidR="00B36099" w14:paraId="5229D0DD" w14:textId="77777777" w:rsidTr="00B36099">
        <w:trPr>
          <w:cnfStyle w:val="000000100000" w:firstRow="0" w:lastRow="0" w:firstColumn="0" w:lastColumn="0" w:oddVBand="0" w:evenVBand="0" w:oddHBand="1" w:evenHBand="0" w:firstRowFirstColumn="0" w:firstRowLastColumn="0" w:lastRowFirstColumn="0" w:lastRowLastColumn="0"/>
          <w:trHeight w:val="283"/>
        </w:trPr>
        <w:tc>
          <w:tcPr>
            <w:tcW w:w="4524" w:type="dxa"/>
          </w:tcPr>
          <w:p w14:paraId="1326146B" w14:textId="77777777" w:rsidR="00B36099" w:rsidRPr="00BE4BB3" w:rsidRDefault="00B36099" w:rsidP="00506E02">
            <w:pPr>
              <w:pStyle w:val="Tablebodytextnospaceafter"/>
              <w:spacing w:before="30" w:after="30"/>
            </w:pPr>
            <w:r w:rsidRPr="00BE4BB3">
              <w:t>Aged more than 12 months from date of receipt</w:t>
            </w:r>
          </w:p>
        </w:tc>
        <w:tc>
          <w:tcPr>
            <w:tcW w:w="1132" w:type="dxa"/>
          </w:tcPr>
          <w:p w14:paraId="36EA0F42" w14:textId="77777777" w:rsidR="00B36099" w:rsidRPr="006A20D9" w:rsidRDefault="00B36099" w:rsidP="00506E02">
            <w:pPr>
              <w:pStyle w:val="Tablebodytextnospaceafter"/>
              <w:jc w:val="right"/>
            </w:pPr>
            <w:r>
              <w:t>5%</w:t>
            </w:r>
          </w:p>
        </w:tc>
        <w:tc>
          <w:tcPr>
            <w:tcW w:w="1221" w:type="dxa"/>
          </w:tcPr>
          <w:p w14:paraId="4C582E45" w14:textId="77777777" w:rsidR="00B36099" w:rsidRPr="007A5D23" w:rsidRDefault="00B36099" w:rsidP="00506E02">
            <w:pPr>
              <w:pStyle w:val="Tablebodytextnospaceafter"/>
              <w:spacing w:before="30" w:after="30"/>
              <w:jc w:val="right"/>
            </w:pPr>
            <w:r>
              <w:t>5%</w:t>
            </w:r>
          </w:p>
        </w:tc>
        <w:tc>
          <w:tcPr>
            <w:tcW w:w="1181" w:type="dxa"/>
          </w:tcPr>
          <w:p w14:paraId="6DF3D7FE" w14:textId="77777777" w:rsidR="00B36099" w:rsidRDefault="00B36099" w:rsidP="00D6031B">
            <w:pPr>
              <w:pStyle w:val="Tablebodytextnospaceafter"/>
              <w:spacing w:before="30" w:after="30"/>
              <w:jc w:val="right"/>
            </w:pPr>
            <w:r>
              <w:t>1%</w:t>
            </w:r>
          </w:p>
        </w:tc>
        <w:tc>
          <w:tcPr>
            <w:tcW w:w="1170" w:type="dxa"/>
          </w:tcPr>
          <w:p w14:paraId="3EB21DB0" w14:textId="77777777" w:rsidR="00B36099" w:rsidRDefault="00D6031B" w:rsidP="00B36099">
            <w:pPr>
              <w:pStyle w:val="Tablebodytextnospaceafter"/>
              <w:spacing w:before="30" w:after="30"/>
              <w:jc w:val="right"/>
            </w:pPr>
            <w:r>
              <w:t>2</w:t>
            </w:r>
            <w:r w:rsidR="00B36099">
              <w:t>%</w:t>
            </w:r>
          </w:p>
        </w:tc>
      </w:tr>
    </w:tbl>
    <w:p w14:paraId="293E85A7" w14:textId="31F33DE1" w:rsidR="00B859BB" w:rsidRDefault="005B795D" w:rsidP="00B859BB">
      <w:pPr>
        <w:pStyle w:val="BodyText"/>
        <w:rPr>
          <w:rStyle w:val="Hyperlink"/>
        </w:rPr>
      </w:pPr>
      <w:hyperlink w:anchor="Contents" w:history="1">
        <w:r w:rsidR="00B859BB" w:rsidRPr="00F5248A">
          <w:rPr>
            <w:rStyle w:val="Hyperlink"/>
          </w:rPr>
          <w:t>Back to contents</w:t>
        </w:r>
      </w:hyperlink>
    </w:p>
    <w:p w14:paraId="5E9A2990" w14:textId="77777777" w:rsidR="00F15F11" w:rsidRDefault="00F15F11" w:rsidP="00B859BB">
      <w:pPr>
        <w:pStyle w:val="BodyText"/>
      </w:pPr>
    </w:p>
    <w:p w14:paraId="5B39679B" w14:textId="77777777" w:rsidR="00DF1795" w:rsidRPr="00BE4BB3" w:rsidRDefault="001C7062" w:rsidP="00DF1795">
      <w:pPr>
        <w:pStyle w:val="Heading4"/>
      </w:pPr>
      <w:r>
        <w:t xml:space="preserve">5. </w:t>
      </w:r>
      <w:r w:rsidR="00DF1795" w:rsidRPr="00BE4BB3">
        <w:t>Age profile</w:t>
      </w:r>
      <w:r w:rsidR="00DF1795">
        <w:t xml:space="preserve"> – </w:t>
      </w:r>
      <w:r w:rsidR="00DF1795" w:rsidRPr="00BE4BB3">
        <w:t xml:space="preserve">all complaints and other contacts remaining open at </w:t>
      </w:r>
      <w:r w:rsidR="00DF1795" w:rsidRPr="00412633">
        <w:t>30 June 20</w:t>
      </w:r>
      <w:r w:rsidR="00B36099">
        <w:t>20</w:t>
      </w:r>
    </w:p>
    <w:tbl>
      <w:tblPr>
        <w:tblStyle w:val="TableGridAnnualReport"/>
        <w:tblW w:w="9248" w:type="dxa"/>
        <w:tblInd w:w="20" w:type="dxa"/>
        <w:tblLook w:val="0420" w:firstRow="1" w:lastRow="0" w:firstColumn="0" w:lastColumn="0" w:noHBand="0" w:noVBand="1"/>
        <w:tblCaption w:val="Table for formatting purposes"/>
      </w:tblPr>
      <w:tblGrid>
        <w:gridCol w:w="4573"/>
        <w:gridCol w:w="1134"/>
        <w:gridCol w:w="1213"/>
        <w:gridCol w:w="1170"/>
        <w:gridCol w:w="1158"/>
      </w:tblGrid>
      <w:tr w:rsidR="00B36099" w14:paraId="6484709C" w14:textId="77777777" w:rsidTr="00B36099">
        <w:trPr>
          <w:cnfStyle w:val="100000000000" w:firstRow="1" w:lastRow="0" w:firstColumn="0" w:lastColumn="0" w:oddVBand="0" w:evenVBand="0" w:oddHBand="0" w:evenHBand="0" w:firstRowFirstColumn="0" w:firstRowLastColumn="0" w:lastRowFirstColumn="0" w:lastRowLastColumn="0"/>
          <w:trHeight w:val="1030"/>
        </w:trPr>
        <w:tc>
          <w:tcPr>
            <w:tcW w:w="4573" w:type="dxa"/>
          </w:tcPr>
          <w:p w14:paraId="44488D89" w14:textId="77777777" w:rsidR="00B36099" w:rsidRPr="00BE4BB3" w:rsidRDefault="00B36099" w:rsidP="00506E02">
            <w:pPr>
              <w:pStyle w:val="Tableheadingrow1"/>
            </w:pPr>
          </w:p>
        </w:tc>
        <w:tc>
          <w:tcPr>
            <w:tcW w:w="1134" w:type="dxa"/>
          </w:tcPr>
          <w:p w14:paraId="2E6A8DA6" w14:textId="77777777" w:rsidR="00B36099" w:rsidRDefault="00B36099" w:rsidP="00506E02">
            <w:pPr>
              <w:pStyle w:val="Tableheadingrow1"/>
              <w:jc w:val="center"/>
            </w:pPr>
            <w:r>
              <w:t>Year ended</w:t>
            </w:r>
          </w:p>
          <w:p w14:paraId="48C8DAB8" w14:textId="77777777" w:rsidR="00B36099" w:rsidRPr="00E3559E" w:rsidRDefault="00B36099" w:rsidP="00506E02">
            <w:pPr>
              <w:pStyle w:val="Tableheadingrow1"/>
            </w:pPr>
            <w:r w:rsidRPr="008B544B">
              <w:t>30/06/17</w:t>
            </w:r>
          </w:p>
        </w:tc>
        <w:tc>
          <w:tcPr>
            <w:tcW w:w="1213" w:type="dxa"/>
          </w:tcPr>
          <w:p w14:paraId="5C7B8E46" w14:textId="77777777" w:rsidR="00B36099" w:rsidRPr="00E3559E" w:rsidRDefault="00B36099" w:rsidP="00506E02">
            <w:pPr>
              <w:pStyle w:val="Tableheadingrow1"/>
              <w:jc w:val="center"/>
            </w:pPr>
            <w:r>
              <w:t>Year ended 30/06/18</w:t>
            </w:r>
          </w:p>
        </w:tc>
        <w:tc>
          <w:tcPr>
            <w:tcW w:w="1170" w:type="dxa"/>
          </w:tcPr>
          <w:p w14:paraId="0B0DED92" w14:textId="77777777" w:rsidR="00B36099" w:rsidRDefault="00B36099" w:rsidP="00506E02">
            <w:pPr>
              <w:pStyle w:val="Tableheadingrow1"/>
              <w:jc w:val="center"/>
            </w:pPr>
            <w:r>
              <w:t>Year ended 30/06/19</w:t>
            </w:r>
          </w:p>
        </w:tc>
        <w:tc>
          <w:tcPr>
            <w:tcW w:w="1158" w:type="dxa"/>
          </w:tcPr>
          <w:p w14:paraId="305FC139" w14:textId="77777777" w:rsidR="00B36099" w:rsidRDefault="00B36099" w:rsidP="00506E02">
            <w:pPr>
              <w:pStyle w:val="Tableheadingrow1"/>
              <w:jc w:val="center"/>
            </w:pPr>
            <w:r>
              <w:t>Year ended 30/06/20</w:t>
            </w:r>
          </w:p>
        </w:tc>
      </w:tr>
      <w:tr w:rsidR="00B36099" w14:paraId="5B6FCC02" w14:textId="77777777" w:rsidTr="00B36099">
        <w:trPr>
          <w:cnfStyle w:val="000000100000" w:firstRow="0" w:lastRow="0" w:firstColumn="0" w:lastColumn="0" w:oddVBand="0" w:evenVBand="0" w:oddHBand="1" w:evenHBand="0" w:firstRowFirstColumn="0" w:firstRowLastColumn="0" w:lastRowFirstColumn="0" w:lastRowLastColumn="0"/>
          <w:trHeight w:val="60"/>
        </w:trPr>
        <w:tc>
          <w:tcPr>
            <w:tcW w:w="4573" w:type="dxa"/>
            <w:tcBorders>
              <w:bottom w:val="single" w:sz="4" w:space="0" w:color="FFFFFF" w:themeColor="background1"/>
            </w:tcBorders>
          </w:tcPr>
          <w:p w14:paraId="47E106C2" w14:textId="77777777" w:rsidR="00B36099" w:rsidRPr="00BE4BB3" w:rsidRDefault="00B36099" w:rsidP="00506E02">
            <w:pPr>
              <w:pStyle w:val="Tablebodytextnospaceafter"/>
              <w:spacing w:before="30" w:after="30"/>
            </w:pPr>
            <w:r w:rsidRPr="00BE4BB3">
              <w:t>Aged 6 months or less from date of receipt</w:t>
            </w:r>
          </w:p>
        </w:tc>
        <w:tc>
          <w:tcPr>
            <w:tcW w:w="1134" w:type="dxa"/>
          </w:tcPr>
          <w:p w14:paraId="1ECD2482" w14:textId="77777777" w:rsidR="00B36099" w:rsidRPr="006A20D9" w:rsidRDefault="00B36099" w:rsidP="00506E02">
            <w:pPr>
              <w:pStyle w:val="Tablebodytextnospaceafter"/>
              <w:jc w:val="right"/>
            </w:pPr>
            <w:r w:rsidRPr="00573802">
              <w:t>51%</w:t>
            </w:r>
          </w:p>
        </w:tc>
        <w:tc>
          <w:tcPr>
            <w:tcW w:w="1213" w:type="dxa"/>
          </w:tcPr>
          <w:p w14:paraId="3EFE5582" w14:textId="77777777" w:rsidR="00B36099" w:rsidRPr="00573802" w:rsidRDefault="00B36099" w:rsidP="00506E02">
            <w:pPr>
              <w:pStyle w:val="Tablebodytextnospaceafter"/>
              <w:spacing w:before="30" w:after="30"/>
              <w:jc w:val="right"/>
            </w:pPr>
            <w:r>
              <w:t>82%</w:t>
            </w:r>
          </w:p>
        </w:tc>
        <w:tc>
          <w:tcPr>
            <w:tcW w:w="1170" w:type="dxa"/>
          </w:tcPr>
          <w:p w14:paraId="3E23449A" w14:textId="77777777" w:rsidR="00B36099" w:rsidRDefault="00B36099" w:rsidP="00D6031B">
            <w:pPr>
              <w:pStyle w:val="Tablebodytextnospaceafter"/>
              <w:spacing w:before="30" w:after="30"/>
              <w:jc w:val="right"/>
            </w:pPr>
            <w:r>
              <w:t>75%</w:t>
            </w:r>
          </w:p>
        </w:tc>
        <w:tc>
          <w:tcPr>
            <w:tcW w:w="1158" w:type="dxa"/>
          </w:tcPr>
          <w:p w14:paraId="6A0BA2C2" w14:textId="77777777" w:rsidR="00B36099" w:rsidRDefault="00D6031B" w:rsidP="00506E02">
            <w:pPr>
              <w:pStyle w:val="Tablebodytextnospaceafter"/>
              <w:spacing w:before="30" w:after="30"/>
              <w:jc w:val="right"/>
            </w:pPr>
            <w:r>
              <w:t>66%</w:t>
            </w:r>
          </w:p>
        </w:tc>
      </w:tr>
      <w:tr w:rsidR="00B36099" w14:paraId="7AAFFBFC" w14:textId="77777777" w:rsidTr="00B36099">
        <w:trPr>
          <w:cnfStyle w:val="000000010000" w:firstRow="0" w:lastRow="0" w:firstColumn="0" w:lastColumn="0" w:oddVBand="0" w:evenVBand="0" w:oddHBand="0" w:evenHBand="1" w:firstRowFirstColumn="0" w:firstRowLastColumn="0" w:lastRowFirstColumn="0" w:lastRowLastColumn="0"/>
          <w:trHeight w:val="60"/>
        </w:trPr>
        <w:tc>
          <w:tcPr>
            <w:tcW w:w="4573" w:type="dxa"/>
            <w:tcBorders>
              <w:top w:val="single" w:sz="4" w:space="0" w:color="FFFFFF" w:themeColor="background1"/>
              <w:bottom w:val="single" w:sz="4" w:space="0" w:color="FFFFFF" w:themeColor="background1"/>
            </w:tcBorders>
          </w:tcPr>
          <w:p w14:paraId="6AF25944" w14:textId="77777777" w:rsidR="00B36099" w:rsidRPr="00BE4BB3" w:rsidRDefault="00B36099" w:rsidP="00506E02">
            <w:pPr>
              <w:pStyle w:val="Tablebodytextnospaceafter"/>
              <w:spacing w:before="30" w:after="30"/>
            </w:pPr>
            <w:r w:rsidRPr="00BE4BB3">
              <w:t>Aged between 7 and 12 months from date of receipt</w:t>
            </w:r>
          </w:p>
        </w:tc>
        <w:tc>
          <w:tcPr>
            <w:tcW w:w="1134" w:type="dxa"/>
          </w:tcPr>
          <w:p w14:paraId="6E577F29" w14:textId="77777777" w:rsidR="00B36099" w:rsidRPr="006A20D9" w:rsidRDefault="00B36099" w:rsidP="00506E02">
            <w:pPr>
              <w:pStyle w:val="Tablebodytextnospaceafter"/>
              <w:jc w:val="right"/>
            </w:pPr>
            <w:r w:rsidRPr="00573802">
              <w:t>31%</w:t>
            </w:r>
          </w:p>
        </w:tc>
        <w:tc>
          <w:tcPr>
            <w:tcW w:w="1213" w:type="dxa"/>
          </w:tcPr>
          <w:p w14:paraId="2DB632AB" w14:textId="77777777" w:rsidR="00B36099" w:rsidRPr="00573802" w:rsidRDefault="00B36099" w:rsidP="00506E02">
            <w:pPr>
              <w:pStyle w:val="Tablebodytextnospaceafter"/>
              <w:spacing w:before="30" w:after="30"/>
              <w:jc w:val="right"/>
            </w:pPr>
            <w:r>
              <w:t>11%</w:t>
            </w:r>
          </w:p>
        </w:tc>
        <w:tc>
          <w:tcPr>
            <w:tcW w:w="1170" w:type="dxa"/>
          </w:tcPr>
          <w:p w14:paraId="41C29DD1" w14:textId="77777777" w:rsidR="00B36099" w:rsidRDefault="00B36099" w:rsidP="00506E02">
            <w:pPr>
              <w:pStyle w:val="Tablebodytextnospaceafter"/>
              <w:spacing w:before="30" w:after="30"/>
              <w:jc w:val="right"/>
            </w:pPr>
            <w:r>
              <w:t>19%</w:t>
            </w:r>
          </w:p>
        </w:tc>
        <w:tc>
          <w:tcPr>
            <w:tcW w:w="1158" w:type="dxa"/>
          </w:tcPr>
          <w:p w14:paraId="622D30A4" w14:textId="77777777" w:rsidR="00B36099" w:rsidRDefault="00D6031B" w:rsidP="00506E02">
            <w:pPr>
              <w:pStyle w:val="Tablebodytextnospaceafter"/>
              <w:spacing w:before="30" w:after="30"/>
              <w:jc w:val="right"/>
            </w:pPr>
            <w:r>
              <w:t>30%</w:t>
            </w:r>
          </w:p>
        </w:tc>
      </w:tr>
      <w:tr w:rsidR="00B36099" w14:paraId="0DD18574" w14:textId="77777777" w:rsidTr="00B859BB">
        <w:trPr>
          <w:cnfStyle w:val="000000100000" w:firstRow="0" w:lastRow="0" w:firstColumn="0" w:lastColumn="0" w:oddVBand="0" w:evenVBand="0" w:oddHBand="1" w:evenHBand="0" w:firstRowFirstColumn="0" w:firstRowLastColumn="0" w:lastRowFirstColumn="0" w:lastRowLastColumn="0"/>
          <w:trHeight w:val="60"/>
        </w:trPr>
        <w:tc>
          <w:tcPr>
            <w:tcW w:w="4573" w:type="dxa"/>
            <w:tcBorders>
              <w:top w:val="single" w:sz="4" w:space="0" w:color="FFFFFF" w:themeColor="background1"/>
              <w:bottom w:val="single" w:sz="4" w:space="0" w:color="FFFFFF" w:themeColor="background1"/>
            </w:tcBorders>
          </w:tcPr>
          <w:p w14:paraId="4C62EEC7" w14:textId="77777777" w:rsidR="00B36099" w:rsidRPr="00BE4BB3" w:rsidRDefault="00B36099" w:rsidP="00506E02">
            <w:pPr>
              <w:pStyle w:val="Tablebodytextnospaceafter"/>
              <w:spacing w:before="30" w:after="30"/>
            </w:pPr>
            <w:r w:rsidRPr="00BE4BB3">
              <w:t>Aged more than 12 months from date of receipt</w:t>
            </w:r>
          </w:p>
        </w:tc>
        <w:tc>
          <w:tcPr>
            <w:tcW w:w="1134" w:type="dxa"/>
          </w:tcPr>
          <w:p w14:paraId="0A6F286E" w14:textId="77777777" w:rsidR="00B36099" w:rsidRPr="006A20D9" w:rsidRDefault="00B36099" w:rsidP="00506E02">
            <w:pPr>
              <w:pStyle w:val="Tablebodytextnospaceafter"/>
              <w:jc w:val="right"/>
            </w:pPr>
            <w:r w:rsidRPr="00573802">
              <w:t>18%</w:t>
            </w:r>
          </w:p>
        </w:tc>
        <w:tc>
          <w:tcPr>
            <w:tcW w:w="1213" w:type="dxa"/>
          </w:tcPr>
          <w:p w14:paraId="656EB928" w14:textId="77777777" w:rsidR="00B36099" w:rsidRPr="00573802" w:rsidRDefault="00B36099" w:rsidP="00506E02">
            <w:pPr>
              <w:pStyle w:val="Tablebodytextnospaceafter"/>
              <w:spacing w:before="30" w:after="30"/>
              <w:jc w:val="right"/>
            </w:pPr>
            <w:r>
              <w:t>7%</w:t>
            </w:r>
          </w:p>
        </w:tc>
        <w:tc>
          <w:tcPr>
            <w:tcW w:w="1170" w:type="dxa"/>
          </w:tcPr>
          <w:p w14:paraId="63C23262" w14:textId="77777777" w:rsidR="00B36099" w:rsidRDefault="00D6031B" w:rsidP="00506E02">
            <w:pPr>
              <w:pStyle w:val="Tablebodytextnospaceafter"/>
              <w:spacing w:before="30" w:after="30"/>
              <w:jc w:val="right"/>
            </w:pPr>
            <w:r>
              <w:t>6</w:t>
            </w:r>
            <w:r w:rsidR="00B36099">
              <w:t>%</w:t>
            </w:r>
          </w:p>
        </w:tc>
        <w:tc>
          <w:tcPr>
            <w:tcW w:w="1158" w:type="dxa"/>
          </w:tcPr>
          <w:p w14:paraId="2C13C74C" w14:textId="77777777" w:rsidR="00B36099" w:rsidRDefault="00D6031B" w:rsidP="00506E02">
            <w:pPr>
              <w:pStyle w:val="Tablebodytextnospaceafter"/>
              <w:spacing w:before="30" w:after="30"/>
              <w:jc w:val="right"/>
            </w:pPr>
            <w:r>
              <w:t>4%</w:t>
            </w:r>
          </w:p>
        </w:tc>
      </w:tr>
    </w:tbl>
    <w:bookmarkStart w:id="171" w:name="_Detailed_analysis_of"/>
    <w:bookmarkStart w:id="172" w:name="_Ref336353080"/>
    <w:bookmarkEnd w:id="171"/>
    <w:p w14:paraId="39F97A9F" w14:textId="5B99AD77" w:rsidR="00B859BB" w:rsidRDefault="00B859BB" w:rsidP="00B859BB">
      <w:pPr>
        <w:pStyle w:val="BodyText"/>
        <w:rPr>
          <w:rStyle w:val="Hyperlink"/>
        </w:rPr>
      </w:pPr>
      <w:r>
        <w:fldChar w:fldCharType="begin"/>
      </w:r>
      <w:r>
        <w:instrText xml:space="preserve"> HYPERLINK \l "Contents" </w:instrText>
      </w:r>
      <w:r>
        <w:fldChar w:fldCharType="separate"/>
      </w:r>
      <w:r w:rsidRPr="00F5248A">
        <w:rPr>
          <w:rStyle w:val="Hyperlink"/>
        </w:rPr>
        <w:t>Back to contents</w:t>
      </w:r>
      <w:r>
        <w:rPr>
          <w:rStyle w:val="Hyperlink"/>
        </w:rPr>
        <w:fldChar w:fldCharType="end"/>
      </w:r>
    </w:p>
    <w:p w14:paraId="32E20A8B" w14:textId="77777777" w:rsidR="00F15F11" w:rsidRDefault="00F15F11" w:rsidP="00B859BB">
      <w:pPr>
        <w:pStyle w:val="BodyText"/>
      </w:pPr>
    </w:p>
    <w:p w14:paraId="24BB35BD" w14:textId="73A5299C" w:rsidR="00DF1795" w:rsidRPr="00BE4BB3" w:rsidRDefault="00DF1795" w:rsidP="00DF1795">
      <w:pPr>
        <w:pStyle w:val="Heading2"/>
        <w:spacing w:before="480"/>
      </w:pPr>
      <w:bookmarkStart w:id="173" w:name="_Ref54703154"/>
      <w:r>
        <w:t>Detailed a</w:t>
      </w:r>
      <w:r w:rsidRPr="00BE4BB3">
        <w:t>nalysis of complaints and other contacts</w:t>
      </w:r>
      <w:bookmarkEnd w:id="172"/>
      <w:bookmarkEnd w:id="173"/>
    </w:p>
    <w:p w14:paraId="3D0952D3" w14:textId="77777777" w:rsidR="00DF1795" w:rsidRPr="00BE4BB3" w:rsidRDefault="00DF1795" w:rsidP="00DF1795">
      <w:pPr>
        <w:pStyle w:val="Heading3"/>
        <w:spacing w:before="360"/>
      </w:pPr>
      <w:r w:rsidRPr="00BE4BB3">
        <w:t>Ombudsmen Act (OA)</w:t>
      </w:r>
    </w:p>
    <w:p w14:paraId="01E55BC0" w14:textId="305AB7B1" w:rsidR="0057093C" w:rsidRPr="00222C74" w:rsidRDefault="0057093C" w:rsidP="0057093C">
      <w:pPr>
        <w:pStyle w:val="BodyText"/>
      </w:pPr>
      <w:r>
        <w:rPr>
          <w:noProof/>
          <w:lang w:eastAsia="en-NZ"/>
        </w:rPr>
        <w:drawing>
          <wp:inline distT="0" distB="0" distL="0" distR="0" wp14:anchorId="2345D60C" wp14:editId="0CE031F0">
            <wp:extent cx="5972810" cy="2508739"/>
            <wp:effectExtent l="0" t="0" r="8890" b="6350"/>
            <wp:docPr id="20" name="Chart 20" descr="Link to text alternative version follows this diagram. This is a line graph - the data in the link is presented in a table." title="Figure 4: OA complaints received and actioned over the past 10 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10A7C54D" w14:textId="6BB33476" w:rsidR="00DF1795" w:rsidRDefault="00DF1795" w:rsidP="00DF1795">
      <w:pPr>
        <w:pStyle w:val="FigureCaption"/>
        <w:rPr>
          <w:noProof/>
        </w:rPr>
      </w:pPr>
      <w:bookmarkStart w:id="174" w:name="Figure4"/>
      <w:r w:rsidRPr="00222C74">
        <w:t>Figure 4</w:t>
      </w:r>
      <w:bookmarkEnd w:id="174"/>
      <w:r w:rsidRPr="002B00DB">
        <w:rPr>
          <w:noProof/>
        </w:rPr>
        <w:t xml:space="preserve">: OA complaints </w:t>
      </w:r>
      <w:r w:rsidRPr="0099687E">
        <w:rPr>
          <w:noProof/>
        </w:rPr>
        <w:t>received and actioned over the past 10 years.</w:t>
      </w:r>
      <w:r w:rsidR="009D21B7" w:rsidRPr="0099687E">
        <w:rPr>
          <w:rStyle w:val="FootnoteReference"/>
          <w:noProof/>
        </w:rPr>
        <w:footnoteReference w:id="91"/>
      </w:r>
    </w:p>
    <w:p w14:paraId="54F080A3" w14:textId="2043B1B7" w:rsidR="000C07E2" w:rsidRPr="00222C74" w:rsidRDefault="005B795D" w:rsidP="00222C74">
      <w:pPr>
        <w:pStyle w:val="BodyText"/>
      </w:pPr>
      <w:hyperlink w:anchor="Figure4table" w:history="1">
        <w:r w:rsidR="000C07E2" w:rsidRPr="00866727">
          <w:rPr>
            <w:rStyle w:val="Hyperlink"/>
          </w:rPr>
          <w:t>Link to text alternative alternative version</w:t>
        </w:r>
        <w:r w:rsidR="00866727" w:rsidRPr="00866727">
          <w:rPr>
            <w:rStyle w:val="Hyperlink"/>
          </w:rPr>
          <w:t xml:space="preserve"> of Figure 4</w:t>
        </w:r>
        <w:r w:rsidR="000C07E2" w:rsidRPr="00866727">
          <w:rPr>
            <w:rStyle w:val="Hyperlink"/>
          </w:rPr>
          <w:t>.</w:t>
        </w:r>
      </w:hyperlink>
      <w:r w:rsidR="000C07E2">
        <w:t xml:space="preserve"> </w:t>
      </w:r>
    </w:p>
    <w:p w14:paraId="0F48D6EB" w14:textId="4CD55A8A" w:rsidR="00DF1795" w:rsidRDefault="005B795D" w:rsidP="00DF1795">
      <w:hyperlink w:anchor="Contents" w:history="1">
        <w:r w:rsidR="00DF1795" w:rsidRPr="00F5248A">
          <w:rPr>
            <w:rStyle w:val="Hyperlink"/>
          </w:rPr>
          <w:t>Back to contents</w:t>
        </w:r>
      </w:hyperlink>
      <w:r w:rsidR="00DF1795">
        <w:t>.</w:t>
      </w:r>
    </w:p>
    <w:p w14:paraId="7869B4D5" w14:textId="77777777" w:rsidR="00F15F11" w:rsidRDefault="00F15F11" w:rsidP="00DF1795"/>
    <w:p w14:paraId="0A4B49D1" w14:textId="77777777" w:rsidR="00DF1795" w:rsidRPr="00651D35" w:rsidRDefault="00DF1795" w:rsidP="00DF1795">
      <w:pPr>
        <w:pStyle w:val="Whitespace"/>
      </w:pPr>
    </w:p>
    <w:tbl>
      <w:tblPr>
        <w:tblStyle w:val="TableGridAnnualReport"/>
        <w:tblW w:w="9184" w:type="dxa"/>
        <w:tblInd w:w="20" w:type="dxa"/>
        <w:tblLayout w:type="fixed"/>
        <w:tblLook w:val="0420" w:firstRow="1" w:lastRow="0" w:firstColumn="0" w:lastColumn="0" w:noHBand="0" w:noVBand="1"/>
        <w:tblCaption w:val="Table for formatting purposes"/>
      </w:tblPr>
      <w:tblGrid>
        <w:gridCol w:w="6241"/>
        <w:gridCol w:w="1486"/>
        <w:gridCol w:w="1457"/>
      </w:tblGrid>
      <w:tr w:rsidR="00084BE9" w14:paraId="122D1357" w14:textId="77777777" w:rsidTr="00222C74">
        <w:trPr>
          <w:cnfStyle w:val="100000000000" w:firstRow="1" w:lastRow="0" w:firstColumn="0" w:lastColumn="0" w:oddVBand="0" w:evenVBand="0" w:oddHBand="0" w:evenHBand="0" w:firstRowFirstColumn="0" w:firstRowLastColumn="0" w:lastRowFirstColumn="0" w:lastRowLastColumn="0"/>
          <w:trHeight w:val="286"/>
        </w:trPr>
        <w:tc>
          <w:tcPr>
            <w:tcW w:w="6241" w:type="dxa"/>
          </w:tcPr>
          <w:p w14:paraId="055B82EA" w14:textId="77777777" w:rsidR="00084BE9" w:rsidRPr="00BE4BB3" w:rsidRDefault="001C7062" w:rsidP="00506E02">
            <w:pPr>
              <w:pStyle w:val="Tableheadingrow1"/>
            </w:pPr>
            <w:r>
              <w:t xml:space="preserve">6. </w:t>
            </w:r>
            <w:r w:rsidR="00084BE9" w:rsidRPr="00BE4BB3">
              <w:t>O</w:t>
            </w:r>
            <w:r w:rsidR="00084BE9">
              <w:t>A complaints received from</w:t>
            </w:r>
          </w:p>
        </w:tc>
        <w:tc>
          <w:tcPr>
            <w:tcW w:w="1486" w:type="dxa"/>
          </w:tcPr>
          <w:p w14:paraId="22B9F006" w14:textId="77777777" w:rsidR="00084BE9" w:rsidRDefault="00084BE9" w:rsidP="00506E02">
            <w:pPr>
              <w:pStyle w:val="Tableheadingrow1"/>
              <w:jc w:val="right"/>
            </w:pPr>
            <w:r>
              <w:t>2018/19</w:t>
            </w:r>
          </w:p>
        </w:tc>
        <w:tc>
          <w:tcPr>
            <w:tcW w:w="1457" w:type="dxa"/>
          </w:tcPr>
          <w:p w14:paraId="5239E5AE" w14:textId="77777777" w:rsidR="00084BE9" w:rsidRDefault="00084BE9" w:rsidP="00506E02">
            <w:pPr>
              <w:pStyle w:val="Tableheadingrow1"/>
              <w:jc w:val="right"/>
            </w:pPr>
            <w:r>
              <w:t>2019/20</w:t>
            </w:r>
          </w:p>
        </w:tc>
      </w:tr>
      <w:tr w:rsidR="00D16FB5" w14:paraId="6A88C49E"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tcW w:w="6241" w:type="dxa"/>
          </w:tcPr>
          <w:p w14:paraId="664B9CE3" w14:textId="77777777" w:rsidR="00D16FB5" w:rsidRPr="00BE4BB3" w:rsidRDefault="00D16FB5" w:rsidP="00506E02">
            <w:pPr>
              <w:pStyle w:val="Tablebodytextnospaceafter"/>
              <w:spacing w:before="32" w:after="32"/>
            </w:pPr>
            <w:r>
              <w:t>General public – i</w:t>
            </w:r>
            <w:r w:rsidRPr="00BE4BB3">
              <w:t>ndividuals</w:t>
            </w:r>
          </w:p>
        </w:tc>
        <w:tc>
          <w:tcPr>
            <w:tcW w:w="1486" w:type="dxa"/>
          </w:tcPr>
          <w:p w14:paraId="7DCE97B6" w14:textId="77777777" w:rsidR="00D16FB5" w:rsidRDefault="00D16FB5" w:rsidP="00506E02">
            <w:pPr>
              <w:pStyle w:val="Tablebodytextnospaceafter"/>
              <w:spacing w:before="32" w:after="32"/>
              <w:jc w:val="right"/>
            </w:pPr>
            <w:r>
              <w:t>2,112</w:t>
            </w:r>
          </w:p>
        </w:tc>
        <w:tc>
          <w:tcPr>
            <w:tcW w:w="1457" w:type="dxa"/>
          </w:tcPr>
          <w:p w14:paraId="799F2CDB" w14:textId="77777777" w:rsidR="00D16FB5" w:rsidRDefault="00D16FB5" w:rsidP="00686A02">
            <w:pPr>
              <w:pStyle w:val="Tablebodytextnospaceafter"/>
              <w:spacing w:before="32" w:after="32"/>
              <w:jc w:val="right"/>
            </w:pPr>
            <w:r>
              <w:t>2,377</w:t>
            </w:r>
          </w:p>
        </w:tc>
      </w:tr>
      <w:tr w:rsidR="00D16FB5" w14:paraId="61536D15"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tcW w:w="6241" w:type="dxa"/>
          </w:tcPr>
          <w:p w14:paraId="1BEBD35E" w14:textId="77777777" w:rsidR="00D16FB5" w:rsidRPr="00BE4BB3" w:rsidRDefault="00D16FB5" w:rsidP="00506E02">
            <w:pPr>
              <w:pStyle w:val="Tablebodytextnospaceafter"/>
              <w:spacing w:before="32" w:after="32"/>
            </w:pPr>
            <w:r w:rsidRPr="00BE4BB3">
              <w:t>Prisoners</w:t>
            </w:r>
            <w:r>
              <w:t xml:space="preserve"> and prisoner advocates</w:t>
            </w:r>
          </w:p>
        </w:tc>
        <w:tc>
          <w:tcPr>
            <w:tcW w:w="1486" w:type="dxa"/>
          </w:tcPr>
          <w:p w14:paraId="41187B30" w14:textId="77777777" w:rsidR="00D16FB5" w:rsidRDefault="00D16FB5" w:rsidP="00506E02">
            <w:pPr>
              <w:pStyle w:val="Tablebodytextnospaceafter"/>
              <w:spacing w:before="32" w:after="32"/>
              <w:jc w:val="right"/>
            </w:pPr>
            <w:r>
              <w:t>247</w:t>
            </w:r>
          </w:p>
        </w:tc>
        <w:tc>
          <w:tcPr>
            <w:tcW w:w="1457" w:type="dxa"/>
          </w:tcPr>
          <w:p w14:paraId="633AC98F" w14:textId="77777777" w:rsidR="00D16FB5" w:rsidRDefault="00D16FB5" w:rsidP="00506E02">
            <w:pPr>
              <w:pStyle w:val="Tablebodytextnospaceafter"/>
              <w:spacing w:before="32" w:after="32"/>
              <w:jc w:val="right"/>
            </w:pPr>
            <w:r>
              <w:t>338</w:t>
            </w:r>
          </w:p>
        </w:tc>
      </w:tr>
      <w:tr w:rsidR="00D16FB5" w14:paraId="3045DDA6"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tcW w:w="6241" w:type="dxa"/>
          </w:tcPr>
          <w:p w14:paraId="588C9B50" w14:textId="77777777" w:rsidR="00D16FB5" w:rsidRPr="00BE4BB3" w:rsidRDefault="00D16FB5" w:rsidP="00506E02">
            <w:pPr>
              <w:pStyle w:val="Tablebodytextnospaceafter"/>
              <w:spacing w:before="32" w:after="32"/>
            </w:pPr>
            <w:r w:rsidRPr="00BE4BB3">
              <w:t>Companies, associations and incorporated societies</w:t>
            </w:r>
          </w:p>
        </w:tc>
        <w:tc>
          <w:tcPr>
            <w:tcW w:w="1486" w:type="dxa"/>
          </w:tcPr>
          <w:p w14:paraId="252F405A" w14:textId="77777777" w:rsidR="00D16FB5" w:rsidRDefault="00D16FB5" w:rsidP="00506E02">
            <w:pPr>
              <w:pStyle w:val="Tablebodytextnospaceafter"/>
              <w:spacing w:before="32" w:after="32"/>
              <w:jc w:val="right"/>
            </w:pPr>
            <w:r>
              <w:t>29</w:t>
            </w:r>
          </w:p>
        </w:tc>
        <w:tc>
          <w:tcPr>
            <w:tcW w:w="1457" w:type="dxa"/>
          </w:tcPr>
          <w:p w14:paraId="20C492F1" w14:textId="77777777" w:rsidR="00D16FB5" w:rsidRDefault="00D16FB5" w:rsidP="00506E02">
            <w:pPr>
              <w:pStyle w:val="Tablebodytextnospaceafter"/>
              <w:spacing w:before="32" w:after="32"/>
              <w:jc w:val="right"/>
            </w:pPr>
            <w:r>
              <w:t>64</w:t>
            </w:r>
          </w:p>
        </w:tc>
      </w:tr>
      <w:tr w:rsidR="00D16FB5" w14:paraId="18D97955"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tcW w:w="6241" w:type="dxa"/>
          </w:tcPr>
          <w:p w14:paraId="035508B1" w14:textId="77777777" w:rsidR="00D16FB5" w:rsidRPr="00BE4BB3" w:rsidRDefault="00D16FB5" w:rsidP="00506E02">
            <w:pPr>
              <w:pStyle w:val="Tablebodytextnospaceafter"/>
              <w:spacing w:before="32" w:after="32"/>
            </w:pPr>
            <w:r w:rsidRPr="00BE4BB3">
              <w:t>Media</w:t>
            </w:r>
          </w:p>
        </w:tc>
        <w:tc>
          <w:tcPr>
            <w:tcW w:w="1486" w:type="dxa"/>
          </w:tcPr>
          <w:p w14:paraId="703B2A8A" w14:textId="77777777" w:rsidR="00D16FB5" w:rsidRDefault="00D16FB5" w:rsidP="00506E02">
            <w:pPr>
              <w:pStyle w:val="Tablebodytextnospaceafter"/>
              <w:spacing w:before="32" w:after="32"/>
              <w:jc w:val="right"/>
            </w:pPr>
            <w:r>
              <w:t>16</w:t>
            </w:r>
          </w:p>
        </w:tc>
        <w:tc>
          <w:tcPr>
            <w:tcW w:w="1457" w:type="dxa"/>
          </w:tcPr>
          <w:p w14:paraId="28DBF1D6" w14:textId="77777777" w:rsidR="00D16FB5" w:rsidRDefault="00D16FB5" w:rsidP="00506E02">
            <w:pPr>
              <w:pStyle w:val="Tablebodytextnospaceafter"/>
              <w:spacing w:before="32" w:after="32"/>
              <w:jc w:val="right"/>
            </w:pPr>
            <w:r>
              <w:t>20</w:t>
            </w:r>
          </w:p>
        </w:tc>
      </w:tr>
      <w:tr w:rsidR="00D16FB5" w14:paraId="00CC1D09"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tcW w:w="6241" w:type="dxa"/>
          </w:tcPr>
          <w:p w14:paraId="6A107C81" w14:textId="77777777" w:rsidR="00D16FB5" w:rsidRPr="00BE4BB3" w:rsidRDefault="00D16FB5" w:rsidP="00506E02">
            <w:pPr>
              <w:pStyle w:val="Tablebodytextnospaceafter"/>
              <w:spacing w:before="32" w:after="32"/>
            </w:pPr>
            <w:r>
              <w:t>Members of Parliament</w:t>
            </w:r>
          </w:p>
        </w:tc>
        <w:tc>
          <w:tcPr>
            <w:tcW w:w="1486" w:type="dxa"/>
          </w:tcPr>
          <w:p w14:paraId="15855DC6" w14:textId="77777777" w:rsidR="00D16FB5" w:rsidRDefault="00D16FB5" w:rsidP="00506E02">
            <w:pPr>
              <w:pStyle w:val="Tablebodytextnospaceafter"/>
              <w:spacing w:before="32" w:after="32"/>
              <w:jc w:val="right"/>
            </w:pPr>
            <w:r>
              <w:t>7</w:t>
            </w:r>
          </w:p>
        </w:tc>
        <w:tc>
          <w:tcPr>
            <w:tcW w:w="1457" w:type="dxa"/>
          </w:tcPr>
          <w:p w14:paraId="386B208A" w14:textId="77777777" w:rsidR="00D16FB5" w:rsidRDefault="00D16FB5" w:rsidP="00506E02">
            <w:pPr>
              <w:pStyle w:val="Tablebodytextnospaceafter"/>
              <w:spacing w:before="32" w:after="32"/>
              <w:jc w:val="right"/>
            </w:pPr>
            <w:r>
              <w:t>4</w:t>
            </w:r>
          </w:p>
        </w:tc>
      </w:tr>
      <w:tr w:rsidR="00D16FB5" w14:paraId="78B4884B"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tcW w:w="6241" w:type="dxa"/>
          </w:tcPr>
          <w:p w14:paraId="3182A003" w14:textId="77777777" w:rsidR="00D16FB5" w:rsidRPr="00BE4BB3" w:rsidRDefault="00D16FB5" w:rsidP="00506E02">
            <w:pPr>
              <w:pStyle w:val="Tablebodytextnospaceafter"/>
              <w:spacing w:before="32" w:after="32"/>
            </w:pPr>
            <w:r>
              <w:t>D</w:t>
            </w:r>
            <w:r w:rsidRPr="00BE4BB3">
              <w:t>epartments</w:t>
            </w:r>
            <w:r>
              <w:t xml:space="preserve">, government </w:t>
            </w:r>
            <w:r w:rsidRPr="00BE4BB3">
              <w:t>organisations</w:t>
            </w:r>
            <w:r>
              <w:t xml:space="preserve"> and</w:t>
            </w:r>
            <w:r w:rsidRPr="00BE4BB3">
              <w:t xml:space="preserve"> local authorities</w:t>
            </w:r>
          </w:p>
        </w:tc>
        <w:tc>
          <w:tcPr>
            <w:tcW w:w="1486" w:type="dxa"/>
          </w:tcPr>
          <w:p w14:paraId="7B416057" w14:textId="77777777" w:rsidR="00D16FB5" w:rsidRDefault="00D16FB5" w:rsidP="00506E02">
            <w:pPr>
              <w:pStyle w:val="Tablebodytextnospaceafter"/>
              <w:spacing w:before="32" w:after="32"/>
              <w:jc w:val="right"/>
            </w:pPr>
            <w:r>
              <w:t>1</w:t>
            </w:r>
          </w:p>
        </w:tc>
        <w:tc>
          <w:tcPr>
            <w:tcW w:w="1457" w:type="dxa"/>
          </w:tcPr>
          <w:p w14:paraId="1619D95D" w14:textId="77777777" w:rsidR="00D16FB5" w:rsidRDefault="00D16FB5" w:rsidP="00506E02">
            <w:pPr>
              <w:pStyle w:val="Tablebodytextnospaceafter"/>
              <w:spacing w:before="32" w:after="32"/>
              <w:jc w:val="right"/>
            </w:pPr>
            <w:r>
              <w:t>4</w:t>
            </w:r>
          </w:p>
        </w:tc>
      </w:tr>
      <w:tr w:rsidR="00D16FB5" w14:paraId="44617B5D"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tcW w:w="6241" w:type="dxa"/>
          </w:tcPr>
          <w:p w14:paraId="40DD9856" w14:textId="77777777" w:rsidR="00D16FB5" w:rsidRDefault="00D16FB5" w:rsidP="00506E02">
            <w:pPr>
              <w:pStyle w:val="Tablebodytextnospaceafter"/>
              <w:spacing w:before="32" w:after="32"/>
            </w:pPr>
            <w:r>
              <w:t>Special interest groups</w:t>
            </w:r>
          </w:p>
        </w:tc>
        <w:tc>
          <w:tcPr>
            <w:tcW w:w="1486" w:type="dxa"/>
          </w:tcPr>
          <w:p w14:paraId="1029F516" w14:textId="77777777" w:rsidR="00D16FB5" w:rsidRDefault="00D16FB5" w:rsidP="00506E02">
            <w:pPr>
              <w:pStyle w:val="Tablebodytextnospaceafter"/>
              <w:spacing w:before="32" w:after="32"/>
              <w:jc w:val="right"/>
            </w:pPr>
            <w:r>
              <w:t>-</w:t>
            </w:r>
          </w:p>
        </w:tc>
        <w:tc>
          <w:tcPr>
            <w:tcW w:w="1457" w:type="dxa"/>
          </w:tcPr>
          <w:p w14:paraId="34ABF84D" w14:textId="77777777" w:rsidR="00D16FB5" w:rsidRDefault="00D16FB5" w:rsidP="00506E02">
            <w:pPr>
              <w:pStyle w:val="Tablebodytextnospaceafter"/>
              <w:spacing w:before="32" w:after="32"/>
              <w:jc w:val="right"/>
            </w:pPr>
            <w:r>
              <w:t>3</w:t>
            </w:r>
          </w:p>
        </w:tc>
      </w:tr>
      <w:tr w:rsidR="00D16FB5" w14:paraId="66F8E72A"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tcW w:w="6241" w:type="dxa"/>
          </w:tcPr>
          <w:p w14:paraId="6AC66D02" w14:textId="77777777" w:rsidR="00D16FB5" w:rsidRDefault="00D16FB5" w:rsidP="00506E02">
            <w:pPr>
              <w:pStyle w:val="Tablebodytextnospaceafter"/>
              <w:spacing w:before="32" w:after="32"/>
            </w:pPr>
            <w:r>
              <w:t>Review Agency</w:t>
            </w:r>
          </w:p>
        </w:tc>
        <w:tc>
          <w:tcPr>
            <w:tcW w:w="1486" w:type="dxa"/>
          </w:tcPr>
          <w:p w14:paraId="5950D7D7" w14:textId="77777777" w:rsidR="00D16FB5" w:rsidRDefault="00D16FB5" w:rsidP="00506E02">
            <w:pPr>
              <w:pStyle w:val="Tablebodytextnospaceafter"/>
              <w:spacing w:before="32" w:after="32"/>
              <w:jc w:val="right"/>
            </w:pPr>
            <w:r>
              <w:t>-</w:t>
            </w:r>
          </w:p>
        </w:tc>
        <w:tc>
          <w:tcPr>
            <w:tcW w:w="1457" w:type="dxa"/>
          </w:tcPr>
          <w:p w14:paraId="0D754586" w14:textId="77777777" w:rsidR="00D16FB5" w:rsidRDefault="00D16FB5" w:rsidP="00506E02">
            <w:pPr>
              <w:pStyle w:val="Tablebodytextnospaceafter"/>
              <w:spacing w:before="32" w:after="32"/>
              <w:jc w:val="right"/>
            </w:pPr>
            <w:r>
              <w:t>1</w:t>
            </w:r>
          </w:p>
        </w:tc>
      </w:tr>
      <w:tr w:rsidR="00D16FB5" w14:paraId="215A025C"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tcW w:w="6241" w:type="dxa"/>
          </w:tcPr>
          <w:p w14:paraId="75C92D04" w14:textId="77777777" w:rsidR="00D16FB5" w:rsidRPr="00BE4BB3" w:rsidRDefault="00D16FB5" w:rsidP="00506E02">
            <w:pPr>
              <w:pStyle w:val="Tablebodytextnospaceafter"/>
              <w:spacing w:before="32" w:after="32"/>
            </w:pPr>
            <w:r>
              <w:t xml:space="preserve">Researcher </w:t>
            </w:r>
          </w:p>
        </w:tc>
        <w:tc>
          <w:tcPr>
            <w:tcW w:w="1486" w:type="dxa"/>
          </w:tcPr>
          <w:p w14:paraId="41D0EED6" w14:textId="77777777" w:rsidR="00D16FB5" w:rsidRDefault="00D16FB5" w:rsidP="00506E02">
            <w:pPr>
              <w:pStyle w:val="Tablebodytextnospaceafter"/>
              <w:spacing w:before="32" w:after="32"/>
              <w:jc w:val="right"/>
            </w:pPr>
            <w:r>
              <w:t>1</w:t>
            </w:r>
          </w:p>
        </w:tc>
        <w:tc>
          <w:tcPr>
            <w:tcW w:w="1457" w:type="dxa"/>
          </w:tcPr>
          <w:p w14:paraId="07674F4D" w14:textId="77777777" w:rsidR="00D16FB5" w:rsidRDefault="00D16FB5" w:rsidP="00506E02">
            <w:pPr>
              <w:pStyle w:val="Tablebodytextnospaceafter"/>
              <w:spacing w:before="32" w:after="32"/>
              <w:jc w:val="right"/>
            </w:pPr>
            <w:r>
              <w:t>-</w:t>
            </w:r>
          </w:p>
        </w:tc>
      </w:tr>
      <w:tr w:rsidR="00084BE9" w14:paraId="4A88F2C6" w14:textId="77777777" w:rsidTr="00222C74">
        <w:trPr>
          <w:cnfStyle w:val="000000010000" w:firstRow="0" w:lastRow="0" w:firstColumn="0" w:lastColumn="0" w:oddVBand="0" w:evenVBand="0" w:oddHBand="0" w:evenHBand="1" w:firstRowFirstColumn="0" w:firstRowLastColumn="0" w:lastRowFirstColumn="0" w:lastRowLastColumn="0"/>
          <w:trHeight w:val="305"/>
        </w:trPr>
        <w:tc>
          <w:tcPr>
            <w:tcW w:w="6241" w:type="dxa"/>
            <w:shd w:val="clear" w:color="auto" w:fill="BFBFBF"/>
          </w:tcPr>
          <w:p w14:paraId="15193E8B" w14:textId="77777777" w:rsidR="00084BE9" w:rsidRPr="004C3112" w:rsidRDefault="00084BE9" w:rsidP="00506E02">
            <w:pPr>
              <w:pStyle w:val="Tablebodytextnospaceafter"/>
              <w:spacing w:before="32" w:after="32"/>
              <w:rPr>
                <w:rStyle w:val="Emphasis"/>
              </w:rPr>
            </w:pPr>
            <w:r w:rsidRPr="004C3112">
              <w:rPr>
                <w:rStyle w:val="Emphasis"/>
              </w:rPr>
              <w:t>Total</w:t>
            </w:r>
          </w:p>
        </w:tc>
        <w:tc>
          <w:tcPr>
            <w:tcW w:w="1486" w:type="dxa"/>
            <w:shd w:val="clear" w:color="auto" w:fill="BFBFBF"/>
          </w:tcPr>
          <w:p w14:paraId="04811A0A" w14:textId="77777777" w:rsidR="00084BE9" w:rsidRPr="004C3112" w:rsidRDefault="00084BE9" w:rsidP="00506E02">
            <w:pPr>
              <w:pStyle w:val="Tablebodytextnospaceafter"/>
              <w:spacing w:before="32" w:after="32"/>
              <w:jc w:val="right"/>
              <w:rPr>
                <w:rStyle w:val="Emphasis"/>
              </w:rPr>
            </w:pPr>
            <w:r>
              <w:rPr>
                <w:rStyle w:val="Emphasis"/>
              </w:rPr>
              <w:t>2,413</w:t>
            </w:r>
          </w:p>
        </w:tc>
        <w:tc>
          <w:tcPr>
            <w:tcW w:w="1457" w:type="dxa"/>
            <w:shd w:val="clear" w:color="auto" w:fill="BFBFBF"/>
          </w:tcPr>
          <w:p w14:paraId="67D0A64E" w14:textId="77777777" w:rsidR="00084BE9" w:rsidRDefault="00B649E4" w:rsidP="008B7B15">
            <w:pPr>
              <w:pStyle w:val="Tablebodytextnospaceafter"/>
              <w:spacing w:before="32" w:after="32"/>
              <w:jc w:val="right"/>
              <w:rPr>
                <w:rStyle w:val="Emphasis"/>
              </w:rPr>
            </w:pPr>
            <w:r>
              <w:rPr>
                <w:rStyle w:val="Emphasis"/>
              </w:rPr>
              <w:t>2,8</w:t>
            </w:r>
            <w:r w:rsidR="008B7B15">
              <w:rPr>
                <w:rStyle w:val="Emphasis"/>
              </w:rPr>
              <w:t>11</w:t>
            </w:r>
          </w:p>
        </w:tc>
      </w:tr>
    </w:tbl>
    <w:p w14:paraId="02D67A1D" w14:textId="2FFF2B36" w:rsidR="00DF1795" w:rsidRDefault="005B795D" w:rsidP="00DF1795">
      <w:hyperlink w:anchor="Contents" w:history="1">
        <w:r w:rsidR="00DF1795" w:rsidRPr="00F5248A">
          <w:rPr>
            <w:rStyle w:val="Hyperlink"/>
          </w:rPr>
          <w:t>Back to contents</w:t>
        </w:r>
      </w:hyperlink>
      <w:r w:rsidR="00DF1795">
        <w:t>.</w:t>
      </w:r>
    </w:p>
    <w:p w14:paraId="79175863" w14:textId="77777777" w:rsidR="00F15F11" w:rsidRDefault="00F15F11" w:rsidP="00DF1795"/>
    <w:tbl>
      <w:tblPr>
        <w:tblStyle w:val="TableGridAnnualReport"/>
        <w:tblW w:w="9238" w:type="dxa"/>
        <w:tblLayout w:type="fixed"/>
        <w:tblLook w:val="0420" w:firstRow="1" w:lastRow="0" w:firstColumn="0" w:lastColumn="0" w:noHBand="0" w:noVBand="1"/>
        <w:tblCaption w:val="Table for formatting purposes"/>
      </w:tblPr>
      <w:tblGrid>
        <w:gridCol w:w="6244"/>
        <w:gridCol w:w="1497"/>
        <w:gridCol w:w="1497"/>
      </w:tblGrid>
      <w:tr w:rsidR="00084BE9" w14:paraId="3A6D27E8" w14:textId="77777777" w:rsidTr="00084BE9">
        <w:trPr>
          <w:cnfStyle w:val="100000000000" w:firstRow="1" w:lastRow="0" w:firstColumn="0" w:lastColumn="0" w:oddVBand="0" w:evenVBand="0" w:oddHBand="0" w:evenHBand="0" w:firstRowFirstColumn="0" w:firstRowLastColumn="0" w:lastRowFirstColumn="0" w:lastRowLastColumn="0"/>
          <w:trHeight w:val="415"/>
        </w:trPr>
        <w:tc>
          <w:tcPr>
            <w:tcW w:w="6244" w:type="dxa"/>
          </w:tcPr>
          <w:p w14:paraId="0FA6D477" w14:textId="77777777" w:rsidR="00084BE9" w:rsidRPr="00BE4BB3" w:rsidRDefault="001C7062" w:rsidP="00506E02">
            <w:pPr>
              <w:pStyle w:val="Tableheadingrow1"/>
            </w:pPr>
            <w:r>
              <w:t xml:space="preserve">7. </w:t>
            </w:r>
            <w:r w:rsidR="00084BE9" w:rsidRPr="00BE4BB3">
              <w:t xml:space="preserve">OA </w:t>
            </w:r>
            <w:r w:rsidR="00084BE9">
              <w:t>c</w:t>
            </w:r>
            <w:r w:rsidR="00084BE9" w:rsidRPr="00BE4BB3">
              <w:t xml:space="preserve">omplaints </w:t>
            </w:r>
            <w:r w:rsidR="00084BE9">
              <w:t>received against</w:t>
            </w:r>
          </w:p>
        </w:tc>
        <w:tc>
          <w:tcPr>
            <w:tcW w:w="1497" w:type="dxa"/>
          </w:tcPr>
          <w:p w14:paraId="0E31A570" w14:textId="77777777" w:rsidR="00084BE9" w:rsidRDefault="00084BE9" w:rsidP="00506E02">
            <w:pPr>
              <w:pStyle w:val="Tableheadingrow1"/>
              <w:jc w:val="right"/>
            </w:pPr>
            <w:r>
              <w:t>2018/19</w:t>
            </w:r>
          </w:p>
        </w:tc>
        <w:tc>
          <w:tcPr>
            <w:tcW w:w="1497" w:type="dxa"/>
          </w:tcPr>
          <w:p w14:paraId="21A462C0" w14:textId="77777777" w:rsidR="00084BE9" w:rsidRDefault="00084BE9" w:rsidP="00506E02">
            <w:pPr>
              <w:pStyle w:val="Tableheadingrow1"/>
              <w:jc w:val="right"/>
            </w:pPr>
            <w:r>
              <w:t>2019/20</w:t>
            </w:r>
          </w:p>
        </w:tc>
      </w:tr>
      <w:tr w:rsidR="00084BE9" w14:paraId="4FC588E4"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44" w:type="dxa"/>
          </w:tcPr>
          <w:p w14:paraId="08A0C60D" w14:textId="77777777" w:rsidR="00084BE9" w:rsidRPr="00BE4BB3" w:rsidRDefault="00084BE9" w:rsidP="00506E02">
            <w:pPr>
              <w:pStyle w:val="Tablebodytextnospaceafter"/>
            </w:pPr>
            <w:r>
              <w:t>G</w:t>
            </w:r>
            <w:r w:rsidRPr="00BE4BB3">
              <w:t>overnment departments</w:t>
            </w:r>
          </w:p>
        </w:tc>
        <w:tc>
          <w:tcPr>
            <w:tcW w:w="1497" w:type="dxa"/>
          </w:tcPr>
          <w:p w14:paraId="1ADAA13D" w14:textId="77777777" w:rsidR="00084BE9" w:rsidRDefault="00084BE9" w:rsidP="00506E02">
            <w:pPr>
              <w:pStyle w:val="Tablebodytextnospaceafter"/>
              <w:jc w:val="right"/>
            </w:pPr>
            <w:r>
              <w:t>1,034</w:t>
            </w:r>
          </w:p>
        </w:tc>
        <w:tc>
          <w:tcPr>
            <w:tcW w:w="1497" w:type="dxa"/>
          </w:tcPr>
          <w:p w14:paraId="506863B2" w14:textId="77777777" w:rsidR="00084BE9" w:rsidRDefault="003C3446" w:rsidP="008B7B15">
            <w:pPr>
              <w:pStyle w:val="Tablebodytextnospaceafter"/>
              <w:jc w:val="right"/>
            </w:pPr>
            <w:r>
              <w:t>1,39</w:t>
            </w:r>
            <w:r w:rsidR="008B7B15">
              <w:t>4</w:t>
            </w:r>
          </w:p>
        </w:tc>
      </w:tr>
      <w:tr w:rsidR="00084BE9" w14:paraId="2E2E8C1A" w14:textId="77777777" w:rsidTr="00084BE9">
        <w:trPr>
          <w:cnfStyle w:val="000000010000" w:firstRow="0" w:lastRow="0" w:firstColumn="0" w:lastColumn="0" w:oddVBand="0" w:evenVBand="0" w:oddHBand="0" w:evenHBand="1" w:firstRowFirstColumn="0" w:firstRowLastColumn="0" w:lastRowFirstColumn="0" w:lastRowLastColumn="0"/>
          <w:trHeight w:val="321"/>
        </w:trPr>
        <w:tc>
          <w:tcPr>
            <w:tcW w:w="6244" w:type="dxa"/>
          </w:tcPr>
          <w:p w14:paraId="68217BE0" w14:textId="77777777" w:rsidR="00084BE9" w:rsidRPr="00BE4BB3" w:rsidRDefault="00084BE9" w:rsidP="00506E02">
            <w:pPr>
              <w:pStyle w:val="Tablebodytextnospaceafter"/>
              <w:rPr>
                <w:highlight w:val="yellow"/>
              </w:rPr>
            </w:pPr>
            <w:r w:rsidRPr="00BE4BB3">
              <w:t xml:space="preserve">Local </w:t>
            </w:r>
            <w:r>
              <w:t>authorities</w:t>
            </w:r>
            <w:r w:rsidRPr="00BE4BB3">
              <w:t xml:space="preserve"> </w:t>
            </w:r>
            <w:r>
              <w:t>(all)</w:t>
            </w:r>
          </w:p>
        </w:tc>
        <w:tc>
          <w:tcPr>
            <w:tcW w:w="1497" w:type="dxa"/>
          </w:tcPr>
          <w:p w14:paraId="679A338A" w14:textId="77777777" w:rsidR="00084BE9" w:rsidRDefault="00084BE9" w:rsidP="00506E02">
            <w:pPr>
              <w:pStyle w:val="Tablebodytextnospaceafter"/>
              <w:jc w:val="right"/>
            </w:pPr>
            <w:r>
              <w:t>435</w:t>
            </w:r>
          </w:p>
        </w:tc>
        <w:tc>
          <w:tcPr>
            <w:tcW w:w="1497" w:type="dxa"/>
          </w:tcPr>
          <w:p w14:paraId="21B815F1" w14:textId="77777777" w:rsidR="00084BE9" w:rsidRDefault="003C3446" w:rsidP="008B7B15">
            <w:pPr>
              <w:pStyle w:val="Tablebodytextnospaceafter"/>
              <w:jc w:val="right"/>
            </w:pPr>
            <w:r>
              <w:t>44</w:t>
            </w:r>
            <w:r w:rsidR="008B7B15">
              <w:t>5</w:t>
            </w:r>
          </w:p>
        </w:tc>
      </w:tr>
      <w:tr w:rsidR="00084BE9" w14:paraId="7324FBD2" w14:textId="77777777" w:rsidTr="00084BE9">
        <w:trPr>
          <w:cnfStyle w:val="000000100000" w:firstRow="0" w:lastRow="0" w:firstColumn="0" w:lastColumn="0" w:oddVBand="0" w:evenVBand="0" w:oddHBand="1" w:evenHBand="0" w:firstRowFirstColumn="0" w:firstRowLastColumn="0" w:lastRowFirstColumn="0" w:lastRowLastColumn="0"/>
          <w:trHeight w:val="20"/>
        </w:trPr>
        <w:tc>
          <w:tcPr>
            <w:tcW w:w="6244" w:type="dxa"/>
          </w:tcPr>
          <w:p w14:paraId="4AC19B36" w14:textId="4B5E4FB6" w:rsidR="00084BE9" w:rsidRPr="00AF7C56" w:rsidRDefault="00866727" w:rsidP="00506E02">
            <w:pPr>
              <w:pStyle w:val="Tablebodytextnospaceafter"/>
              <w:spacing w:before="29" w:after="29"/>
              <w:rPr>
                <w:rStyle w:val="Italics"/>
              </w:rPr>
            </w:pPr>
            <w:r>
              <w:rPr>
                <w:rStyle w:val="Italics"/>
              </w:rPr>
              <w:t xml:space="preserve">   </w:t>
            </w:r>
            <w:r w:rsidR="00084BE9" w:rsidRPr="00AF7C56">
              <w:rPr>
                <w:rStyle w:val="Italics"/>
              </w:rPr>
              <w:t xml:space="preserve">District Councils </w:t>
            </w:r>
          </w:p>
        </w:tc>
        <w:tc>
          <w:tcPr>
            <w:tcW w:w="1497" w:type="dxa"/>
          </w:tcPr>
          <w:p w14:paraId="006C3153" w14:textId="77777777" w:rsidR="00084BE9" w:rsidRPr="005D565F" w:rsidRDefault="00084BE9" w:rsidP="00506E02">
            <w:pPr>
              <w:pStyle w:val="Tablebodytextnospaceafter"/>
              <w:spacing w:before="29" w:after="29"/>
              <w:rPr>
                <w:rStyle w:val="Italics"/>
              </w:rPr>
            </w:pPr>
            <w:r>
              <w:rPr>
                <w:rStyle w:val="Italics"/>
              </w:rPr>
              <w:t>185</w:t>
            </w:r>
          </w:p>
        </w:tc>
        <w:tc>
          <w:tcPr>
            <w:tcW w:w="1497" w:type="dxa"/>
          </w:tcPr>
          <w:p w14:paraId="51ACF44C" w14:textId="77777777" w:rsidR="00084BE9" w:rsidRDefault="003C3446" w:rsidP="00506E02">
            <w:pPr>
              <w:pStyle w:val="Tablebodytextnospaceafter"/>
              <w:spacing w:before="29" w:after="29"/>
              <w:rPr>
                <w:rStyle w:val="Italics"/>
              </w:rPr>
            </w:pPr>
            <w:r>
              <w:rPr>
                <w:rStyle w:val="Italics"/>
              </w:rPr>
              <w:t>192</w:t>
            </w:r>
          </w:p>
        </w:tc>
      </w:tr>
      <w:tr w:rsidR="00084BE9" w14:paraId="2C12FD42" w14:textId="77777777" w:rsidTr="00084BE9">
        <w:trPr>
          <w:cnfStyle w:val="000000010000" w:firstRow="0" w:lastRow="0" w:firstColumn="0" w:lastColumn="0" w:oddVBand="0" w:evenVBand="0" w:oddHBand="0" w:evenHBand="1" w:firstRowFirstColumn="0" w:firstRowLastColumn="0" w:lastRowFirstColumn="0" w:lastRowLastColumn="0"/>
          <w:trHeight w:val="20"/>
        </w:trPr>
        <w:tc>
          <w:tcPr>
            <w:tcW w:w="6244" w:type="dxa"/>
          </w:tcPr>
          <w:p w14:paraId="6CDDA863" w14:textId="3068F6DB" w:rsidR="00084BE9" w:rsidRPr="00AF7C56" w:rsidRDefault="00866727" w:rsidP="00506E02">
            <w:pPr>
              <w:pStyle w:val="Tablebodytextnospaceafter"/>
              <w:spacing w:before="29" w:after="29"/>
              <w:rPr>
                <w:rStyle w:val="Italics"/>
              </w:rPr>
            </w:pPr>
            <w:r>
              <w:rPr>
                <w:rStyle w:val="Italics"/>
              </w:rPr>
              <w:t xml:space="preserve">   </w:t>
            </w:r>
            <w:r w:rsidR="00084BE9" w:rsidRPr="00AF7C56">
              <w:rPr>
                <w:rStyle w:val="Italics"/>
              </w:rPr>
              <w:t xml:space="preserve">City Councils </w:t>
            </w:r>
            <w:r w:rsidR="00084BE9">
              <w:rPr>
                <w:rStyle w:val="Italics"/>
              </w:rPr>
              <w:t>(including Auckland Council)</w:t>
            </w:r>
          </w:p>
        </w:tc>
        <w:tc>
          <w:tcPr>
            <w:tcW w:w="1497" w:type="dxa"/>
          </w:tcPr>
          <w:p w14:paraId="0E91DCF9" w14:textId="77777777" w:rsidR="00084BE9" w:rsidRPr="005D565F" w:rsidRDefault="00084BE9" w:rsidP="00506E02">
            <w:pPr>
              <w:pStyle w:val="Tablebodytextnospaceafter"/>
              <w:spacing w:before="29" w:after="29"/>
              <w:rPr>
                <w:rStyle w:val="Italics"/>
              </w:rPr>
            </w:pPr>
            <w:r>
              <w:rPr>
                <w:rStyle w:val="Italics"/>
              </w:rPr>
              <w:t>181</w:t>
            </w:r>
          </w:p>
        </w:tc>
        <w:tc>
          <w:tcPr>
            <w:tcW w:w="1497" w:type="dxa"/>
          </w:tcPr>
          <w:p w14:paraId="0CD6EB71" w14:textId="77777777" w:rsidR="00084BE9" w:rsidRDefault="008B7B15" w:rsidP="00506E02">
            <w:pPr>
              <w:pStyle w:val="Tablebodytextnospaceafter"/>
              <w:spacing w:before="29" w:after="29"/>
              <w:rPr>
                <w:rStyle w:val="Italics"/>
              </w:rPr>
            </w:pPr>
            <w:r>
              <w:rPr>
                <w:rStyle w:val="Italics"/>
              </w:rPr>
              <w:t>183</w:t>
            </w:r>
          </w:p>
        </w:tc>
      </w:tr>
      <w:tr w:rsidR="00084BE9" w14:paraId="6405EAE1" w14:textId="77777777" w:rsidTr="00084BE9">
        <w:trPr>
          <w:cnfStyle w:val="000000100000" w:firstRow="0" w:lastRow="0" w:firstColumn="0" w:lastColumn="0" w:oddVBand="0" w:evenVBand="0" w:oddHBand="1" w:evenHBand="0" w:firstRowFirstColumn="0" w:firstRowLastColumn="0" w:lastRowFirstColumn="0" w:lastRowLastColumn="0"/>
          <w:trHeight w:val="67"/>
        </w:trPr>
        <w:tc>
          <w:tcPr>
            <w:tcW w:w="6244" w:type="dxa"/>
          </w:tcPr>
          <w:p w14:paraId="6F8A9115" w14:textId="6A43BE57" w:rsidR="00084BE9" w:rsidRPr="00AF7C56" w:rsidRDefault="00866727" w:rsidP="00506E02">
            <w:pPr>
              <w:pStyle w:val="Tablebodytextnospaceafter"/>
              <w:spacing w:before="29" w:after="29"/>
              <w:rPr>
                <w:rStyle w:val="Italics"/>
              </w:rPr>
            </w:pPr>
            <w:r>
              <w:rPr>
                <w:rStyle w:val="Italics"/>
              </w:rPr>
              <w:t xml:space="preserve">   </w:t>
            </w:r>
            <w:r w:rsidR="00084BE9" w:rsidRPr="00AF7C56">
              <w:rPr>
                <w:rStyle w:val="Italics"/>
              </w:rPr>
              <w:t xml:space="preserve">Council controlled organisations </w:t>
            </w:r>
            <w:r w:rsidR="00084BE9">
              <w:rPr>
                <w:rStyle w:val="Italics"/>
              </w:rPr>
              <w:t>(including Auckland Transport)</w:t>
            </w:r>
          </w:p>
        </w:tc>
        <w:tc>
          <w:tcPr>
            <w:tcW w:w="1497" w:type="dxa"/>
          </w:tcPr>
          <w:p w14:paraId="31ECD71A" w14:textId="77777777" w:rsidR="00084BE9" w:rsidRPr="005D565F" w:rsidRDefault="00084BE9" w:rsidP="00506E02">
            <w:pPr>
              <w:pStyle w:val="Tablebodytextnospaceafter"/>
              <w:spacing w:before="29" w:after="29"/>
              <w:rPr>
                <w:rStyle w:val="Italics"/>
              </w:rPr>
            </w:pPr>
            <w:r>
              <w:rPr>
                <w:rStyle w:val="Italics"/>
              </w:rPr>
              <w:t>33</w:t>
            </w:r>
          </w:p>
        </w:tc>
        <w:tc>
          <w:tcPr>
            <w:tcW w:w="1497" w:type="dxa"/>
          </w:tcPr>
          <w:p w14:paraId="6604DFAD" w14:textId="77777777" w:rsidR="00084BE9" w:rsidRDefault="003C3446" w:rsidP="00506E02">
            <w:pPr>
              <w:pStyle w:val="Tablebodytextnospaceafter"/>
              <w:spacing w:before="29" w:after="29"/>
              <w:rPr>
                <w:rStyle w:val="Italics"/>
              </w:rPr>
            </w:pPr>
            <w:r>
              <w:rPr>
                <w:rStyle w:val="Italics"/>
              </w:rPr>
              <w:t>35</w:t>
            </w:r>
          </w:p>
        </w:tc>
      </w:tr>
      <w:tr w:rsidR="00084BE9" w14:paraId="238877DA" w14:textId="77777777" w:rsidTr="00084BE9">
        <w:trPr>
          <w:cnfStyle w:val="000000010000" w:firstRow="0" w:lastRow="0" w:firstColumn="0" w:lastColumn="0" w:oddVBand="0" w:evenVBand="0" w:oddHBand="0" w:evenHBand="1" w:firstRowFirstColumn="0" w:firstRowLastColumn="0" w:lastRowFirstColumn="0" w:lastRowLastColumn="0"/>
          <w:trHeight w:val="20"/>
        </w:trPr>
        <w:tc>
          <w:tcPr>
            <w:tcW w:w="6244" w:type="dxa"/>
          </w:tcPr>
          <w:p w14:paraId="52109D51" w14:textId="0BADB910" w:rsidR="00084BE9" w:rsidRPr="00AF7C56" w:rsidRDefault="00866727" w:rsidP="00506E02">
            <w:pPr>
              <w:pStyle w:val="Tablebodytextnospaceafter"/>
              <w:spacing w:before="29" w:after="29"/>
              <w:rPr>
                <w:rStyle w:val="Italics"/>
              </w:rPr>
            </w:pPr>
            <w:r>
              <w:rPr>
                <w:rStyle w:val="Italics"/>
              </w:rPr>
              <w:t xml:space="preserve">   </w:t>
            </w:r>
            <w:r w:rsidR="00084BE9" w:rsidRPr="00AF7C56">
              <w:rPr>
                <w:rStyle w:val="Italics"/>
              </w:rPr>
              <w:t xml:space="preserve">Regional Councils </w:t>
            </w:r>
          </w:p>
        </w:tc>
        <w:tc>
          <w:tcPr>
            <w:tcW w:w="1497" w:type="dxa"/>
          </w:tcPr>
          <w:p w14:paraId="627015A0" w14:textId="77777777" w:rsidR="00084BE9" w:rsidRPr="005D565F" w:rsidRDefault="00084BE9" w:rsidP="00506E02">
            <w:pPr>
              <w:pStyle w:val="Tablebodytextnospaceafter"/>
              <w:spacing w:before="29" w:after="29"/>
              <w:rPr>
                <w:rStyle w:val="Italics"/>
              </w:rPr>
            </w:pPr>
            <w:r>
              <w:rPr>
                <w:rStyle w:val="Italics"/>
              </w:rPr>
              <w:t>35</w:t>
            </w:r>
          </w:p>
        </w:tc>
        <w:tc>
          <w:tcPr>
            <w:tcW w:w="1497" w:type="dxa"/>
          </w:tcPr>
          <w:p w14:paraId="00FA75DE" w14:textId="77777777" w:rsidR="00084BE9" w:rsidRDefault="003C3446" w:rsidP="00506E02">
            <w:pPr>
              <w:pStyle w:val="Tablebodytextnospaceafter"/>
              <w:spacing w:before="29" w:after="29"/>
              <w:rPr>
                <w:rStyle w:val="Italics"/>
              </w:rPr>
            </w:pPr>
            <w:r>
              <w:rPr>
                <w:rStyle w:val="Italics"/>
              </w:rPr>
              <w:t>28</w:t>
            </w:r>
          </w:p>
        </w:tc>
      </w:tr>
      <w:tr w:rsidR="00084BE9" w14:paraId="6E03D2D4"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44" w:type="dxa"/>
          </w:tcPr>
          <w:p w14:paraId="456AB47F" w14:textId="77777777" w:rsidR="00084BE9" w:rsidRPr="00BE4BB3" w:rsidRDefault="00084BE9" w:rsidP="00506E02">
            <w:pPr>
              <w:pStyle w:val="Tablebodytextnospaceafter"/>
            </w:pPr>
            <w:r>
              <w:t>Other organisations state sector (all)</w:t>
            </w:r>
            <w:r w:rsidRPr="00BE4BB3">
              <w:t xml:space="preserve"> </w:t>
            </w:r>
          </w:p>
        </w:tc>
        <w:tc>
          <w:tcPr>
            <w:tcW w:w="1497" w:type="dxa"/>
          </w:tcPr>
          <w:p w14:paraId="299B4A5C" w14:textId="77777777" w:rsidR="00084BE9" w:rsidRDefault="00084BE9" w:rsidP="00506E02">
            <w:pPr>
              <w:pStyle w:val="Tablebodytextnospaceafter"/>
              <w:jc w:val="right"/>
            </w:pPr>
            <w:r>
              <w:t>611</w:t>
            </w:r>
          </w:p>
        </w:tc>
        <w:tc>
          <w:tcPr>
            <w:tcW w:w="1497" w:type="dxa"/>
          </w:tcPr>
          <w:p w14:paraId="458081E4" w14:textId="77777777" w:rsidR="00084BE9" w:rsidRDefault="003C3446" w:rsidP="00827714">
            <w:pPr>
              <w:pStyle w:val="Tablebodytextnospaceafter"/>
              <w:jc w:val="right"/>
            </w:pPr>
            <w:r>
              <w:t>66</w:t>
            </w:r>
            <w:r w:rsidR="00827714">
              <w:t>4</w:t>
            </w:r>
          </w:p>
        </w:tc>
      </w:tr>
      <w:tr w:rsidR="00084BE9" w14:paraId="73C4C564" w14:textId="77777777" w:rsidTr="00084BE9">
        <w:trPr>
          <w:cnfStyle w:val="000000010000" w:firstRow="0" w:lastRow="0" w:firstColumn="0" w:lastColumn="0" w:oddVBand="0" w:evenVBand="0" w:oddHBand="0" w:evenHBand="1" w:firstRowFirstColumn="0" w:firstRowLastColumn="0" w:lastRowFirstColumn="0" w:lastRowLastColumn="0"/>
          <w:trHeight w:val="321"/>
        </w:trPr>
        <w:tc>
          <w:tcPr>
            <w:tcW w:w="6244" w:type="dxa"/>
            <w:tcBorders>
              <w:bottom w:val="single" w:sz="4" w:space="0" w:color="FFFFFF" w:themeColor="background1"/>
            </w:tcBorders>
          </w:tcPr>
          <w:p w14:paraId="23BC0867" w14:textId="5D369E4C" w:rsidR="00084BE9" w:rsidRPr="00AF7C56" w:rsidRDefault="00866727" w:rsidP="00506E02">
            <w:pPr>
              <w:pStyle w:val="Tablebodytextnospaceafter"/>
              <w:spacing w:before="29" w:after="29"/>
              <w:rPr>
                <w:rStyle w:val="Italics"/>
              </w:rPr>
            </w:pPr>
            <w:r>
              <w:rPr>
                <w:rStyle w:val="Italics"/>
              </w:rPr>
              <w:t xml:space="preserve">   </w:t>
            </w:r>
            <w:r w:rsidR="00084BE9" w:rsidRPr="00AF7C56">
              <w:rPr>
                <w:rStyle w:val="Italics"/>
              </w:rPr>
              <w:t xml:space="preserve">Boards of Trustees (schools) </w:t>
            </w:r>
          </w:p>
        </w:tc>
        <w:tc>
          <w:tcPr>
            <w:tcW w:w="1497" w:type="dxa"/>
          </w:tcPr>
          <w:p w14:paraId="7F9B14C8" w14:textId="77777777" w:rsidR="00084BE9" w:rsidRPr="00B9122A" w:rsidRDefault="00084BE9" w:rsidP="00506E02">
            <w:pPr>
              <w:pStyle w:val="Tablebodytextnospaceafter"/>
              <w:spacing w:before="29" w:after="29"/>
              <w:rPr>
                <w:rStyle w:val="Italics"/>
              </w:rPr>
            </w:pPr>
            <w:r>
              <w:rPr>
                <w:rStyle w:val="Italics"/>
              </w:rPr>
              <w:t>101</w:t>
            </w:r>
          </w:p>
        </w:tc>
        <w:tc>
          <w:tcPr>
            <w:tcW w:w="1497" w:type="dxa"/>
          </w:tcPr>
          <w:p w14:paraId="7B7933CA" w14:textId="77777777" w:rsidR="00084BE9" w:rsidRDefault="003C3446" w:rsidP="00506E02">
            <w:pPr>
              <w:pStyle w:val="Tablebodytextnospaceafter"/>
              <w:spacing w:before="29" w:after="29"/>
              <w:rPr>
                <w:rStyle w:val="Italics"/>
              </w:rPr>
            </w:pPr>
            <w:r>
              <w:rPr>
                <w:rStyle w:val="Italics"/>
              </w:rPr>
              <w:t>88</w:t>
            </w:r>
          </w:p>
        </w:tc>
      </w:tr>
      <w:tr w:rsidR="00084BE9" w14:paraId="3551A5D4" w14:textId="77777777" w:rsidTr="00084BE9">
        <w:trPr>
          <w:cnfStyle w:val="000000100000" w:firstRow="0" w:lastRow="0" w:firstColumn="0" w:lastColumn="0" w:oddVBand="0" w:evenVBand="0" w:oddHBand="1" w:evenHBand="0" w:firstRowFirstColumn="0" w:firstRowLastColumn="0" w:lastRowFirstColumn="0" w:lastRowLastColumn="0"/>
          <w:trHeight w:val="321"/>
        </w:trPr>
        <w:tc>
          <w:tcPr>
            <w:tcW w:w="6244" w:type="dxa"/>
            <w:tcBorders>
              <w:top w:val="single" w:sz="4" w:space="0" w:color="FFFFFF" w:themeColor="background1"/>
              <w:bottom w:val="single" w:sz="4" w:space="0" w:color="FFFFFF" w:themeColor="background1"/>
            </w:tcBorders>
          </w:tcPr>
          <w:p w14:paraId="5ED574A7" w14:textId="763A9186" w:rsidR="00084BE9" w:rsidRPr="00AF7C56" w:rsidRDefault="00866727" w:rsidP="00506E02">
            <w:pPr>
              <w:pStyle w:val="Tablebodytextnospaceafter"/>
              <w:spacing w:before="29" w:after="29"/>
              <w:rPr>
                <w:rStyle w:val="Italics"/>
              </w:rPr>
            </w:pPr>
            <w:r>
              <w:rPr>
                <w:rStyle w:val="Italics"/>
              </w:rPr>
              <w:t xml:space="preserve">   </w:t>
            </w:r>
            <w:r w:rsidR="00084BE9" w:rsidRPr="00AF7C56">
              <w:rPr>
                <w:rStyle w:val="Italics"/>
              </w:rPr>
              <w:t xml:space="preserve">District Health Boards </w:t>
            </w:r>
          </w:p>
        </w:tc>
        <w:tc>
          <w:tcPr>
            <w:tcW w:w="1497" w:type="dxa"/>
          </w:tcPr>
          <w:p w14:paraId="3DE91717" w14:textId="77777777" w:rsidR="00084BE9" w:rsidRPr="00B9122A" w:rsidRDefault="00084BE9" w:rsidP="00506E02">
            <w:pPr>
              <w:pStyle w:val="Tablebodytextnospaceafter"/>
              <w:spacing w:before="29" w:after="29"/>
              <w:rPr>
                <w:rStyle w:val="Italics"/>
              </w:rPr>
            </w:pPr>
            <w:r>
              <w:rPr>
                <w:rStyle w:val="Italics"/>
              </w:rPr>
              <w:t>35</w:t>
            </w:r>
          </w:p>
        </w:tc>
        <w:tc>
          <w:tcPr>
            <w:tcW w:w="1497" w:type="dxa"/>
          </w:tcPr>
          <w:p w14:paraId="3227A0D4" w14:textId="77777777" w:rsidR="00084BE9" w:rsidRDefault="003C3446" w:rsidP="00506E02">
            <w:pPr>
              <w:pStyle w:val="Tablebodytextnospaceafter"/>
              <w:spacing w:before="29" w:after="29"/>
              <w:rPr>
                <w:rStyle w:val="Italics"/>
              </w:rPr>
            </w:pPr>
            <w:r>
              <w:rPr>
                <w:rStyle w:val="Italics"/>
              </w:rPr>
              <w:t>61</w:t>
            </w:r>
          </w:p>
        </w:tc>
      </w:tr>
      <w:tr w:rsidR="00084BE9" w14:paraId="36E23F3F" w14:textId="77777777" w:rsidTr="00084BE9">
        <w:trPr>
          <w:cnfStyle w:val="000000010000" w:firstRow="0" w:lastRow="0" w:firstColumn="0" w:lastColumn="0" w:oddVBand="0" w:evenVBand="0" w:oddHBand="0" w:evenHBand="1" w:firstRowFirstColumn="0" w:firstRowLastColumn="0" w:lastRowFirstColumn="0" w:lastRowLastColumn="0"/>
          <w:trHeight w:val="321"/>
        </w:trPr>
        <w:tc>
          <w:tcPr>
            <w:tcW w:w="6244" w:type="dxa"/>
            <w:tcBorders>
              <w:top w:val="single" w:sz="4" w:space="0" w:color="FFFFFF" w:themeColor="background1"/>
              <w:bottom w:val="single" w:sz="4" w:space="0" w:color="FFFFFF" w:themeColor="background1"/>
            </w:tcBorders>
          </w:tcPr>
          <w:p w14:paraId="1853946E" w14:textId="1050FB22" w:rsidR="00084BE9" w:rsidRPr="00AF7C56" w:rsidRDefault="00866727" w:rsidP="00506E02">
            <w:pPr>
              <w:pStyle w:val="Tablebodytextnospaceafter"/>
              <w:spacing w:before="29" w:after="29"/>
              <w:rPr>
                <w:rStyle w:val="Italics"/>
              </w:rPr>
            </w:pPr>
            <w:r>
              <w:rPr>
                <w:rStyle w:val="Italics"/>
              </w:rPr>
              <w:t xml:space="preserve">   </w:t>
            </w:r>
            <w:r w:rsidR="00084BE9" w:rsidRPr="00AF7C56">
              <w:rPr>
                <w:rStyle w:val="Italics"/>
              </w:rPr>
              <w:t xml:space="preserve">Universities </w:t>
            </w:r>
          </w:p>
        </w:tc>
        <w:tc>
          <w:tcPr>
            <w:tcW w:w="1497" w:type="dxa"/>
          </w:tcPr>
          <w:p w14:paraId="5971EE57" w14:textId="77777777" w:rsidR="00084BE9" w:rsidRPr="00B9122A" w:rsidRDefault="00084BE9" w:rsidP="00506E02">
            <w:pPr>
              <w:pStyle w:val="Tablebodytextnospaceafter"/>
              <w:spacing w:before="29" w:after="29"/>
              <w:rPr>
                <w:rStyle w:val="Italics"/>
              </w:rPr>
            </w:pPr>
            <w:r>
              <w:rPr>
                <w:rStyle w:val="Italics"/>
              </w:rPr>
              <w:t>35</w:t>
            </w:r>
          </w:p>
        </w:tc>
        <w:tc>
          <w:tcPr>
            <w:tcW w:w="1497" w:type="dxa"/>
          </w:tcPr>
          <w:p w14:paraId="02D16A28" w14:textId="77777777" w:rsidR="00084BE9" w:rsidRDefault="008B7B15" w:rsidP="00506E02">
            <w:pPr>
              <w:pStyle w:val="Tablebodytextnospaceafter"/>
              <w:spacing w:before="29" w:after="29"/>
              <w:rPr>
                <w:rStyle w:val="Italics"/>
              </w:rPr>
            </w:pPr>
            <w:r>
              <w:rPr>
                <w:rStyle w:val="Italics"/>
              </w:rPr>
              <w:t>26</w:t>
            </w:r>
          </w:p>
        </w:tc>
      </w:tr>
      <w:tr w:rsidR="00084BE9" w14:paraId="43DCC01D" w14:textId="77777777" w:rsidTr="00084BE9">
        <w:trPr>
          <w:cnfStyle w:val="000000100000" w:firstRow="0" w:lastRow="0" w:firstColumn="0" w:lastColumn="0" w:oddVBand="0" w:evenVBand="0" w:oddHBand="1" w:evenHBand="0" w:firstRowFirstColumn="0" w:firstRowLastColumn="0" w:lastRowFirstColumn="0" w:lastRowLastColumn="0"/>
          <w:trHeight w:val="321"/>
        </w:trPr>
        <w:tc>
          <w:tcPr>
            <w:tcW w:w="6244" w:type="dxa"/>
            <w:tcBorders>
              <w:top w:val="single" w:sz="4" w:space="0" w:color="FFFFFF" w:themeColor="background1"/>
            </w:tcBorders>
          </w:tcPr>
          <w:p w14:paraId="20A12F01" w14:textId="47304BFA" w:rsidR="00084BE9" w:rsidRPr="00AF7C56" w:rsidRDefault="00866727" w:rsidP="00506E02">
            <w:pPr>
              <w:pStyle w:val="Tablebodytextnospaceafter"/>
              <w:spacing w:before="29" w:after="29"/>
              <w:rPr>
                <w:rStyle w:val="Italics"/>
              </w:rPr>
            </w:pPr>
            <w:r>
              <w:rPr>
                <w:rStyle w:val="Italics"/>
              </w:rPr>
              <w:t xml:space="preserve">   </w:t>
            </w:r>
            <w:r w:rsidR="00084BE9" w:rsidRPr="00AF7C56">
              <w:rPr>
                <w:rStyle w:val="Italics"/>
              </w:rPr>
              <w:t xml:space="preserve">Polytechnics </w:t>
            </w:r>
          </w:p>
        </w:tc>
        <w:tc>
          <w:tcPr>
            <w:tcW w:w="1497" w:type="dxa"/>
          </w:tcPr>
          <w:p w14:paraId="6294FF0B" w14:textId="77777777" w:rsidR="00084BE9" w:rsidRPr="00B9122A" w:rsidRDefault="00084BE9" w:rsidP="00506E02">
            <w:pPr>
              <w:pStyle w:val="Tablebodytextnospaceafter"/>
              <w:spacing w:before="29" w:after="29"/>
              <w:rPr>
                <w:rStyle w:val="Italics"/>
              </w:rPr>
            </w:pPr>
            <w:r>
              <w:rPr>
                <w:rStyle w:val="Italics"/>
              </w:rPr>
              <w:t>30</w:t>
            </w:r>
          </w:p>
        </w:tc>
        <w:tc>
          <w:tcPr>
            <w:tcW w:w="1497" w:type="dxa"/>
          </w:tcPr>
          <w:p w14:paraId="0909465B" w14:textId="77777777" w:rsidR="00084BE9" w:rsidRDefault="003C3446" w:rsidP="00506E02">
            <w:pPr>
              <w:pStyle w:val="Tablebodytextnospaceafter"/>
              <w:spacing w:before="29" w:after="29"/>
              <w:rPr>
                <w:rStyle w:val="Italics"/>
              </w:rPr>
            </w:pPr>
            <w:r>
              <w:rPr>
                <w:rStyle w:val="Italics"/>
              </w:rPr>
              <w:t>26</w:t>
            </w:r>
          </w:p>
        </w:tc>
      </w:tr>
      <w:tr w:rsidR="00084BE9" w14:paraId="01323EC8"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44" w:type="dxa"/>
          </w:tcPr>
          <w:p w14:paraId="06C2F513" w14:textId="77777777" w:rsidR="00084BE9" w:rsidRPr="00BE4BB3" w:rsidRDefault="00084BE9" w:rsidP="00506E02">
            <w:pPr>
              <w:pStyle w:val="Tablebodytextnospaceafter"/>
            </w:pPr>
            <w:r>
              <w:t>Ministers</w:t>
            </w:r>
          </w:p>
        </w:tc>
        <w:tc>
          <w:tcPr>
            <w:tcW w:w="1497" w:type="dxa"/>
          </w:tcPr>
          <w:p w14:paraId="004099E5" w14:textId="77777777" w:rsidR="00084BE9" w:rsidRDefault="00084BE9" w:rsidP="00506E02">
            <w:pPr>
              <w:pStyle w:val="Tablebodytextnospaceafter"/>
              <w:jc w:val="right"/>
            </w:pPr>
            <w:r>
              <w:t>25</w:t>
            </w:r>
          </w:p>
        </w:tc>
        <w:tc>
          <w:tcPr>
            <w:tcW w:w="1497" w:type="dxa"/>
          </w:tcPr>
          <w:p w14:paraId="495C9E50" w14:textId="77777777" w:rsidR="00084BE9" w:rsidRDefault="003C3446" w:rsidP="00506E02">
            <w:pPr>
              <w:pStyle w:val="Tablebodytextnospaceafter"/>
              <w:jc w:val="right"/>
            </w:pPr>
            <w:r>
              <w:t>22</w:t>
            </w:r>
          </w:p>
        </w:tc>
      </w:tr>
      <w:tr w:rsidR="00084BE9" w14:paraId="29E4D387"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44" w:type="dxa"/>
          </w:tcPr>
          <w:p w14:paraId="7F9F26BD" w14:textId="77777777" w:rsidR="00084BE9" w:rsidRPr="00BE4BB3" w:rsidRDefault="00084BE9" w:rsidP="00506E02">
            <w:pPr>
              <w:pStyle w:val="Tablebodytextnospaceafter"/>
            </w:pPr>
            <w:r w:rsidRPr="00BE4BB3">
              <w:t>Not specified</w:t>
            </w:r>
          </w:p>
        </w:tc>
        <w:tc>
          <w:tcPr>
            <w:tcW w:w="1497" w:type="dxa"/>
          </w:tcPr>
          <w:p w14:paraId="179E27AF" w14:textId="77777777" w:rsidR="00084BE9" w:rsidRDefault="00084BE9" w:rsidP="00506E02">
            <w:pPr>
              <w:pStyle w:val="Tablebodytextnospaceafter"/>
              <w:jc w:val="right"/>
            </w:pPr>
            <w:r>
              <w:t>308</w:t>
            </w:r>
          </w:p>
        </w:tc>
        <w:tc>
          <w:tcPr>
            <w:tcW w:w="1497" w:type="dxa"/>
          </w:tcPr>
          <w:p w14:paraId="29652FBB" w14:textId="77777777" w:rsidR="00084BE9" w:rsidRDefault="008B7B15" w:rsidP="00506E02">
            <w:pPr>
              <w:pStyle w:val="Tablebodytextnospaceafter"/>
              <w:jc w:val="right"/>
            </w:pPr>
            <w:r>
              <w:t>281</w:t>
            </w:r>
          </w:p>
        </w:tc>
      </w:tr>
      <w:tr w:rsidR="00084BE9" w14:paraId="71AD5B79" w14:textId="77777777" w:rsidTr="00084BE9">
        <w:trPr>
          <w:cnfStyle w:val="000000010000" w:firstRow="0" w:lastRow="0" w:firstColumn="0" w:lastColumn="0" w:oddVBand="0" w:evenVBand="0" w:oddHBand="0" w:evenHBand="1" w:firstRowFirstColumn="0" w:firstRowLastColumn="0" w:lastRowFirstColumn="0" w:lastRowLastColumn="0"/>
          <w:trHeight w:val="283"/>
        </w:trPr>
        <w:tc>
          <w:tcPr>
            <w:tcW w:w="6244" w:type="dxa"/>
            <w:shd w:val="clear" w:color="auto" w:fill="BFBFBF"/>
          </w:tcPr>
          <w:p w14:paraId="4A93BD88" w14:textId="77777777" w:rsidR="00084BE9" w:rsidRPr="00DE3800" w:rsidRDefault="00084BE9" w:rsidP="00506E02">
            <w:pPr>
              <w:pStyle w:val="Tablebodytextnospaceafter"/>
              <w:rPr>
                <w:rStyle w:val="Emphasis"/>
              </w:rPr>
            </w:pPr>
            <w:r w:rsidRPr="00DE3800">
              <w:rPr>
                <w:rStyle w:val="Emphasis"/>
              </w:rPr>
              <w:t>Total</w:t>
            </w:r>
          </w:p>
        </w:tc>
        <w:tc>
          <w:tcPr>
            <w:tcW w:w="1497" w:type="dxa"/>
            <w:shd w:val="clear" w:color="auto" w:fill="BFBFBF"/>
          </w:tcPr>
          <w:p w14:paraId="20DADBEE" w14:textId="77777777" w:rsidR="00084BE9" w:rsidRPr="00DE3800" w:rsidRDefault="00084BE9" w:rsidP="00506E02">
            <w:pPr>
              <w:pStyle w:val="Tablebodytextnospaceafter"/>
              <w:jc w:val="right"/>
              <w:rPr>
                <w:rStyle w:val="Emphasis"/>
              </w:rPr>
            </w:pPr>
            <w:r>
              <w:rPr>
                <w:rStyle w:val="Emphasis"/>
              </w:rPr>
              <w:t>2,413</w:t>
            </w:r>
          </w:p>
        </w:tc>
        <w:tc>
          <w:tcPr>
            <w:tcW w:w="1497" w:type="dxa"/>
            <w:shd w:val="clear" w:color="auto" w:fill="BFBFBF"/>
          </w:tcPr>
          <w:p w14:paraId="073404EB" w14:textId="77777777" w:rsidR="00084BE9" w:rsidRDefault="003C3446" w:rsidP="008B7B15">
            <w:pPr>
              <w:pStyle w:val="Tablebodytextnospaceafter"/>
              <w:jc w:val="right"/>
              <w:rPr>
                <w:rStyle w:val="Emphasis"/>
              </w:rPr>
            </w:pPr>
            <w:r>
              <w:rPr>
                <w:rStyle w:val="Emphasis"/>
              </w:rPr>
              <w:t>2,8</w:t>
            </w:r>
            <w:r w:rsidR="008B7B15">
              <w:rPr>
                <w:rStyle w:val="Emphasis"/>
              </w:rPr>
              <w:t>11</w:t>
            </w:r>
          </w:p>
        </w:tc>
      </w:tr>
    </w:tbl>
    <w:p w14:paraId="229B2253" w14:textId="6B29909B" w:rsidR="00DF1795" w:rsidRDefault="005B795D" w:rsidP="00DF1795">
      <w:hyperlink w:anchor="Contents" w:history="1">
        <w:r w:rsidR="00DF1795" w:rsidRPr="00F5248A">
          <w:rPr>
            <w:rStyle w:val="Hyperlink"/>
          </w:rPr>
          <w:t>Back to contents</w:t>
        </w:r>
      </w:hyperlink>
      <w:r w:rsidR="00DF1795">
        <w:t>.</w:t>
      </w:r>
    </w:p>
    <w:p w14:paraId="34809D40" w14:textId="77777777" w:rsidR="00F15F11" w:rsidRDefault="00F15F11" w:rsidP="00DF1795"/>
    <w:tbl>
      <w:tblPr>
        <w:tblStyle w:val="TableGridAnnualReport"/>
        <w:tblW w:w="9251" w:type="dxa"/>
        <w:tblInd w:w="10" w:type="dxa"/>
        <w:tblLayout w:type="fixed"/>
        <w:tblLook w:val="0420" w:firstRow="1" w:lastRow="0" w:firstColumn="0" w:lastColumn="0" w:noHBand="0" w:noVBand="1"/>
        <w:tblCaption w:val="Table for formatting purposes"/>
      </w:tblPr>
      <w:tblGrid>
        <w:gridCol w:w="6227"/>
        <w:gridCol w:w="1512"/>
        <w:gridCol w:w="1512"/>
      </w:tblGrid>
      <w:tr w:rsidR="00084BE9" w14:paraId="3989ABDB" w14:textId="77777777" w:rsidTr="00084BE9">
        <w:trPr>
          <w:cnfStyle w:val="100000000000" w:firstRow="1" w:lastRow="0" w:firstColumn="0" w:lastColumn="0" w:oddVBand="0" w:evenVBand="0" w:oddHBand="0" w:evenHBand="0" w:firstRowFirstColumn="0" w:firstRowLastColumn="0" w:lastRowFirstColumn="0" w:lastRowLastColumn="0"/>
          <w:trHeight w:val="284"/>
        </w:trPr>
        <w:tc>
          <w:tcPr>
            <w:tcW w:w="6227" w:type="dxa"/>
          </w:tcPr>
          <w:p w14:paraId="451D6496" w14:textId="77777777" w:rsidR="00084BE9" w:rsidRPr="00BC7EEC" w:rsidRDefault="001C7062" w:rsidP="00506E02">
            <w:pPr>
              <w:pStyle w:val="Tableheadingrow1"/>
            </w:pPr>
            <w:r>
              <w:t xml:space="preserve">8. </w:t>
            </w:r>
            <w:r w:rsidR="00084BE9">
              <w:t>OA complaints received—greater than or equal to 15 complaints</w:t>
            </w:r>
          </w:p>
        </w:tc>
        <w:tc>
          <w:tcPr>
            <w:tcW w:w="1512" w:type="dxa"/>
          </w:tcPr>
          <w:p w14:paraId="13A89B26" w14:textId="77777777" w:rsidR="00084BE9" w:rsidRDefault="00084BE9" w:rsidP="00506E02">
            <w:pPr>
              <w:pStyle w:val="Tableheadingrow1"/>
              <w:jc w:val="right"/>
            </w:pPr>
            <w:r>
              <w:t>2018/19</w:t>
            </w:r>
          </w:p>
        </w:tc>
        <w:tc>
          <w:tcPr>
            <w:tcW w:w="1512" w:type="dxa"/>
          </w:tcPr>
          <w:p w14:paraId="4654AD50" w14:textId="77777777" w:rsidR="00084BE9" w:rsidRDefault="00084BE9" w:rsidP="00506E02">
            <w:pPr>
              <w:pStyle w:val="Tableheadingrow1"/>
              <w:jc w:val="right"/>
            </w:pPr>
            <w:r>
              <w:t>2019/20</w:t>
            </w:r>
          </w:p>
        </w:tc>
      </w:tr>
      <w:tr w:rsidR="00084BE9" w14:paraId="31F84D3C" w14:textId="77777777" w:rsidTr="00084BE9">
        <w:trPr>
          <w:cnfStyle w:val="000000100000" w:firstRow="0" w:lastRow="0" w:firstColumn="0" w:lastColumn="0" w:oddVBand="0" w:evenVBand="0" w:oddHBand="1" w:evenHBand="0" w:firstRowFirstColumn="0" w:firstRowLastColumn="0" w:lastRowFirstColumn="0" w:lastRowLastColumn="0"/>
          <w:trHeight w:val="20"/>
        </w:trPr>
        <w:tc>
          <w:tcPr>
            <w:tcW w:w="6227" w:type="dxa"/>
            <w:shd w:val="clear" w:color="auto" w:fill="BFBFBF"/>
          </w:tcPr>
          <w:p w14:paraId="7192C992" w14:textId="77777777" w:rsidR="00084BE9" w:rsidRPr="001F660D" w:rsidRDefault="00084BE9" w:rsidP="00506E02">
            <w:pPr>
              <w:pStyle w:val="Tablebodytextnospaceafter"/>
              <w:spacing w:before="29" w:after="29"/>
              <w:rPr>
                <w:rStyle w:val="Emphasis"/>
              </w:rPr>
            </w:pPr>
            <w:r w:rsidRPr="001F660D">
              <w:rPr>
                <w:rStyle w:val="Emphasis"/>
              </w:rPr>
              <w:t>Government departments</w:t>
            </w:r>
          </w:p>
        </w:tc>
        <w:tc>
          <w:tcPr>
            <w:tcW w:w="1512" w:type="dxa"/>
            <w:shd w:val="clear" w:color="auto" w:fill="BFBFBF"/>
          </w:tcPr>
          <w:p w14:paraId="274BDE27" w14:textId="77777777" w:rsidR="00084BE9" w:rsidRPr="001F660D" w:rsidRDefault="00084BE9" w:rsidP="00506E02">
            <w:pPr>
              <w:pStyle w:val="Tablebodytextnospaceafter"/>
              <w:spacing w:before="29" w:after="29"/>
              <w:rPr>
                <w:rStyle w:val="Emphasis"/>
              </w:rPr>
            </w:pPr>
          </w:p>
        </w:tc>
        <w:tc>
          <w:tcPr>
            <w:tcW w:w="1512" w:type="dxa"/>
            <w:shd w:val="clear" w:color="auto" w:fill="BFBFBF"/>
          </w:tcPr>
          <w:p w14:paraId="2496383D" w14:textId="77777777" w:rsidR="00084BE9" w:rsidRPr="001F660D" w:rsidRDefault="00084BE9" w:rsidP="00506E02">
            <w:pPr>
              <w:pStyle w:val="Tablebodytextnospaceafter"/>
              <w:spacing w:before="29" w:after="29"/>
              <w:rPr>
                <w:rStyle w:val="Emphasis"/>
              </w:rPr>
            </w:pPr>
          </w:p>
        </w:tc>
      </w:tr>
      <w:tr w:rsidR="00084BE9" w14:paraId="0F2A1687" w14:textId="77777777" w:rsidTr="00084BE9">
        <w:trPr>
          <w:cnfStyle w:val="000000010000" w:firstRow="0" w:lastRow="0" w:firstColumn="0" w:lastColumn="0" w:oddVBand="0" w:evenVBand="0" w:oddHBand="0" w:evenHBand="1" w:firstRowFirstColumn="0" w:firstRowLastColumn="0" w:lastRowFirstColumn="0" w:lastRowLastColumn="0"/>
          <w:trHeight w:val="20"/>
        </w:trPr>
        <w:tc>
          <w:tcPr>
            <w:tcW w:w="6227" w:type="dxa"/>
            <w:tcBorders>
              <w:top w:val="single" w:sz="4" w:space="0" w:color="FFFFFF" w:themeColor="background1"/>
            </w:tcBorders>
          </w:tcPr>
          <w:p w14:paraId="1DB7BECE" w14:textId="77777777" w:rsidR="00084BE9" w:rsidRPr="00BE4BB3" w:rsidRDefault="00084BE9" w:rsidP="00506E02">
            <w:pPr>
              <w:pStyle w:val="Tablebodytextnospaceafter"/>
              <w:spacing w:before="29" w:after="29"/>
            </w:pPr>
            <w:r w:rsidRPr="00BE4BB3">
              <w:t>Department of Corrections</w:t>
            </w:r>
          </w:p>
        </w:tc>
        <w:tc>
          <w:tcPr>
            <w:tcW w:w="1512" w:type="dxa"/>
          </w:tcPr>
          <w:p w14:paraId="2D1FADAB" w14:textId="77777777" w:rsidR="00084BE9" w:rsidRDefault="00084BE9" w:rsidP="00506E02">
            <w:pPr>
              <w:pStyle w:val="Tablebodytextnospaceafter"/>
              <w:spacing w:before="29" w:after="29"/>
              <w:jc w:val="right"/>
            </w:pPr>
            <w:r>
              <w:t>291</w:t>
            </w:r>
          </w:p>
        </w:tc>
        <w:tc>
          <w:tcPr>
            <w:tcW w:w="1512" w:type="dxa"/>
          </w:tcPr>
          <w:p w14:paraId="335641E1" w14:textId="77777777" w:rsidR="00084BE9" w:rsidRDefault="00E07C8A" w:rsidP="00506E02">
            <w:pPr>
              <w:pStyle w:val="Tablebodytextnospaceafter"/>
              <w:spacing w:before="29" w:after="29"/>
              <w:jc w:val="right"/>
            </w:pPr>
            <w:r>
              <w:t>374</w:t>
            </w:r>
          </w:p>
        </w:tc>
      </w:tr>
      <w:tr w:rsidR="00084BE9" w14:paraId="2753D415" w14:textId="77777777" w:rsidTr="00084BE9">
        <w:trPr>
          <w:cnfStyle w:val="000000100000" w:firstRow="0" w:lastRow="0" w:firstColumn="0" w:lastColumn="0" w:oddVBand="0" w:evenVBand="0" w:oddHBand="1" w:evenHBand="0" w:firstRowFirstColumn="0" w:firstRowLastColumn="0" w:lastRowFirstColumn="0" w:lastRowLastColumn="0"/>
          <w:trHeight w:val="20"/>
        </w:trPr>
        <w:tc>
          <w:tcPr>
            <w:tcW w:w="6227" w:type="dxa"/>
          </w:tcPr>
          <w:p w14:paraId="5CAEFEF3" w14:textId="77777777" w:rsidR="00084BE9" w:rsidRPr="00DE3800" w:rsidRDefault="00084BE9" w:rsidP="00506E02">
            <w:pPr>
              <w:pStyle w:val="Tablebodytextnospaceafter"/>
              <w:spacing w:before="29" w:after="29"/>
            </w:pPr>
            <w:r w:rsidRPr="00DE3800">
              <w:t xml:space="preserve">Ministry of Business, Innovation and Employment </w:t>
            </w:r>
          </w:p>
        </w:tc>
        <w:tc>
          <w:tcPr>
            <w:tcW w:w="1512" w:type="dxa"/>
          </w:tcPr>
          <w:p w14:paraId="40779C2D" w14:textId="77777777" w:rsidR="00084BE9" w:rsidRDefault="00084BE9" w:rsidP="00506E02">
            <w:pPr>
              <w:pStyle w:val="Tablebodytextnospaceafter"/>
              <w:spacing w:before="29" w:after="29"/>
              <w:jc w:val="right"/>
            </w:pPr>
            <w:r>
              <w:t>269</w:t>
            </w:r>
          </w:p>
        </w:tc>
        <w:tc>
          <w:tcPr>
            <w:tcW w:w="1512" w:type="dxa"/>
          </w:tcPr>
          <w:p w14:paraId="47AF3367" w14:textId="77777777" w:rsidR="00084BE9" w:rsidRDefault="00E07C8A" w:rsidP="00AF0FD0">
            <w:pPr>
              <w:pStyle w:val="Tablebodytextnospaceafter"/>
              <w:spacing w:before="29" w:after="29"/>
              <w:jc w:val="right"/>
            </w:pPr>
            <w:r>
              <w:t>3</w:t>
            </w:r>
            <w:r w:rsidR="00AF0FD0">
              <w:t>59</w:t>
            </w:r>
          </w:p>
        </w:tc>
      </w:tr>
      <w:tr w:rsidR="00084BE9" w14:paraId="1FD6CA67" w14:textId="77777777" w:rsidTr="00084BE9">
        <w:trPr>
          <w:cnfStyle w:val="000000010000" w:firstRow="0" w:lastRow="0" w:firstColumn="0" w:lastColumn="0" w:oddVBand="0" w:evenVBand="0" w:oddHBand="0" w:evenHBand="1" w:firstRowFirstColumn="0" w:firstRowLastColumn="0" w:lastRowFirstColumn="0" w:lastRowLastColumn="0"/>
          <w:trHeight w:val="20"/>
        </w:trPr>
        <w:tc>
          <w:tcPr>
            <w:tcW w:w="6227" w:type="dxa"/>
          </w:tcPr>
          <w:p w14:paraId="55FBDF0D" w14:textId="77777777" w:rsidR="00084BE9" w:rsidRPr="00DE3800" w:rsidRDefault="00084BE9" w:rsidP="00506E02">
            <w:pPr>
              <w:pStyle w:val="Tablebodytextnospaceafter"/>
              <w:spacing w:before="29" w:after="29"/>
            </w:pPr>
            <w:r w:rsidRPr="00DE3800">
              <w:t>Ministry of Social Development</w:t>
            </w:r>
          </w:p>
        </w:tc>
        <w:tc>
          <w:tcPr>
            <w:tcW w:w="1512" w:type="dxa"/>
          </w:tcPr>
          <w:p w14:paraId="3AA8E31E" w14:textId="77777777" w:rsidR="00084BE9" w:rsidRDefault="00084BE9" w:rsidP="00506E02">
            <w:pPr>
              <w:pStyle w:val="Tablebodytextnospaceafter"/>
              <w:spacing w:before="29" w:after="29"/>
              <w:jc w:val="right"/>
            </w:pPr>
            <w:r>
              <w:t>116</w:t>
            </w:r>
          </w:p>
        </w:tc>
        <w:tc>
          <w:tcPr>
            <w:tcW w:w="1512" w:type="dxa"/>
          </w:tcPr>
          <w:p w14:paraId="7C1DD73A" w14:textId="77777777" w:rsidR="00084BE9" w:rsidRDefault="00E07C8A" w:rsidP="00506E02">
            <w:pPr>
              <w:pStyle w:val="Tablebodytextnospaceafter"/>
              <w:spacing w:before="29" w:after="29"/>
              <w:jc w:val="right"/>
            </w:pPr>
            <w:r>
              <w:t>150</w:t>
            </w:r>
          </w:p>
        </w:tc>
      </w:tr>
      <w:tr w:rsidR="00084BE9" w14:paraId="2784D61B" w14:textId="77777777" w:rsidTr="00084BE9">
        <w:trPr>
          <w:cnfStyle w:val="000000100000" w:firstRow="0" w:lastRow="0" w:firstColumn="0" w:lastColumn="0" w:oddVBand="0" w:evenVBand="0" w:oddHBand="1" w:evenHBand="0" w:firstRowFirstColumn="0" w:firstRowLastColumn="0" w:lastRowFirstColumn="0" w:lastRowLastColumn="0"/>
          <w:trHeight w:val="20"/>
        </w:trPr>
        <w:tc>
          <w:tcPr>
            <w:tcW w:w="6227" w:type="dxa"/>
          </w:tcPr>
          <w:p w14:paraId="0E1F8E7D" w14:textId="0EAD475E" w:rsidR="00084BE9" w:rsidRPr="00DE3800" w:rsidRDefault="00084BE9" w:rsidP="00D13E44">
            <w:pPr>
              <w:pStyle w:val="Tablebodytextnospaceafter"/>
              <w:spacing w:before="29" w:after="29"/>
            </w:pPr>
            <w:r>
              <w:t>Oranga Tamariki</w:t>
            </w:r>
            <w:r w:rsidR="00D13E44">
              <w:t xml:space="preserve"> — </w:t>
            </w:r>
            <w:r>
              <w:t>Ministry for Children</w:t>
            </w:r>
          </w:p>
        </w:tc>
        <w:tc>
          <w:tcPr>
            <w:tcW w:w="1512" w:type="dxa"/>
          </w:tcPr>
          <w:p w14:paraId="6BAA064F" w14:textId="77777777" w:rsidR="00084BE9" w:rsidRDefault="00084BE9" w:rsidP="00506E02">
            <w:pPr>
              <w:pStyle w:val="Tablebodytextnospaceafter"/>
              <w:spacing w:before="29" w:after="29"/>
              <w:jc w:val="right"/>
            </w:pPr>
            <w:r>
              <w:t>81</w:t>
            </w:r>
          </w:p>
        </w:tc>
        <w:tc>
          <w:tcPr>
            <w:tcW w:w="1512" w:type="dxa"/>
          </w:tcPr>
          <w:p w14:paraId="74C0E7AD" w14:textId="77777777" w:rsidR="00084BE9" w:rsidRDefault="00E07C8A" w:rsidP="00506E02">
            <w:pPr>
              <w:pStyle w:val="Tablebodytextnospaceafter"/>
              <w:spacing w:before="29" w:after="29"/>
              <w:jc w:val="right"/>
            </w:pPr>
            <w:r>
              <w:t>133</w:t>
            </w:r>
          </w:p>
        </w:tc>
      </w:tr>
      <w:tr w:rsidR="00E07C8A" w14:paraId="6DCC5CEB" w14:textId="77777777" w:rsidTr="00335FFD">
        <w:trPr>
          <w:cnfStyle w:val="000000010000" w:firstRow="0" w:lastRow="0" w:firstColumn="0" w:lastColumn="0" w:oddVBand="0" w:evenVBand="0" w:oddHBand="0" w:evenHBand="1" w:firstRowFirstColumn="0" w:firstRowLastColumn="0" w:lastRowFirstColumn="0" w:lastRowLastColumn="0"/>
          <w:trHeight w:val="20"/>
        </w:trPr>
        <w:tc>
          <w:tcPr>
            <w:tcW w:w="6227" w:type="dxa"/>
          </w:tcPr>
          <w:p w14:paraId="2E167FD5" w14:textId="77777777" w:rsidR="00E07C8A" w:rsidRPr="00DE3800" w:rsidRDefault="00E07C8A" w:rsidP="00335FFD">
            <w:pPr>
              <w:pStyle w:val="Tablebodytextnospaceafter"/>
              <w:spacing w:before="29" w:after="29"/>
            </w:pPr>
            <w:r w:rsidRPr="00DE3800">
              <w:t>Inland Revenue</w:t>
            </w:r>
          </w:p>
        </w:tc>
        <w:tc>
          <w:tcPr>
            <w:tcW w:w="1512" w:type="dxa"/>
          </w:tcPr>
          <w:p w14:paraId="3032E6CC" w14:textId="77777777" w:rsidR="00E07C8A" w:rsidRDefault="00E07C8A" w:rsidP="00335FFD">
            <w:pPr>
              <w:pStyle w:val="Tablebodytextnospaceafter"/>
              <w:spacing w:before="29" w:after="29"/>
              <w:jc w:val="right"/>
            </w:pPr>
            <w:r>
              <w:t>111</w:t>
            </w:r>
          </w:p>
        </w:tc>
        <w:tc>
          <w:tcPr>
            <w:tcW w:w="1512" w:type="dxa"/>
          </w:tcPr>
          <w:p w14:paraId="2BCCE079" w14:textId="77777777" w:rsidR="00E07C8A" w:rsidRDefault="00E07C8A" w:rsidP="00335FFD">
            <w:pPr>
              <w:pStyle w:val="Tablebodytextnospaceafter"/>
              <w:spacing w:before="29" w:after="29"/>
              <w:jc w:val="right"/>
            </w:pPr>
            <w:r>
              <w:t>132</w:t>
            </w:r>
          </w:p>
        </w:tc>
      </w:tr>
      <w:tr w:rsidR="00084BE9" w14:paraId="4E4D5CAB" w14:textId="77777777" w:rsidTr="00084BE9">
        <w:trPr>
          <w:cnfStyle w:val="000000100000" w:firstRow="0" w:lastRow="0" w:firstColumn="0" w:lastColumn="0" w:oddVBand="0" w:evenVBand="0" w:oddHBand="1" w:evenHBand="0" w:firstRowFirstColumn="0" w:firstRowLastColumn="0" w:lastRowFirstColumn="0" w:lastRowLastColumn="0"/>
          <w:trHeight w:val="20"/>
        </w:trPr>
        <w:tc>
          <w:tcPr>
            <w:tcW w:w="6227" w:type="dxa"/>
          </w:tcPr>
          <w:p w14:paraId="541590D7" w14:textId="77777777" w:rsidR="00084BE9" w:rsidRPr="00065BB5" w:rsidRDefault="00084BE9" w:rsidP="00506E02">
            <w:pPr>
              <w:pStyle w:val="Tablebodytextnospaceafter"/>
              <w:spacing w:before="29" w:after="29"/>
            </w:pPr>
            <w:r w:rsidRPr="00065BB5">
              <w:t>Ministry of Health</w:t>
            </w:r>
          </w:p>
        </w:tc>
        <w:tc>
          <w:tcPr>
            <w:tcW w:w="1512" w:type="dxa"/>
          </w:tcPr>
          <w:p w14:paraId="5A62707B" w14:textId="77777777" w:rsidR="00084BE9" w:rsidRPr="00065BB5" w:rsidRDefault="00084BE9" w:rsidP="00506E02">
            <w:pPr>
              <w:pStyle w:val="Tablebodytextnospaceafter"/>
              <w:spacing w:before="29" w:after="29"/>
              <w:jc w:val="right"/>
            </w:pPr>
            <w:r w:rsidRPr="00065BB5">
              <w:t>20</w:t>
            </w:r>
          </w:p>
        </w:tc>
        <w:tc>
          <w:tcPr>
            <w:tcW w:w="1512" w:type="dxa"/>
          </w:tcPr>
          <w:p w14:paraId="0D81F980" w14:textId="77777777" w:rsidR="00084BE9" w:rsidRPr="00065BB5" w:rsidRDefault="00E07C8A" w:rsidP="00AF0FD0">
            <w:pPr>
              <w:pStyle w:val="Tablebodytextnospaceafter"/>
              <w:spacing w:before="29" w:after="29"/>
              <w:jc w:val="right"/>
            </w:pPr>
            <w:r>
              <w:t>7</w:t>
            </w:r>
            <w:r w:rsidR="00AF0FD0">
              <w:t>5</w:t>
            </w:r>
          </w:p>
        </w:tc>
      </w:tr>
      <w:tr w:rsidR="00084BE9" w14:paraId="6F76D6D7" w14:textId="77777777" w:rsidTr="00084BE9">
        <w:trPr>
          <w:cnfStyle w:val="000000010000" w:firstRow="0" w:lastRow="0" w:firstColumn="0" w:lastColumn="0" w:oddVBand="0" w:evenVBand="0" w:oddHBand="0" w:evenHBand="1" w:firstRowFirstColumn="0" w:firstRowLastColumn="0" w:lastRowFirstColumn="0" w:lastRowLastColumn="0"/>
          <w:trHeight w:val="20"/>
        </w:trPr>
        <w:tc>
          <w:tcPr>
            <w:tcW w:w="6227" w:type="dxa"/>
          </w:tcPr>
          <w:p w14:paraId="08E8FCAB" w14:textId="77777777" w:rsidR="00084BE9" w:rsidRPr="00DE3800" w:rsidRDefault="00084BE9" w:rsidP="00506E02">
            <w:pPr>
              <w:pStyle w:val="Tablebodytextnospaceafter"/>
              <w:spacing w:before="29" w:after="29"/>
            </w:pPr>
            <w:r w:rsidRPr="00DE3800">
              <w:t>Ministry of Justice</w:t>
            </w:r>
            <w:r>
              <w:rPr>
                <w:rStyle w:val="FootnoteReference"/>
              </w:rPr>
              <w:footnoteReference w:id="92"/>
            </w:r>
          </w:p>
        </w:tc>
        <w:tc>
          <w:tcPr>
            <w:tcW w:w="1512" w:type="dxa"/>
          </w:tcPr>
          <w:p w14:paraId="6D31D8DA" w14:textId="77777777" w:rsidR="00084BE9" w:rsidRDefault="00084BE9" w:rsidP="00506E02">
            <w:pPr>
              <w:pStyle w:val="Tablebodytextnospaceafter"/>
              <w:spacing w:before="29" w:after="29"/>
              <w:jc w:val="right"/>
            </w:pPr>
            <w:r>
              <w:t>19</w:t>
            </w:r>
          </w:p>
        </w:tc>
        <w:tc>
          <w:tcPr>
            <w:tcW w:w="1512" w:type="dxa"/>
          </w:tcPr>
          <w:p w14:paraId="2C590DE5" w14:textId="77777777" w:rsidR="00084BE9" w:rsidRDefault="00E07C8A" w:rsidP="00506E02">
            <w:pPr>
              <w:pStyle w:val="Tablebodytextnospaceafter"/>
              <w:spacing w:before="29" w:after="29"/>
              <w:jc w:val="right"/>
            </w:pPr>
            <w:r>
              <w:t>43</w:t>
            </w:r>
          </w:p>
        </w:tc>
      </w:tr>
      <w:tr w:rsidR="00E07C8A" w14:paraId="091C7412" w14:textId="77777777" w:rsidTr="00335FFD">
        <w:trPr>
          <w:cnfStyle w:val="000000100000" w:firstRow="0" w:lastRow="0" w:firstColumn="0" w:lastColumn="0" w:oddVBand="0" w:evenVBand="0" w:oddHBand="1" w:evenHBand="0" w:firstRowFirstColumn="0" w:firstRowLastColumn="0" w:lastRowFirstColumn="0" w:lastRowLastColumn="0"/>
          <w:trHeight w:val="20"/>
        </w:trPr>
        <w:tc>
          <w:tcPr>
            <w:tcW w:w="6227" w:type="dxa"/>
          </w:tcPr>
          <w:p w14:paraId="3D1CEF57" w14:textId="77777777" w:rsidR="00E07C8A" w:rsidRPr="00DE3800" w:rsidRDefault="00E07C8A" w:rsidP="00335FFD">
            <w:pPr>
              <w:pStyle w:val="Tablebodytextnospaceafter"/>
              <w:spacing w:before="29" w:after="29"/>
            </w:pPr>
            <w:r>
              <w:t xml:space="preserve">Ministry of Education </w:t>
            </w:r>
          </w:p>
        </w:tc>
        <w:tc>
          <w:tcPr>
            <w:tcW w:w="1512" w:type="dxa"/>
          </w:tcPr>
          <w:p w14:paraId="1A16B28D" w14:textId="77777777" w:rsidR="00E07C8A" w:rsidRDefault="00E07C8A" w:rsidP="00335FFD">
            <w:pPr>
              <w:pStyle w:val="Tablebodytextnospaceafter"/>
              <w:spacing w:before="29" w:after="29"/>
              <w:jc w:val="right"/>
            </w:pPr>
            <w:r>
              <w:t>46</w:t>
            </w:r>
          </w:p>
        </w:tc>
        <w:tc>
          <w:tcPr>
            <w:tcW w:w="1512" w:type="dxa"/>
          </w:tcPr>
          <w:p w14:paraId="73CC8BCF" w14:textId="77777777" w:rsidR="00E07C8A" w:rsidRDefault="00E07C8A" w:rsidP="00335FFD">
            <w:pPr>
              <w:pStyle w:val="Tablebodytextnospaceafter"/>
              <w:spacing w:before="29" w:after="29"/>
              <w:jc w:val="right"/>
            </w:pPr>
            <w:r>
              <w:t>35</w:t>
            </w:r>
          </w:p>
        </w:tc>
      </w:tr>
      <w:tr w:rsidR="00E07C8A" w14:paraId="5096C1A0" w14:textId="77777777" w:rsidTr="00084BE9">
        <w:trPr>
          <w:cnfStyle w:val="000000010000" w:firstRow="0" w:lastRow="0" w:firstColumn="0" w:lastColumn="0" w:oddVBand="0" w:evenVBand="0" w:oddHBand="0" w:evenHBand="1" w:firstRowFirstColumn="0" w:firstRowLastColumn="0" w:lastRowFirstColumn="0" w:lastRowLastColumn="0"/>
          <w:trHeight w:val="20"/>
        </w:trPr>
        <w:tc>
          <w:tcPr>
            <w:tcW w:w="6227" w:type="dxa"/>
          </w:tcPr>
          <w:p w14:paraId="239D915C" w14:textId="77777777" w:rsidR="00E07C8A" w:rsidRPr="00DE3800" w:rsidRDefault="00E07C8A" w:rsidP="00E07C8A">
            <w:pPr>
              <w:pStyle w:val="Tablebodytextnospaceafter"/>
              <w:spacing w:before="29" w:after="29"/>
            </w:pPr>
            <w:r w:rsidRPr="00E07C8A">
              <w:t>Department of Internal Affairs</w:t>
            </w:r>
          </w:p>
        </w:tc>
        <w:tc>
          <w:tcPr>
            <w:tcW w:w="1512" w:type="dxa"/>
          </w:tcPr>
          <w:p w14:paraId="6EDE4073" w14:textId="77777777" w:rsidR="00E07C8A" w:rsidRDefault="00557E45" w:rsidP="00E07C8A">
            <w:pPr>
              <w:pStyle w:val="Tablebodytextnospaceafter"/>
              <w:spacing w:before="29" w:after="29"/>
              <w:jc w:val="right"/>
            </w:pPr>
            <w:r>
              <w:t>13</w:t>
            </w:r>
          </w:p>
        </w:tc>
        <w:tc>
          <w:tcPr>
            <w:tcW w:w="1512" w:type="dxa"/>
          </w:tcPr>
          <w:p w14:paraId="5F5B674C" w14:textId="77777777" w:rsidR="00E07C8A" w:rsidRDefault="00E07C8A" w:rsidP="00E07C8A">
            <w:pPr>
              <w:pStyle w:val="Tablebodytextnospaceafter"/>
              <w:spacing w:before="29" w:after="29"/>
              <w:jc w:val="right"/>
            </w:pPr>
            <w:r>
              <w:t>21</w:t>
            </w:r>
          </w:p>
        </w:tc>
      </w:tr>
      <w:tr w:rsidR="00E07C8A" w14:paraId="4C14C591" w14:textId="77777777" w:rsidTr="00084BE9">
        <w:trPr>
          <w:cnfStyle w:val="000000100000" w:firstRow="0" w:lastRow="0" w:firstColumn="0" w:lastColumn="0" w:oddVBand="0" w:evenVBand="0" w:oddHBand="1" w:evenHBand="0" w:firstRowFirstColumn="0" w:firstRowLastColumn="0" w:lastRowFirstColumn="0" w:lastRowLastColumn="0"/>
          <w:trHeight w:val="20"/>
        </w:trPr>
        <w:tc>
          <w:tcPr>
            <w:tcW w:w="6227" w:type="dxa"/>
          </w:tcPr>
          <w:p w14:paraId="428EE9FF" w14:textId="77777777" w:rsidR="00E07C8A" w:rsidRPr="00DE3800" w:rsidRDefault="00E07C8A" w:rsidP="00E07C8A">
            <w:pPr>
              <w:pStyle w:val="Tablebodytextnospaceafter"/>
              <w:spacing w:before="29" w:after="29"/>
            </w:pPr>
            <w:r w:rsidRPr="00E07C8A">
              <w:t>Ministry for Primary Industries</w:t>
            </w:r>
          </w:p>
        </w:tc>
        <w:tc>
          <w:tcPr>
            <w:tcW w:w="1512" w:type="dxa"/>
          </w:tcPr>
          <w:p w14:paraId="7FB3B16D" w14:textId="77777777" w:rsidR="00E07C8A" w:rsidRDefault="00557E45" w:rsidP="00E07C8A">
            <w:pPr>
              <w:pStyle w:val="Tablebodytextnospaceafter"/>
              <w:spacing w:before="29" w:after="29"/>
              <w:jc w:val="right"/>
            </w:pPr>
            <w:r>
              <w:t>13</w:t>
            </w:r>
          </w:p>
        </w:tc>
        <w:tc>
          <w:tcPr>
            <w:tcW w:w="1512" w:type="dxa"/>
          </w:tcPr>
          <w:p w14:paraId="2BAAA1FA" w14:textId="77777777" w:rsidR="00E07C8A" w:rsidRDefault="00E07C8A" w:rsidP="00E07C8A">
            <w:pPr>
              <w:pStyle w:val="Tablebodytextnospaceafter"/>
              <w:spacing w:before="29" w:after="29"/>
              <w:jc w:val="right"/>
            </w:pPr>
            <w:r>
              <w:t>15</w:t>
            </w:r>
          </w:p>
        </w:tc>
      </w:tr>
      <w:tr w:rsidR="00084BE9" w14:paraId="31D458D2" w14:textId="77777777" w:rsidTr="00084BE9">
        <w:trPr>
          <w:cnfStyle w:val="000000010000" w:firstRow="0" w:lastRow="0" w:firstColumn="0" w:lastColumn="0" w:oddVBand="0" w:evenVBand="0" w:oddHBand="0" w:evenHBand="1" w:firstRowFirstColumn="0" w:firstRowLastColumn="0" w:lastRowFirstColumn="0" w:lastRowLastColumn="0"/>
          <w:trHeight w:val="20"/>
        </w:trPr>
        <w:tc>
          <w:tcPr>
            <w:tcW w:w="6227" w:type="dxa"/>
            <w:shd w:val="clear" w:color="auto" w:fill="BFBFBF"/>
          </w:tcPr>
          <w:p w14:paraId="53EC2C08" w14:textId="77777777" w:rsidR="00084BE9" w:rsidRPr="001F660D" w:rsidRDefault="00084BE9" w:rsidP="00506E02">
            <w:pPr>
              <w:pStyle w:val="Tablebodytextnospaceafter"/>
              <w:spacing w:before="29" w:after="29"/>
              <w:rPr>
                <w:rStyle w:val="Emphasis"/>
              </w:rPr>
            </w:pPr>
            <w:r w:rsidRPr="001F660D">
              <w:rPr>
                <w:rStyle w:val="Emphasis"/>
              </w:rPr>
              <w:t xml:space="preserve">Local authorities </w:t>
            </w:r>
          </w:p>
        </w:tc>
        <w:tc>
          <w:tcPr>
            <w:tcW w:w="1512" w:type="dxa"/>
            <w:shd w:val="clear" w:color="auto" w:fill="BFBFBF"/>
          </w:tcPr>
          <w:p w14:paraId="26621F60" w14:textId="77777777" w:rsidR="00084BE9" w:rsidRPr="001F660D" w:rsidRDefault="00084BE9" w:rsidP="00506E02">
            <w:pPr>
              <w:pStyle w:val="Tablebodytextnospaceafter"/>
              <w:spacing w:before="29" w:after="29"/>
              <w:rPr>
                <w:rStyle w:val="Emphasis"/>
              </w:rPr>
            </w:pPr>
          </w:p>
        </w:tc>
        <w:tc>
          <w:tcPr>
            <w:tcW w:w="1512" w:type="dxa"/>
            <w:shd w:val="clear" w:color="auto" w:fill="BFBFBF"/>
          </w:tcPr>
          <w:p w14:paraId="1D5A7201" w14:textId="77777777" w:rsidR="00084BE9" w:rsidRPr="001F660D" w:rsidRDefault="00084BE9" w:rsidP="00506E02">
            <w:pPr>
              <w:pStyle w:val="Tablebodytextnospaceafter"/>
              <w:spacing w:before="29" w:after="29"/>
              <w:rPr>
                <w:rStyle w:val="Emphasis"/>
              </w:rPr>
            </w:pPr>
          </w:p>
        </w:tc>
      </w:tr>
      <w:tr w:rsidR="00084BE9" w14:paraId="0436C18C" w14:textId="77777777" w:rsidTr="00084BE9">
        <w:trPr>
          <w:cnfStyle w:val="000000100000" w:firstRow="0" w:lastRow="0" w:firstColumn="0" w:lastColumn="0" w:oddVBand="0" w:evenVBand="0" w:oddHBand="1" w:evenHBand="0" w:firstRowFirstColumn="0" w:firstRowLastColumn="0" w:lastRowFirstColumn="0" w:lastRowLastColumn="0"/>
          <w:trHeight w:val="20"/>
        </w:trPr>
        <w:tc>
          <w:tcPr>
            <w:tcW w:w="6227" w:type="dxa"/>
            <w:tcBorders>
              <w:top w:val="single" w:sz="4" w:space="0" w:color="FFFFFF" w:themeColor="background1"/>
            </w:tcBorders>
          </w:tcPr>
          <w:p w14:paraId="3A603C91" w14:textId="77777777" w:rsidR="00084BE9" w:rsidRPr="00BE4BB3" w:rsidRDefault="00084BE9" w:rsidP="00506E02">
            <w:pPr>
              <w:pStyle w:val="Tablebodytextnospaceafter"/>
              <w:spacing w:before="29" w:after="29"/>
            </w:pPr>
            <w:r w:rsidRPr="00BE4BB3">
              <w:t>Auckland</w:t>
            </w:r>
            <w:r>
              <w:t xml:space="preserve"> Council</w:t>
            </w:r>
          </w:p>
        </w:tc>
        <w:tc>
          <w:tcPr>
            <w:tcW w:w="1512" w:type="dxa"/>
          </w:tcPr>
          <w:p w14:paraId="19005D12" w14:textId="77777777" w:rsidR="00084BE9" w:rsidRDefault="00084BE9" w:rsidP="00506E02">
            <w:pPr>
              <w:pStyle w:val="Tablebodytextnospaceafter"/>
              <w:spacing w:before="29" w:after="29"/>
              <w:jc w:val="right"/>
            </w:pPr>
            <w:r>
              <w:t>91</w:t>
            </w:r>
          </w:p>
        </w:tc>
        <w:tc>
          <w:tcPr>
            <w:tcW w:w="1512" w:type="dxa"/>
          </w:tcPr>
          <w:p w14:paraId="3DFF3F93" w14:textId="77777777" w:rsidR="00084BE9" w:rsidRDefault="00335FFD" w:rsidP="00926C6D">
            <w:pPr>
              <w:pStyle w:val="Tablebodytextnospaceafter"/>
              <w:spacing w:before="29" w:after="29"/>
              <w:jc w:val="right"/>
            </w:pPr>
            <w:r>
              <w:t>6</w:t>
            </w:r>
            <w:r w:rsidR="00926C6D">
              <w:t>8</w:t>
            </w:r>
          </w:p>
        </w:tc>
      </w:tr>
      <w:tr w:rsidR="00335FFD" w14:paraId="22212E09" w14:textId="77777777" w:rsidTr="00335FFD">
        <w:trPr>
          <w:cnfStyle w:val="000000010000" w:firstRow="0" w:lastRow="0" w:firstColumn="0" w:lastColumn="0" w:oddVBand="0" w:evenVBand="0" w:oddHBand="0" w:evenHBand="1" w:firstRowFirstColumn="0" w:firstRowLastColumn="0" w:lastRowFirstColumn="0" w:lastRowLastColumn="0"/>
          <w:trHeight w:val="20"/>
        </w:trPr>
        <w:tc>
          <w:tcPr>
            <w:tcW w:w="6227" w:type="dxa"/>
            <w:tcBorders>
              <w:top w:val="single" w:sz="4" w:space="0" w:color="FFFFFF" w:themeColor="background1"/>
            </w:tcBorders>
          </w:tcPr>
          <w:p w14:paraId="43ABD4DA" w14:textId="77777777" w:rsidR="00335FFD" w:rsidRPr="00065BB5" w:rsidRDefault="00335FFD" w:rsidP="00335FFD">
            <w:pPr>
              <w:pStyle w:val="Tablebodytextnospaceafter"/>
              <w:spacing w:before="29" w:after="29"/>
            </w:pPr>
            <w:r w:rsidRPr="00065BB5">
              <w:t>Christchurch City Council</w:t>
            </w:r>
          </w:p>
        </w:tc>
        <w:tc>
          <w:tcPr>
            <w:tcW w:w="1512" w:type="dxa"/>
          </w:tcPr>
          <w:p w14:paraId="3211837E" w14:textId="77777777" w:rsidR="00335FFD" w:rsidRPr="00065BB5" w:rsidRDefault="00335FFD" w:rsidP="00335FFD">
            <w:pPr>
              <w:pStyle w:val="Tablebodytextnospaceafter"/>
              <w:spacing w:before="29" w:after="29"/>
              <w:jc w:val="right"/>
            </w:pPr>
            <w:r w:rsidRPr="00065BB5">
              <w:t>20</w:t>
            </w:r>
          </w:p>
        </w:tc>
        <w:tc>
          <w:tcPr>
            <w:tcW w:w="1512" w:type="dxa"/>
          </w:tcPr>
          <w:p w14:paraId="64EE3982" w14:textId="77777777" w:rsidR="00335FFD" w:rsidRPr="00065BB5" w:rsidRDefault="00335FFD" w:rsidP="00926C6D">
            <w:pPr>
              <w:pStyle w:val="Tablebodytextnospaceafter"/>
              <w:spacing w:before="29" w:after="29"/>
              <w:jc w:val="right"/>
            </w:pPr>
            <w:r>
              <w:t>3</w:t>
            </w:r>
            <w:r w:rsidR="00926C6D">
              <w:t>7</w:t>
            </w:r>
          </w:p>
        </w:tc>
      </w:tr>
      <w:tr w:rsidR="00084BE9" w14:paraId="18910E91" w14:textId="77777777" w:rsidTr="00084BE9">
        <w:trPr>
          <w:cnfStyle w:val="000000100000" w:firstRow="0" w:lastRow="0" w:firstColumn="0" w:lastColumn="0" w:oddVBand="0" w:evenVBand="0" w:oddHBand="1" w:evenHBand="0" w:firstRowFirstColumn="0" w:firstRowLastColumn="0" w:lastRowFirstColumn="0" w:lastRowLastColumn="0"/>
          <w:trHeight w:val="20"/>
        </w:trPr>
        <w:tc>
          <w:tcPr>
            <w:tcW w:w="6227" w:type="dxa"/>
            <w:tcBorders>
              <w:top w:val="single" w:sz="4" w:space="0" w:color="FFFFFF" w:themeColor="background1"/>
              <w:bottom w:val="single" w:sz="4" w:space="0" w:color="FFFFFF" w:themeColor="background1"/>
            </w:tcBorders>
          </w:tcPr>
          <w:p w14:paraId="6DEFC1C5" w14:textId="77777777" w:rsidR="00084BE9" w:rsidRPr="00BE4BB3" w:rsidRDefault="00084BE9" w:rsidP="00506E02">
            <w:pPr>
              <w:pStyle w:val="Tablebodytextnospaceafter"/>
              <w:spacing w:before="29" w:after="29"/>
            </w:pPr>
            <w:r>
              <w:t>Auckland Transport</w:t>
            </w:r>
          </w:p>
        </w:tc>
        <w:tc>
          <w:tcPr>
            <w:tcW w:w="1512" w:type="dxa"/>
            <w:tcBorders>
              <w:top w:val="single" w:sz="4" w:space="0" w:color="FFFFFF" w:themeColor="background1"/>
            </w:tcBorders>
          </w:tcPr>
          <w:p w14:paraId="21E98CBE" w14:textId="77777777" w:rsidR="00084BE9" w:rsidRDefault="00084BE9" w:rsidP="00506E02">
            <w:pPr>
              <w:pStyle w:val="Tablebodytextnospaceafter"/>
              <w:spacing w:before="29" w:after="29"/>
              <w:jc w:val="right"/>
            </w:pPr>
            <w:r>
              <w:t>28</w:t>
            </w:r>
          </w:p>
        </w:tc>
        <w:tc>
          <w:tcPr>
            <w:tcW w:w="1512" w:type="dxa"/>
            <w:tcBorders>
              <w:top w:val="single" w:sz="4" w:space="0" w:color="FFFFFF" w:themeColor="background1"/>
            </w:tcBorders>
          </w:tcPr>
          <w:p w14:paraId="17C91756" w14:textId="77777777" w:rsidR="00084BE9" w:rsidRDefault="00335FFD" w:rsidP="00506E02">
            <w:pPr>
              <w:pStyle w:val="Tablebodytextnospaceafter"/>
              <w:spacing w:before="29" w:after="29"/>
              <w:jc w:val="right"/>
            </w:pPr>
            <w:r>
              <w:t>33</w:t>
            </w:r>
          </w:p>
        </w:tc>
      </w:tr>
      <w:tr w:rsidR="00335FFD" w14:paraId="4ACE92FB" w14:textId="77777777" w:rsidTr="00335FFD">
        <w:trPr>
          <w:cnfStyle w:val="000000010000" w:firstRow="0" w:lastRow="0" w:firstColumn="0" w:lastColumn="0" w:oddVBand="0" w:evenVBand="0" w:oddHBand="0" w:evenHBand="1" w:firstRowFirstColumn="0" w:firstRowLastColumn="0" w:lastRowFirstColumn="0" w:lastRowLastColumn="0"/>
          <w:trHeight w:val="20"/>
        </w:trPr>
        <w:tc>
          <w:tcPr>
            <w:tcW w:w="6227" w:type="dxa"/>
            <w:tcBorders>
              <w:top w:val="single" w:sz="4" w:space="0" w:color="FFFFFF" w:themeColor="background1"/>
            </w:tcBorders>
          </w:tcPr>
          <w:p w14:paraId="0FE89FBA" w14:textId="77777777" w:rsidR="00335FFD" w:rsidRDefault="00335FFD" w:rsidP="00335FFD">
            <w:pPr>
              <w:pStyle w:val="Tablebodytextnospaceafter"/>
              <w:spacing w:before="29" w:after="29"/>
            </w:pPr>
            <w:r>
              <w:t>Wellington City Council</w:t>
            </w:r>
          </w:p>
        </w:tc>
        <w:tc>
          <w:tcPr>
            <w:tcW w:w="1512" w:type="dxa"/>
          </w:tcPr>
          <w:p w14:paraId="6A446E3F" w14:textId="77777777" w:rsidR="00335FFD" w:rsidRDefault="00335FFD" w:rsidP="00335FFD">
            <w:pPr>
              <w:pStyle w:val="Tablebodytextnospaceafter"/>
              <w:spacing w:before="29" w:after="29"/>
              <w:jc w:val="right"/>
            </w:pPr>
            <w:r>
              <w:t>19</w:t>
            </w:r>
          </w:p>
        </w:tc>
        <w:tc>
          <w:tcPr>
            <w:tcW w:w="1512" w:type="dxa"/>
          </w:tcPr>
          <w:p w14:paraId="5E465242" w14:textId="77777777" w:rsidR="00335FFD" w:rsidRDefault="00335FFD" w:rsidP="00335FFD">
            <w:pPr>
              <w:pStyle w:val="Tablebodytextnospaceafter"/>
              <w:spacing w:before="29" w:after="29"/>
              <w:jc w:val="right"/>
            </w:pPr>
            <w:r>
              <w:t>30</w:t>
            </w:r>
          </w:p>
        </w:tc>
      </w:tr>
      <w:tr w:rsidR="00084BE9" w14:paraId="21D9610D" w14:textId="77777777" w:rsidTr="00084BE9">
        <w:trPr>
          <w:cnfStyle w:val="000000100000" w:firstRow="0" w:lastRow="0" w:firstColumn="0" w:lastColumn="0" w:oddVBand="0" w:evenVBand="0" w:oddHBand="1" w:evenHBand="0" w:firstRowFirstColumn="0" w:firstRowLastColumn="0" w:lastRowFirstColumn="0" w:lastRowLastColumn="0"/>
          <w:trHeight w:val="20"/>
        </w:trPr>
        <w:tc>
          <w:tcPr>
            <w:tcW w:w="6227" w:type="dxa"/>
            <w:tcBorders>
              <w:top w:val="single" w:sz="4" w:space="0" w:color="FFFFFF" w:themeColor="background1"/>
            </w:tcBorders>
          </w:tcPr>
          <w:p w14:paraId="71E97B53" w14:textId="77777777" w:rsidR="00084BE9" w:rsidRDefault="00084BE9" w:rsidP="00506E02">
            <w:pPr>
              <w:pStyle w:val="Tablebodytextnospaceafter"/>
              <w:spacing w:before="29" w:after="29"/>
            </w:pPr>
            <w:r>
              <w:t>Far North District Council</w:t>
            </w:r>
          </w:p>
        </w:tc>
        <w:tc>
          <w:tcPr>
            <w:tcW w:w="1512" w:type="dxa"/>
          </w:tcPr>
          <w:p w14:paraId="252D1EAF" w14:textId="77777777" w:rsidR="00084BE9" w:rsidRDefault="00084BE9" w:rsidP="00506E02">
            <w:pPr>
              <w:pStyle w:val="Tablebodytextnospaceafter"/>
              <w:spacing w:before="29" w:after="29"/>
              <w:jc w:val="right"/>
            </w:pPr>
            <w:r>
              <w:t>20</w:t>
            </w:r>
          </w:p>
        </w:tc>
        <w:tc>
          <w:tcPr>
            <w:tcW w:w="1512" w:type="dxa"/>
          </w:tcPr>
          <w:p w14:paraId="4EFED90B" w14:textId="77777777" w:rsidR="00084BE9" w:rsidRDefault="00335FFD" w:rsidP="00506E02">
            <w:pPr>
              <w:pStyle w:val="Tablebodytextnospaceafter"/>
              <w:spacing w:before="29" w:after="29"/>
              <w:jc w:val="right"/>
            </w:pPr>
            <w:r>
              <w:t>20</w:t>
            </w:r>
          </w:p>
        </w:tc>
      </w:tr>
      <w:tr w:rsidR="00335FFD" w14:paraId="020DCC8F" w14:textId="77777777" w:rsidTr="00084BE9">
        <w:trPr>
          <w:cnfStyle w:val="000000010000" w:firstRow="0" w:lastRow="0" w:firstColumn="0" w:lastColumn="0" w:oddVBand="0" w:evenVBand="0" w:oddHBand="0" w:evenHBand="1" w:firstRowFirstColumn="0" w:firstRowLastColumn="0" w:lastRowFirstColumn="0" w:lastRowLastColumn="0"/>
          <w:trHeight w:val="20"/>
        </w:trPr>
        <w:tc>
          <w:tcPr>
            <w:tcW w:w="6227" w:type="dxa"/>
            <w:tcBorders>
              <w:top w:val="single" w:sz="4" w:space="0" w:color="FFFFFF" w:themeColor="background1"/>
            </w:tcBorders>
          </w:tcPr>
          <w:p w14:paraId="2B6CF256" w14:textId="77777777" w:rsidR="00335FFD" w:rsidRDefault="00335FFD" w:rsidP="00506E02">
            <w:pPr>
              <w:pStyle w:val="Tablebodytextnospaceafter"/>
              <w:spacing w:before="29" w:after="29"/>
            </w:pPr>
            <w:r>
              <w:t>Waikato District Council</w:t>
            </w:r>
          </w:p>
        </w:tc>
        <w:tc>
          <w:tcPr>
            <w:tcW w:w="1512" w:type="dxa"/>
          </w:tcPr>
          <w:p w14:paraId="0D999314" w14:textId="77777777" w:rsidR="00335FFD" w:rsidRDefault="00C3044E" w:rsidP="00506E02">
            <w:pPr>
              <w:pStyle w:val="Tablebodytextnospaceafter"/>
              <w:spacing w:before="29" w:after="29"/>
              <w:jc w:val="right"/>
            </w:pPr>
            <w:r>
              <w:t>9</w:t>
            </w:r>
          </w:p>
        </w:tc>
        <w:tc>
          <w:tcPr>
            <w:tcW w:w="1512" w:type="dxa"/>
          </w:tcPr>
          <w:p w14:paraId="57AC24D4" w14:textId="77777777" w:rsidR="00335FFD" w:rsidRDefault="00335FFD" w:rsidP="00506E02">
            <w:pPr>
              <w:pStyle w:val="Tablebodytextnospaceafter"/>
              <w:spacing w:before="29" w:after="29"/>
              <w:jc w:val="right"/>
            </w:pPr>
            <w:r>
              <w:t>20</w:t>
            </w:r>
          </w:p>
        </w:tc>
      </w:tr>
      <w:tr w:rsidR="00335FFD" w14:paraId="064C785B" w14:textId="77777777" w:rsidTr="00084BE9">
        <w:trPr>
          <w:cnfStyle w:val="000000100000" w:firstRow="0" w:lastRow="0" w:firstColumn="0" w:lastColumn="0" w:oddVBand="0" w:evenVBand="0" w:oddHBand="1" w:evenHBand="0" w:firstRowFirstColumn="0" w:firstRowLastColumn="0" w:lastRowFirstColumn="0" w:lastRowLastColumn="0"/>
          <w:trHeight w:val="20"/>
        </w:trPr>
        <w:tc>
          <w:tcPr>
            <w:tcW w:w="6227" w:type="dxa"/>
            <w:tcBorders>
              <w:top w:val="single" w:sz="4" w:space="0" w:color="FFFFFF" w:themeColor="background1"/>
            </w:tcBorders>
          </w:tcPr>
          <w:p w14:paraId="666D40DF" w14:textId="77777777" w:rsidR="00335FFD" w:rsidRPr="00065BB5" w:rsidRDefault="00335FFD" w:rsidP="00506E02">
            <w:pPr>
              <w:pStyle w:val="Tablebodytextnospaceafter"/>
              <w:spacing w:before="29" w:after="29"/>
            </w:pPr>
            <w:r>
              <w:t>Tasman District Council</w:t>
            </w:r>
          </w:p>
        </w:tc>
        <w:tc>
          <w:tcPr>
            <w:tcW w:w="1512" w:type="dxa"/>
          </w:tcPr>
          <w:p w14:paraId="085E8A54" w14:textId="77777777" w:rsidR="00335FFD" w:rsidRPr="00065BB5" w:rsidRDefault="00C3044E" w:rsidP="00506E02">
            <w:pPr>
              <w:pStyle w:val="Tablebodytextnospaceafter"/>
              <w:spacing w:before="29" w:after="29"/>
              <w:jc w:val="right"/>
            </w:pPr>
            <w:r>
              <w:t>14</w:t>
            </w:r>
          </w:p>
        </w:tc>
        <w:tc>
          <w:tcPr>
            <w:tcW w:w="1512" w:type="dxa"/>
          </w:tcPr>
          <w:p w14:paraId="2DED5E6E" w14:textId="77777777" w:rsidR="00335FFD" w:rsidRPr="00065BB5" w:rsidRDefault="00335FFD" w:rsidP="00506E02">
            <w:pPr>
              <w:pStyle w:val="Tablebodytextnospaceafter"/>
              <w:spacing w:before="29" w:after="29"/>
              <w:jc w:val="right"/>
            </w:pPr>
            <w:r>
              <w:t>19</w:t>
            </w:r>
          </w:p>
        </w:tc>
      </w:tr>
      <w:tr w:rsidR="00084BE9" w14:paraId="71CE2916" w14:textId="77777777" w:rsidTr="00084BE9">
        <w:trPr>
          <w:cnfStyle w:val="000000010000" w:firstRow="0" w:lastRow="0" w:firstColumn="0" w:lastColumn="0" w:oddVBand="0" w:evenVBand="0" w:oddHBand="0" w:evenHBand="1" w:firstRowFirstColumn="0" w:firstRowLastColumn="0" w:lastRowFirstColumn="0" w:lastRowLastColumn="0"/>
          <w:trHeight w:val="20"/>
        </w:trPr>
        <w:tc>
          <w:tcPr>
            <w:tcW w:w="6227" w:type="dxa"/>
            <w:shd w:val="clear" w:color="auto" w:fill="BFBFBF"/>
          </w:tcPr>
          <w:p w14:paraId="3EB1FF18" w14:textId="77777777" w:rsidR="00084BE9" w:rsidRPr="001F660D" w:rsidRDefault="00084BE9" w:rsidP="00506E02">
            <w:pPr>
              <w:pStyle w:val="Tablebodytextnospaceafter"/>
              <w:spacing w:before="29" w:after="29"/>
              <w:rPr>
                <w:rStyle w:val="Emphasis"/>
              </w:rPr>
            </w:pPr>
            <w:r w:rsidRPr="001F660D">
              <w:rPr>
                <w:rStyle w:val="Emphasis"/>
              </w:rPr>
              <w:t>Other organisations state sector</w:t>
            </w:r>
          </w:p>
        </w:tc>
        <w:tc>
          <w:tcPr>
            <w:tcW w:w="1512" w:type="dxa"/>
            <w:shd w:val="clear" w:color="auto" w:fill="BFBFBF"/>
          </w:tcPr>
          <w:p w14:paraId="4D9412DC" w14:textId="77777777" w:rsidR="00084BE9" w:rsidRPr="001F660D" w:rsidRDefault="00084BE9" w:rsidP="00506E02">
            <w:pPr>
              <w:pStyle w:val="Tablebodytextnospaceafter"/>
              <w:spacing w:before="29" w:after="29"/>
              <w:rPr>
                <w:rStyle w:val="Emphasis"/>
              </w:rPr>
            </w:pPr>
          </w:p>
        </w:tc>
        <w:tc>
          <w:tcPr>
            <w:tcW w:w="1512" w:type="dxa"/>
            <w:shd w:val="clear" w:color="auto" w:fill="BFBFBF"/>
          </w:tcPr>
          <w:p w14:paraId="44A46547" w14:textId="77777777" w:rsidR="00084BE9" w:rsidRPr="001F660D" w:rsidRDefault="00084BE9" w:rsidP="00506E02">
            <w:pPr>
              <w:pStyle w:val="Tablebodytextnospaceafter"/>
              <w:spacing w:before="29" w:after="29"/>
              <w:rPr>
                <w:rStyle w:val="Emphasis"/>
              </w:rPr>
            </w:pPr>
          </w:p>
        </w:tc>
      </w:tr>
      <w:tr w:rsidR="00084BE9" w14:paraId="692D4DCC" w14:textId="77777777" w:rsidTr="00084BE9">
        <w:trPr>
          <w:cnfStyle w:val="000000100000" w:firstRow="0" w:lastRow="0" w:firstColumn="0" w:lastColumn="0" w:oddVBand="0" w:evenVBand="0" w:oddHBand="1" w:evenHBand="0" w:firstRowFirstColumn="0" w:firstRowLastColumn="0" w:lastRowFirstColumn="0" w:lastRowLastColumn="0"/>
          <w:trHeight w:val="20"/>
        </w:trPr>
        <w:tc>
          <w:tcPr>
            <w:tcW w:w="6227" w:type="dxa"/>
            <w:tcBorders>
              <w:bottom w:val="single" w:sz="4" w:space="0" w:color="FFFFFF" w:themeColor="background1"/>
            </w:tcBorders>
          </w:tcPr>
          <w:p w14:paraId="0D0B1819" w14:textId="77777777" w:rsidR="00084BE9" w:rsidRPr="00BE4BB3" w:rsidRDefault="00084BE9" w:rsidP="00506E02">
            <w:pPr>
              <w:pStyle w:val="Tablebodytextnospaceafter"/>
              <w:spacing w:before="29" w:after="29"/>
            </w:pPr>
            <w:r w:rsidRPr="00BE4BB3">
              <w:t>Accident Compensation Corporation</w:t>
            </w:r>
          </w:p>
        </w:tc>
        <w:tc>
          <w:tcPr>
            <w:tcW w:w="1512" w:type="dxa"/>
          </w:tcPr>
          <w:p w14:paraId="7DA82828" w14:textId="77777777" w:rsidR="00084BE9" w:rsidRDefault="00084BE9" w:rsidP="00506E02">
            <w:pPr>
              <w:pStyle w:val="Tablebodytextnospaceafter"/>
              <w:spacing w:before="29" w:after="29"/>
              <w:jc w:val="right"/>
            </w:pPr>
            <w:r>
              <w:t>79</w:t>
            </w:r>
          </w:p>
        </w:tc>
        <w:tc>
          <w:tcPr>
            <w:tcW w:w="1512" w:type="dxa"/>
          </w:tcPr>
          <w:p w14:paraId="371985C3" w14:textId="77777777" w:rsidR="00084BE9" w:rsidRDefault="00335FFD" w:rsidP="00506E02">
            <w:pPr>
              <w:pStyle w:val="Tablebodytextnospaceafter"/>
              <w:spacing w:before="29" w:after="29"/>
              <w:jc w:val="right"/>
            </w:pPr>
            <w:r>
              <w:t>88</w:t>
            </w:r>
          </w:p>
        </w:tc>
      </w:tr>
      <w:tr w:rsidR="00084BE9" w14:paraId="4EC80A01" w14:textId="77777777" w:rsidTr="00084BE9">
        <w:trPr>
          <w:cnfStyle w:val="000000010000" w:firstRow="0" w:lastRow="0" w:firstColumn="0" w:lastColumn="0" w:oddVBand="0" w:evenVBand="0" w:oddHBand="0" w:evenHBand="1" w:firstRowFirstColumn="0" w:firstRowLastColumn="0" w:lastRowFirstColumn="0" w:lastRowLastColumn="0"/>
          <w:trHeight w:val="20"/>
        </w:trPr>
        <w:tc>
          <w:tcPr>
            <w:tcW w:w="6227" w:type="dxa"/>
            <w:tcBorders>
              <w:bottom w:val="single" w:sz="4" w:space="0" w:color="FFFFFF" w:themeColor="background1"/>
            </w:tcBorders>
          </w:tcPr>
          <w:p w14:paraId="0A0E81A6" w14:textId="77777777" w:rsidR="00084BE9" w:rsidRPr="00BE4BB3" w:rsidRDefault="00084BE9" w:rsidP="00506E02">
            <w:pPr>
              <w:pStyle w:val="Tablebodytextnospaceafter"/>
              <w:spacing w:before="29" w:after="29"/>
            </w:pPr>
            <w:r w:rsidRPr="00BE4BB3">
              <w:t>Health and Disability Commissioner</w:t>
            </w:r>
          </w:p>
        </w:tc>
        <w:tc>
          <w:tcPr>
            <w:tcW w:w="1512" w:type="dxa"/>
          </w:tcPr>
          <w:p w14:paraId="69907E6A" w14:textId="77777777" w:rsidR="00084BE9" w:rsidRDefault="00084BE9" w:rsidP="00506E02">
            <w:pPr>
              <w:pStyle w:val="Tablebodytextnospaceafter"/>
              <w:jc w:val="right"/>
            </w:pPr>
            <w:r>
              <w:t>55</w:t>
            </w:r>
          </w:p>
        </w:tc>
        <w:tc>
          <w:tcPr>
            <w:tcW w:w="1512" w:type="dxa"/>
          </w:tcPr>
          <w:p w14:paraId="674EA2CA" w14:textId="77777777" w:rsidR="00084BE9" w:rsidRDefault="00335FFD" w:rsidP="00AF0FD0">
            <w:pPr>
              <w:pStyle w:val="Tablebodytextnospaceafter"/>
              <w:jc w:val="right"/>
            </w:pPr>
            <w:r>
              <w:t>6</w:t>
            </w:r>
            <w:r w:rsidR="00AF0FD0">
              <w:t>0</w:t>
            </w:r>
          </w:p>
        </w:tc>
      </w:tr>
      <w:tr w:rsidR="00084BE9" w14:paraId="4F3C07C2" w14:textId="77777777" w:rsidTr="00084BE9">
        <w:trPr>
          <w:cnfStyle w:val="000000100000" w:firstRow="0" w:lastRow="0" w:firstColumn="0" w:lastColumn="0" w:oddVBand="0" w:evenVBand="0" w:oddHBand="1" w:evenHBand="0" w:firstRowFirstColumn="0" w:firstRowLastColumn="0" w:lastRowFirstColumn="0" w:lastRowLastColumn="0"/>
          <w:trHeight w:val="20"/>
        </w:trPr>
        <w:tc>
          <w:tcPr>
            <w:tcW w:w="6227" w:type="dxa"/>
          </w:tcPr>
          <w:p w14:paraId="6B34B468" w14:textId="77777777" w:rsidR="00084BE9" w:rsidRPr="00BE4BB3" w:rsidRDefault="00084BE9" w:rsidP="00506E02">
            <w:pPr>
              <w:pStyle w:val="Tablebodytextnospaceafter"/>
              <w:spacing w:before="29" w:after="29"/>
            </w:pPr>
            <w:r>
              <w:t xml:space="preserve">New Zealand </w:t>
            </w:r>
            <w:r w:rsidRPr="00BE4BB3">
              <w:t>Police</w:t>
            </w:r>
          </w:p>
        </w:tc>
        <w:tc>
          <w:tcPr>
            <w:tcW w:w="1512" w:type="dxa"/>
          </w:tcPr>
          <w:p w14:paraId="5FF9F722" w14:textId="77777777" w:rsidR="00084BE9" w:rsidRDefault="00084BE9" w:rsidP="00506E02">
            <w:pPr>
              <w:pStyle w:val="Tablebodytextnospaceafter"/>
              <w:jc w:val="right"/>
            </w:pPr>
            <w:r>
              <w:t>39</w:t>
            </w:r>
          </w:p>
        </w:tc>
        <w:tc>
          <w:tcPr>
            <w:tcW w:w="1512" w:type="dxa"/>
          </w:tcPr>
          <w:p w14:paraId="138ACF36" w14:textId="77777777" w:rsidR="00084BE9" w:rsidRDefault="00335FFD" w:rsidP="00506E02">
            <w:pPr>
              <w:pStyle w:val="Tablebodytextnospaceafter"/>
              <w:jc w:val="right"/>
            </w:pPr>
            <w:r>
              <w:t>55</w:t>
            </w:r>
          </w:p>
        </w:tc>
      </w:tr>
      <w:tr w:rsidR="00084BE9" w14:paraId="5996EEF7" w14:textId="77777777" w:rsidTr="00084BE9">
        <w:trPr>
          <w:cnfStyle w:val="000000010000" w:firstRow="0" w:lastRow="0" w:firstColumn="0" w:lastColumn="0" w:oddVBand="0" w:evenVBand="0" w:oddHBand="0" w:evenHBand="1" w:firstRowFirstColumn="0" w:firstRowLastColumn="0" w:lastRowFirstColumn="0" w:lastRowLastColumn="0"/>
          <w:trHeight w:val="20"/>
        </w:trPr>
        <w:tc>
          <w:tcPr>
            <w:tcW w:w="6227" w:type="dxa"/>
            <w:tcBorders>
              <w:top w:val="single" w:sz="4" w:space="0" w:color="FFFFFF" w:themeColor="background1"/>
              <w:bottom w:val="single" w:sz="4" w:space="0" w:color="FFFFFF" w:themeColor="background1"/>
            </w:tcBorders>
          </w:tcPr>
          <w:p w14:paraId="4D027FB5" w14:textId="77777777" w:rsidR="00084BE9" w:rsidRPr="00BE4BB3" w:rsidRDefault="00084BE9" w:rsidP="00506E02">
            <w:pPr>
              <w:pStyle w:val="Tablebodytextnospaceafter"/>
              <w:spacing w:before="29" w:after="29"/>
            </w:pPr>
            <w:r>
              <w:t>New Zealand Post Limited</w:t>
            </w:r>
          </w:p>
        </w:tc>
        <w:tc>
          <w:tcPr>
            <w:tcW w:w="1512" w:type="dxa"/>
          </w:tcPr>
          <w:p w14:paraId="73EA219C" w14:textId="77777777" w:rsidR="00084BE9" w:rsidRDefault="00084BE9" w:rsidP="00506E02">
            <w:pPr>
              <w:pStyle w:val="Tablebodytextnospaceafter"/>
              <w:jc w:val="right"/>
            </w:pPr>
            <w:r>
              <w:t>30</w:t>
            </w:r>
          </w:p>
        </w:tc>
        <w:tc>
          <w:tcPr>
            <w:tcW w:w="1512" w:type="dxa"/>
          </w:tcPr>
          <w:p w14:paraId="78185C39" w14:textId="77777777" w:rsidR="00084BE9" w:rsidRDefault="00335FFD" w:rsidP="00506E02">
            <w:pPr>
              <w:pStyle w:val="Tablebodytextnospaceafter"/>
              <w:jc w:val="right"/>
            </w:pPr>
            <w:r>
              <w:t>49</w:t>
            </w:r>
          </w:p>
        </w:tc>
      </w:tr>
      <w:tr w:rsidR="00084BE9" w14:paraId="703EC502" w14:textId="77777777" w:rsidTr="00084BE9">
        <w:trPr>
          <w:cnfStyle w:val="000000100000" w:firstRow="0" w:lastRow="0" w:firstColumn="0" w:lastColumn="0" w:oddVBand="0" w:evenVBand="0" w:oddHBand="1" w:evenHBand="0" w:firstRowFirstColumn="0" w:firstRowLastColumn="0" w:lastRowFirstColumn="0" w:lastRowLastColumn="0"/>
          <w:trHeight w:val="20"/>
        </w:trPr>
        <w:tc>
          <w:tcPr>
            <w:tcW w:w="6227" w:type="dxa"/>
            <w:tcBorders>
              <w:top w:val="single" w:sz="4" w:space="0" w:color="FFFFFF" w:themeColor="background1"/>
              <w:bottom w:val="single" w:sz="4" w:space="0" w:color="FFFFFF" w:themeColor="background1"/>
            </w:tcBorders>
          </w:tcPr>
          <w:p w14:paraId="0E5A681A" w14:textId="77777777" w:rsidR="00084BE9" w:rsidRPr="00BE4BB3" w:rsidRDefault="00084BE9" w:rsidP="00506E02">
            <w:pPr>
              <w:pStyle w:val="Tablebodytextnospaceafter"/>
              <w:spacing w:before="29" w:after="29"/>
            </w:pPr>
            <w:r w:rsidRPr="00BE4BB3">
              <w:t>New Zealand Transport Agency</w:t>
            </w:r>
          </w:p>
        </w:tc>
        <w:tc>
          <w:tcPr>
            <w:tcW w:w="1512" w:type="dxa"/>
          </w:tcPr>
          <w:p w14:paraId="3D587647" w14:textId="77777777" w:rsidR="00084BE9" w:rsidRDefault="00084BE9" w:rsidP="00506E02">
            <w:pPr>
              <w:pStyle w:val="Tablebodytextnospaceafter"/>
              <w:jc w:val="right"/>
            </w:pPr>
            <w:r>
              <w:t>29</w:t>
            </w:r>
          </w:p>
        </w:tc>
        <w:tc>
          <w:tcPr>
            <w:tcW w:w="1512" w:type="dxa"/>
          </w:tcPr>
          <w:p w14:paraId="05BE4A8D" w14:textId="77777777" w:rsidR="00084BE9" w:rsidRDefault="00335FFD" w:rsidP="00506E02">
            <w:pPr>
              <w:pStyle w:val="Tablebodytextnospaceafter"/>
              <w:jc w:val="right"/>
            </w:pPr>
            <w:r>
              <w:t>41</w:t>
            </w:r>
          </w:p>
        </w:tc>
      </w:tr>
      <w:tr w:rsidR="00084BE9" w14:paraId="57309534" w14:textId="77777777" w:rsidTr="00084BE9">
        <w:trPr>
          <w:cnfStyle w:val="000000010000" w:firstRow="0" w:lastRow="0" w:firstColumn="0" w:lastColumn="0" w:oddVBand="0" w:evenVBand="0" w:oddHBand="0" w:evenHBand="1" w:firstRowFirstColumn="0" w:firstRowLastColumn="0" w:lastRowFirstColumn="0" w:lastRowLastColumn="0"/>
          <w:trHeight w:val="20"/>
        </w:trPr>
        <w:tc>
          <w:tcPr>
            <w:tcW w:w="6227" w:type="dxa"/>
            <w:tcBorders>
              <w:bottom w:val="single" w:sz="4" w:space="0" w:color="FFFFFF" w:themeColor="background1"/>
            </w:tcBorders>
          </w:tcPr>
          <w:p w14:paraId="3318CA00" w14:textId="2897911B" w:rsidR="00084BE9" w:rsidRPr="00BE4BB3" w:rsidRDefault="00D13E44" w:rsidP="00D13E44">
            <w:pPr>
              <w:pStyle w:val="Tablebodytextnospaceafter"/>
              <w:spacing w:before="29" w:after="29"/>
            </w:pPr>
            <w:r>
              <w:t xml:space="preserve">Kāinga </w:t>
            </w:r>
            <w:r w:rsidR="00335FFD">
              <w:t>Ora – Homes and Communities</w:t>
            </w:r>
            <w:r w:rsidR="00335FFD">
              <w:rPr>
                <w:rStyle w:val="FootnoteReference"/>
              </w:rPr>
              <w:footnoteReference w:id="93"/>
            </w:r>
          </w:p>
        </w:tc>
        <w:tc>
          <w:tcPr>
            <w:tcW w:w="1512" w:type="dxa"/>
          </w:tcPr>
          <w:p w14:paraId="590A279B" w14:textId="77777777" w:rsidR="00084BE9" w:rsidRDefault="00084BE9" w:rsidP="00506E02">
            <w:pPr>
              <w:pStyle w:val="Tablebodytextnospaceafter"/>
              <w:jc w:val="right"/>
            </w:pPr>
            <w:r>
              <w:t>25</w:t>
            </w:r>
          </w:p>
        </w:tc>
        <w:tc>
          <w:tcPr>
            <w:tcW w:w="1512" w:type="dxa"/>
          </w:tcPr>
          <w:p w14:paraId="759E5BB1" w14:textId="77777777" w:rsidR="00084BE9" w:rsidRDefault="00335FFD" w:rsidP="00506E02">
            <w:pPr>
              <w:pStyle w:val="Tablebodytextnospaceafter"/>
              <w:jc w:val="right"/>
            </w:pPr>
            <w:r>
              <w:t>25</w:t>
            </w:r>
          </w:p>
        </w:tc>
      </w:tr>
      <w:tr w:rsidR="00084BE9" w14:paraId="4C93F67C" w14:textId="77777777" w:rsidTr="00084BE9">
        <w:trPr>
          <w:cnfStyle w:val="000000100000" w:firstRow="0" w:lastRow="0" w:firstColumn="0" w:lastColumn="0" w:oddVBand="0" w:evenVBand="0" w:oddHBand="1" w:evenHBand="0" w:firstRowFirstColumn="0" w:firstRowLastColumn="0" w:lastRowFirstColumn="0" w:lastRowLastColumn="0"/>
          <w:trHeight w:val="20"/>
        </w:trPr>
        <w:tc>
          <w:tcPr>
            <w:tcW w:w="6227" w:type="dxa"/>
            <w:tcBorders>
              <w:top w:val="single" w:sz="4" w:space="0" w:color="FFFFFF" w:themeColor="background1"/>
              <w:bottom w:val="single" w:sz="4" w:space="0" w:color="FFFFFF" w:themeColor="background1"/>
            </w:tcBorders>
          </w:tcPr>
          <w:p w14:paraId="7DD8C820" w14:textId="77777777" w:rsidR="00084BE9" w:rsidRPr="00BE4BB3" w:rsidRDefault="00084BE9" w:rsidP="00506E02">
            <w:pPr>
              <w:pStyle w:val="Tablebodytextnospaceafter"/>
              <w:spacing w:before="29" w:after="29"/>
            </w:pPr>
            <w:r>
              <w:t xml:space="preserve">Privacy Commissioner </w:t>
            </w:r>
          </w:p>
        </w:tc>
        <w:tc>
          <w:tcPr>
            <w:tcW w:w="1512" w:type="dxa"/>
          </w:tcPr>
          <w:p w14:paraId="00826479" w14:textId="77777777" w:rsidR="00084BE9" w:rsidRDefault="00084BE9" w:rsidP="00506E02">
            <w:pPr>
              <w:pStyle w:val="Tablebodytextnospaceafter"/>
              <w:jc w:val="right"/>
            </w:pPr>
            <w:r>
              <w:t>23</w:t>
            </w:r>
          </w:p>
        </w:tc>
        <w:tc>
          <w:tcPr>
            <w:tcW w:w="1512" w:type="dxa"/>
          </w:tcPr>
          <w:p w14:paraId="2555185A" w14:textId="77777777" w:rsidR="00084BE9" w:rsidRDefault="00AF0FD0" w:rsidP="00506E02">
            <w:pPr>
              <w:pStyle w:val="Tablebodytextnospaceafter"/>
              <w:jc w:val="right"/>
            </w:pPr>
            <w:r>
              <w:t>20</w:t>
            </w:r>
          </w:p>
        </w:tc>
      </w:tr>
    </w:tbl>
    <w:p w14:paraId="6363C474" w14:textId="349D69EB" w:rsidR="00DF1795" w:rsidRDefault="005B795D" w:rsidP="00DF1795">
      <w:hyperlink w:anchor="Contents" w:history="1">
        <w:r w:rsidR="00DF1795" w:rsidRPr="00F5248A">
          <w:rPr>
            <w:rStyle w:val="Hyperlink"/>
          </w:rPr>
          <w:t>Back to contents</w:t>
        </w:r>
      </w:hyperlink>
      <w:r w:rsidR="00DF1795">
        <w:t>.</w:t>
      </w:r>
    </w:p>
    <w:p w14:paraId="057490BA" w14:textId="77777777" w:rsidR="00F15F11" w:rsidRDefault="00F15F11" w:rsidP="00DF1795"/>
    <w:tbl>
      <w:tblPr>
        <w:tblStyle w:val="TableGridAnnualReport"/>
        <w:tblW w:w="9251" w:type="dxa"/>
        <w:tblInd w:w="10" w:type="dxa"/>
        <w:tblLayout w:type="fixed"/>
        <w:tblLook w:val="0420" w:firstRow="1" w:lastRow="0" w:firstColumn="0" w:lastColumn="0" w:noHBand="0" w:noVBand="1"/>
        <w:tblCaption w:val="Table for formatting purposes"/>
      </w:tblPr>
      <w:tblGrid>
        <w:gridCol w:w="6227"/>
        <w:gridCol w:w="1512"/>
        <w:gridCol w:w="1512"/>
      </w:tblGrid>
      <w:tr w:rsidR="00084BE9" w14:paraId="42E15BDE" w14:textId="77777777" w:rsidTr="00084BE9">
        <w:trPr>
          <w:cnfStyle w:val="100000000000" w:firstRow="1" w:lastRow="0" w:firstColumn="0" w:lastColumn="0" w:oddVBand="0" w:evenVBand="0" w:oddHBand="0" w:evenHBand="0" w:firstRowFirstColumn="0" w:firstRowLastColumn="0" w:lastRowFirstColumn="0" w:lastRowLastColumn="0"/>
          <w:trHeight w:val="60"/>
        </w:trPr>
        <w:tc>
          <w:tcPr>
            <w:tcW w:w="6227" w:type="dxa"/>
          </w:tcPr>
          <w:p w14:paraId="63E0E957" w14:textId="77777777" w:rsidR="00084BE9" w:rsidRPr="00BE4BB3" w:rsidRDefault="001C7062" w:rsidP="00506E02">
            <w:pPr>
              <w:pStyle w:val="Tableheadingrow1"/>
            </w:pPr>
            <w:r>
              <w:t xml:space="preserve">9. </w:t>
            </w:r>
            <w:r w:rsidR="00084BE9" w:rsidRPr="00BE4BB3">
              <w:t>Ho</w:t>
            </w:r>
            <w:r w:rsidR="00084BE9">
              <w:t>w OA complaints were dealt with</w:t>
            </w:r>
          </w:p>
        </w:tc>
        <w:tc>
          <w:tcPr>
            <w:tcW w:w="1512" w:type="dxa"/>
          </w:tcPr>
          <w:p w14:paraId="46648A2B" w14:textId="77777777" w:rsidR="00084BE9" w:rsidRDefault="00084BE9" w:rsidP="00506E02">
            <w:pPr>
              <w:pStyle w:val="Tableheadingrow1"/>
              <w:jc w:val="right"/>
            </w:pPr>
            <w:r>
              <w:t>2018/19</w:t>
            </w:r>
          </w:p>
        </w:tc>
        <w:tc>
          <w:tcPr>
            <w:tcW w:w="1512" w:type="dxa"/>
          </w:tcPr>
          <w:p w14:paraId="1A156C1D" w14:textId="77777777" w:rsidR="00084BE9" w:rsidRDefault="00084BE9" w:rsidP="00506E02">
            <w:pPr>
              <w:pStyle w:val="Tableheadingrow1"/>
              <w:jc w:val="right"/>
            </w:pPr>
            <w:r>
              <w:t>2019/20</w:t>
            </w:r>
          </w:p>
        </w:tc>
      </w:tr>
      <w:tr w:rsidR="00084BE9" w14:paraId="04983EEF"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27" w:type="dxa"/>
            <w:shd w:val="clear" w:color="auto" w:fill="BFBFBF"/>
          </w:tcPr>
          <w:p w14:paraId="5A8E2A7D" w14:textId="77777777" w:rsidR="00084BE9" w:rsidRPr="007C3795" w:rsidRDefault="00084BE9" w:rsidP="00506E02">
            <w:pPr>
              <w:pStyle w:val="Tablebodytextnospaceafter"/>
              <w:rPr>
                <w:b/>
              </w:rPr>
            </w:pPr>
            <w:r w:rsidRPr="007C3795">
              <w:rPr>
                <w:b/>
              </w:rPr>
              <w:t>Outside jurisdiction</w:t>
            </w:r>
          </w:p>
        </w:tc>
        <w:tc>
          <w:tcPr>
            <w:tcW w:w="1512" w:type="dxa"/>
            <w:shd w:val="clear" w:color="auto" w:fill="BFBFBF"/>
          </w:tcPr>
          <w:p w14:paraId="1B00EB42" w14:textId="77777777" w:rsidR="00084BE9" w:rsidRPr="007C3795" w:rsidRDefault="00084BE9" w:rsidP="00506E02">
            <w:pPr>
              <w:pStyle w:val="Tablebodytextnospaceafter"/>
              <w:rPr>
                <w:b/>
              </w:rPr>
            </w:pPr>
          </w:p>
        </w:tc>
        <w:tc>
          <w:tcPr>
            <w:tcW w:w="1512" w:type="dxa"/>
            <w:shd w:val="clear" w:color="auto" w:fill="BFBFBF"/>
          </w:tcPr>
          <w:p w14:paraId="0D4E0165" w14:textId="77777777" w:rsidR="00084BE9" w:rsidRPr="007C3795" w:rsidRDefault="00084BE9" w:rsidP="00506E02">
            <w:pPr>
              <w:pStyle w:val="Tablebodytextnospaceafter"/>
              <w:rPr>
                <w:b/>
              </w:rPr>
            </w:pPr>
          </w:p>
        </w:tc>
      </w:tr>
      <w:tr w:rsidR="00084BE9" w14:paraId="30B076D0"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5FB315FD" w14:textId="77777777" w:rsidR="00084BE9" w:rsidRPr="00BE4BB3" w:rsidRDefault="00084BE9" w:rsidP="00506E02">
            <w:pPr>
              <w:pStyle w:val="Tablebodytextnospaceafter"/>
            </w:pPr>
            <w:r>
              <w:t>A</w:t>
            </w:r>
            <w:r w:rsidRPr="00BE4BB3">
              <w:t xml:space="preserve">gency not listed in schedule </w:t>
            </w:r>
          </w:p>
        </w:tc>
        <w:tc>
          <w:tcPr>
            <w:tcW w:w="1512" w:type="dxa"/>
          </w:tcPr>
          <w:p w14:paraId="745F6977" w14:textId="77777777" w:rsidR="00084BE9" w:rsidRDefault="00084BE9" w:rsidP="00506E02">
            <w:pPr>
              <w:pStyle w:val="Tablebodytextnospaceafter"/>
            </w:pPr>
            <w:r>
              <w:t>357</w:t>
            </w:r>
          </w:p>
        </w:tc>
        <w:tc>
          <w:tcPr>
            <w:tcW w:w="1512" w:type="dxa"/>
          </w:tcPr>
          <w:p w14:paraId="0B5E0347" w14:textId="77777777" w:rsidR="00084BE9" w:rsidRDefault="003D0AC3" w:rsidP="00506E02">
            <w:pPr>
              <w:pStyle w:val="Tablebodytextnospaceafter"/>
            </w:pPr>
            <w:r>
              <w:t>354</w:t>
            </w:r>
          </w:p>
        </w:tc>
      </w:tr>
      <w:tr w:rsidR="00084BE9" w14:paraId="337EDFF8"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7CCACFFE" w14:textId="77777777" w:rsidR="00084BE9" w:rsidRPr="00BE4BB3" w:rsidRDefault="00084BE9" w:rsidP="00506E02">
            <w:pPr>
              <w:pStyle w:val="Tablebodytextnospaceafter"/>
            </w:pPr>
            <w:r>
              <w:t>S</w:t>
            </w:r>
            <w:r w:rsidRPr="00BE4BB3">
              <w:t>cheduled agency otherwise outside jurisdiction</w:t>
            </w:r>
          </w:p>
        </w:tc>
        <w:tc>
          <w:tcPr>
            <w:tcW w:w="1512" w:type="dxa"/>
          </w:tcPr>
          <w:p w14:paraId="0B9A3997" w14:textId="77777777" w:rsidR="00084BE9" w:rsidRDefault="00084BE9" w:rsidP="00506E02">
            <w:pPr>
              <w:pStyle w:val="Tablebodytextnospaceafter"/>
            </w:pPr>
            <w:r>
              <w:t>62</w:t>
            </w:r>
          </w:p>
        </w:tc>
        <w:tc>
          <w:tcPr>
            <w:tcW w:w="1512" w:type="dxa"/>
          </w:tcPr>
          <w:p w14:paraId="36A00224" w14:textId="77777777" w:rsidR="00084BE9" w:rsidRDefault="003D0AC3" w:rsidP="00506E02">
            <w:pPr>
              <w:pStyle w:val="Tablebodytextnospaceafter"/>
            </w:pPr>
            <w:r>
              <w:t>44</w:t>
            </w:r>
          </w:p>
        </w:tc>
      </w:tr>
      <w:tr w:rsidR="00084BE9" w14:paraId="3CCBEDAE"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2562EC1C" w14:textId="77777777" w:rsidR="00084BE9" w:rsidRPr="00A568D9" w:rsidRDefault="00084BE9" w:rsidP="00506E02">
            <w:pPr>
              <w:pStyle w:val="Tablebodytextnospaceafter"/>
              <w:rPr>
                <w:rStyle w:val="EmphasisItalics"/>
              </w:rPr>
            </w:pPr>
            <w:r w:rsidRPr="00A568D9">
              <w:rPr>
                <w:rStyle w:val="EmphasisItalics"/>
              </w:rPr>
              <w:t>Subtotal</w:t>
            </w:r>
          </w:p>
        </w:tc>
        <w:tc>
          <w:tcPr>
            <w:tcW w:w="1512" w:type="dxa"/>
          </w:tcPr>
          <w:p w14:paraId="5F08BECB" w14:textId="77777777" w:rsidR="00084BE9" w:rsidRPr="00A568D9" w:rsidRDefault="00084BE9" w:rsidP="00506E02">
            <w:pPr>
              <w:pStyle w:val="Tablebodytextnospaceafter"/>
              <w:jc w:val="right"/>
              <w:rPr>
                <w:rStyle w:val="EmphasisItalics"/>
              </w:rPr>
            </w:pPr>
            <w:r>
              <w:rPr>
                <w:rStyle w:val="EmphasisItalics"/>
              </w:rPr>
              <w:t>419</w:t>
            </w:r>
          </w:p>
        </w:tc>
        <w:tc>
          <w:tcPr>
            <w:tcW w:w="1512" w:type="dxa"/>
          </w:tcPr>
          <w:p w14:paraId="6D8C5CAB" w14:textId="77777777" w:rsidR="00084BE9" w:rsidRDefault="003D0AC3" w:rsidP="00506E02">
            <w:pPr>
              <w:pStyle w:val="Tablebodytextnospaceafter"/>
              <w:jc w:val="right"/>
              <w:rPr>
                <w:rStyle w:val="EmphasisItalics"/>
              </w:rPr>
            </w:pPr>
            <w:r>
              <w:rPr>
                <w:rStyle w:val="EmphasisItalics"/>
              </w:rPr>
              <w:t>398</w:t>
            </w:r>
          </w:p>
        </w:tc>
      </w:tr>
      <w:tr w:rsidR="00084BE9" w14:paraId="47660DB0"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27" w:type="dxa"/>
            <w:shd w:val="clear" w:color="auto" w:fill="BFBFBF"/>
          </w:tcPr>
          <w:p w14:paraId="7669F2DE" w14:textId="77777777" w:rsidR="00084BE9" w:rsidRPr="007C3795" w:rsidRDefault="00084BE9" w:rsidP="00506E02">
            <w:pPr>
              <w:pStyle w:val="Tablebodytextnospaceafter"/>
              <w:rPr>
                <w:b/>
              </w:rPr>
            </w:pPr>
            <w:r w:rsidRPr="007C3795">
              <w:rPr>
                <w:b/>
              </w:rPr>
              <w:t>Referred</w:t>
            </w:r>
          </w:p>
        </w:tc>
        <w:tc>
          <w:tcPr>
            <w:tcW w:w="1512" w:type="dxa"/>
            <w:shd w:val="clear" w:color="auto" w:fill="BFBFBF"/>
          </w:tcPr>
          <w:p w14:paraId="59971380" w14:textId="77777777" w:rsidR="00084BE9" w:rsidRPr="007C3795" w:rsidRDefault="00084BE9" w:rsidP="00506E02">
            <w:pPr>
              <w:pStyle w:val="Tablebodytextnospaceafter"/>
              <w:rPr>
                <w:b/>
              </w:rPr>
            </w:pPr>
          </w:p>
        </w:tc>
        <w:tc>
          <w:tcPr>
            <w:tcW w:w="1512" w:type="dxa"/>
            <w:shd w:val="clear" w:color="auto" w:fill="BFBFBF"/>
          </w:tcPr>
          <w:p w14:paraId="13D40239" w14:textId="77777777" w:rsidR="00084BE9" w:rsidRPr="007C3795" w:rsidRDefault="00084BE9" w:rsidP="00506E02">
            <w:pPr>
              <w:pStyle w:val="Tablebodytextnospaceafter"/>
              <w:rPr>
                <w:b/>
              </w:rPr>
            </w:pPr>
          </w:p>
        </w:tc>
      </w:tr>
      <w:tr w:rsidR="00084BE9" w14:paraId="652048F8"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3127EFA1" w14:textId="77777777" w:rsidR="00084BE9" w:rsidRPr="00BE4BB3" w:rsidRDefault="00084BE9" w:rsidP="00506E02">
            <w:pPr>
              <w:pStyle w:val="Tablebodytextnospaceafter"/>
            </w:pPr>
            <w:r>
              <w:t>R</w:t>
            </w:r>
            <w:r w:rsidRPr="00BE4BB3">
              <w:t>eferred to Health and Disability Commissioner</w:t>
            </w:r>
          </w:p>
        </w:tc>
        <w:tc>
          <w:tcPr>
            <w:tcW w:w="1512" w:type="dxa"/>
          </w:tcPr>
          <w:p w14:paraId="6420D365" w14:textId="77777777" w:rsidR="00084BE9" w:rsidRDefault="00084BE9" w:rsidP="00506E02">
            <w:pPr>
              <w:pStyle w:val="Tablebodytextnospaceafter"/>
            </w:pPr>
            <w:r>
              <w:t>7</w:t>
            </w:r>
          </w:p>
        </w:tc>
        <w:tc>
          <w:tcPr>
            <w:tcW w:w="1512" w:type="dxa"/>
          </w:tcPr>
          <w:p w14:paraId="5A5AB6B6" w14:textId="77777777" w:rsidR="00084BE9" w:rsidRDefault="003D0AC3" w:rsidP="00506E02">
            <w:pPr>
              <w:pStyle w:val="Tablebodytextnospaceafter"/>
            </w:pPr>
            <w:r>
              <w:t>12</w:t>
            </w:r>
          </w:p>
        </w:tc>
      </w:tr>
      <w:tr w:rsidR="00084BE9" w14:paraId="281021F6"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229C3EAB" w14:textId="77777777" w:rsidR="00084BE9" w:rsidRPr="00F853B8" w:rsidRDefault="00084BE9" w:rsidP="00506E02">
            <w:pPr>
              <w:pStyle w:val="Tablebodytextnospaceafter"/>
            </w:pPr>
            <w:r>
              <w:t>R</w:t>
            </w:r>
            <w:r w:rsidRPr="00F853B8">
              <w:t>eferred to Independent Police Conduct Authority</w:t>
            </w:r>
          </w:p>
        </w:tc>
        <w:tc>
          <w:tcPr>
            <w:tcW w:w="1512" w:type="dxa"/>
          </w:tcPr>
          <w:p w14:paraId="5F1CE12A" w14:textId="77777777" w:rsidR="00084BE9" w:rsidRDefault="00084BE9" w:rsidP="00506E02">
            <w:pPr>
              <w:pStyle w:val="Tablebodytextnospaceafter"/>
            </w:pPr>
            <w:r>
              <w:t>19</w:t>
            </w:r>
          </w:p>
        </w:tc>
        <w:tc>
          <w:tcPr>
            <w:tcW w:w="1512" w:type="dxa"/>
          </w:tcPr>
          <w:p w14:paraId="71F6E730" w14:textId="77777777" w:rsidR="00084BE9" w:rsidRDefault="003D0AC3" w:rsidP="00506E02">
            <w:pPr>
              <w:pStyle w:val="Tablebodytextnospaceafter"/>
            </w:pPr>
            <w:r>
              <w:t>26</w:t>
            </w:r>
          </w:p>
        </w:tc>
      </w:tr>
      <w:tr w:rsidR="00084BE9" w14:paraId="74B60831"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0DF3A839" w14:textId="77777777" w:rsidR="00084BE9" w:rsidRPr="00F853B8" w:rsidRDefault="00084BE9" w:rsidP="00506E02">
            <w:pPr>
              <w:pStyle w:val="Tablebodytextnospaceafter"/>
            </w:pPr>
            <w:r>
              <w:t>R</w:t>
            </w:r>
            <w:r w:rsidRPr="00F853B8">
              <w:t>eferred to Privacy Commissioner</w:t>
            </w:r>
          </w:p>
        </w:tc>
        <w:tc>
          <w:tcPr>
            <w:tcW w:w="1512" w:type="dxa"/>
          </w:tcPr>
          <w:p w14:paraId="57893B9E" w14:textId="77777777" w:rsidR="00084BE9" w:rsidRDefault="00084BE9" w:rsidP="00506E02">
            <w:pPr>
              <w:pStyle w:val="Tablebodytextnospaceafter"/>
            </w:pPr>
            <w:r>
              <w:t>12</w:t>
            </w:r>
          </w:p>
        </w:tc>
        <w:tc>
          <w:tcPr>
            <w:tcW w:w="1512" w:type="dxa"/>
          </w:tcPr>
          <w:p w14:paraId="46C0FCFB" w14:textId="77777777" w:rsidR="00084BE9" w:rsidRDefault="003D0AC3" w:rsidP="00506E02">
            <w:pPr>
              <w:pStyle w:val="Tablebodytextnospaceafter"/>
            </w:pPr>
            <w:r>
              <w:t>14</w:t>
            </w:r>
          </w:p>
        </w:tc>
      </w:tr>
      <w:tr w:rsidR="00084BE9" w14:paraId="4F84A719"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066525EF" w14:textId="77777777" w:rsidR="00084BE9" w:rsidRDefault="00084BE9" w:rsidP="00506E02">
            <w:pPr>
              <w:pStyle w:val="Tablebodytextnospaceafter"/>
            </w:pPr>
            <w:r>
              <w:t>Referred to Inspector-General of Intelligence and Security</w:t>
            </w:r>
          </w:p>
        </w:tc>
        <w:tc>
          <w:tcPr>
            <w:tcW w:w="1512" w:type="dxa"/>
          </w:tcPr>
          <w:p w14:paraId="716CE51D" w14:textId="77777777" w:rsidR="00084BE9" w:rsidRDefault="00084BE9" w:rsidP="00506E02">
            <w:pPr>
              <w:pStyle w:val="Tablebodytextnospaceafter"/>
            </w:pPr>
            <w:r>
              <w:t>1</w:t>
            </w:r>
          </w:p>
        </w:tc>
        <w:tc>
          <w:tcPr>
            <w:tcW w:w="1512" w:type="dxa"/>
          </w:tcPr>
          <w:p w14:paraId="799E7893" w14:textId="77777777" w:rsidR="00084BE9" w:rsidRDefault="003D0AC3" w:rsidP="00506E02">
            <w:pPr>
              <w:pStyle w:val="Tablebodytextnospaceafter"/>
            </w:pPr>
            <w:r>
              <w:t>-</w:t>
            </w:r>
          </w:p>
        </w:tc>
      </w:tr>
      <w:tr w:rsidR="00084BE9" w14:paraId="4AD26A58"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2F0B4220" w14:textId="77777777" w:rsidR="00084BE9" w:rsidRPr="00A568D9" w:rsidRDefault="00084BE9" w:rsidP="00506E02">
            <w:pPr>
              <w:pStyle w:val="Tablebodytextnospaceafter"/>
              <w:rPr>
                <w:rStyle w:val="EmphasisItalics"/>
              </w:rPr>
            </w:pPr>
            <w:r w:rsidRPr="00A568D9">
              <w:rPr>
                <w:rStyle w:val="EmphasisItalics"/>
              </w:rPr>
              <w:t>Subtotal</w:t>
            </w:r>
          </w:p>
        </w:tc>
        <w:tc>
          <w:tcPr>
            <w:tcW w:w="1512" w:type="dxa"/>
          </w:tcPr>
          <w:p w14:paraId="5DF48982" w14:textId="77777777" w:rsidR="00084BE9" w:rsidRPr="00A568D9" w:rsidRDefault="00084BE9" w:rsidP="00506E02">
            <w:pPr>
              <w:pStyle w:val="Tablebodytextnospaceafter"/>
              <w:jc w:val="right"/>
              <w:rPr>
                <w:rStyle w:val="EmphasisItalics"/>
              </w:rPr>
            </w:pPr>
            <w:r>
              <w:rPr>
                <w:rStyle w:val="EmphasisItalics"/>
              </w:rPr>
              <w:t>39</w:t>
            </w:r>
          </w:p>
        </w:tc>
        <w:tc>
          <w:tcPr>
            <w:tcW w:w="1512" w:type="dxa"/>
          </w:tcPr>
          <w:p w14:paraId="094C2FCC" w14:textId="77777777" w:rsidR="00084BE9" w:rsidRDefault="003D0AC3" w:rsidP="00506E02">
            <w:pPr>
              <w:pStyle w:val="Tablebodytextnospaceafter"/>
              <w:jc w:val="right"/>
              <w:rPr>
                <w:rStyle w:val="EmphasisItalics"/>
              </w:rPr>
            </w:pPr>
            <w:r>
              <w:rPr>
                <w:rStyle w:val="EmphasisItalics"/>
              </w:rPr>
              <w:t>52</w:t>
            </w:r>
          </w:p>
        </w:tc>
      </w:tr>
      <w:tr w:rsidR="00084BE9" w14:paraId="685A5DAF"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27" w:type="dxa"/>
            <w:shd w:val="clear" w:color="auto" w:fill="BFBFBF"/>
          </w:tcPr>
          <w:p w14:paraId="05468585" w14:textId="77777777" w:rsidR="00084BE9" w:rsidRPr="007C3795" w:rsidRDefault="00084BE9" w:rsidP="00506E02">
            <w:pPr>
              <w:pStyle w:val="Tablebodytextnospaceafter"/>
              <w:keepNext/>
              <w:rPr>
                <w:b/>
              </w:rPr>
            </w:pPr>
            <w:r w:rsidRPr="007C3795">
              <w:rPr>
                <w:b/>
              </w:rPr>
              <w:t>No investigation undertaken</w:t>
            </w:r>
          </w:p>
        </w:tc>
        <w:tc>
          <w:tcPr>
            <w:tcW w:w="1512" w:type="dxa"/>
            <w:shd w:val="clear" w:color="auto" w:fill="BFBFBF"/>
          </w:tcPr>
          <w:p w14:paraId="7D7CE0BB" w14:textId="77777777" w:rsidR="00084BE9" w:rsidRPr="007C3795" w:rsidRDefault="00084BE9" w:rsidP="00506E02">
            <w:pPr>
              <w:pStyle w:val="Tablebodytextnospaceafter"/>
              <w:keepNext/>
              <w:rPr>
                <w:b/>
              </w:rPr>
            </w:pPr>
          </w:p>
        </w:tc>
        <w:tc>
          <w:tcPr>
            <w:tcW w:w="1512" w:type="dxa"/>
            <w:shd w:val="clear" w:color="auto" w:fill="BFBFBF"/>
          </w:tcPr>
          <w:p w14:paraId="3AC66696" w14:textId="77777777" w:rsidR="00084BE9" w:rsidRPr="007C3795" w:rsidRDefault="00084BE9" w:rsidP="00506E02">
            <w:pPr>
              <w:pStyle w:val="Tablebodytextnospaceafter"/>
              <w:keepNext/>
              <w:rPr>
                <w:b/>
              </w:rPr>
            </w:pPr>
          </w:p>
        </w:tc>
      </w:tr>
      <w:tr w:rsidR="00084BE9" w14:paraId="01DD8017"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6DC8F091" w14:textId="77777777" w:rsidR="00084BE9" w:rsidRPr="00BE4BB3" w:rsidRDefault="00084BE9" w:rsidP="00506E02">
            <w:pPr>
              <w:pStyle w:val="Tablebodytextnospaceafter"/>
            </w:pPr>
            <w:r>
              <w:t>W</w:t>
            </w:r>
            <w:r w:rsidRPr="00BE4BB3">
              <w:t>ithdrawn by complainant or no response from complainant</w:t>
            </w:r>
          </w:p>
        </w:tc>
        <w:tc>
          <w:tcPr>
            <w:tcW w:w="1512" w:type="dxa"/>
          </w:tcPr>
          <w:p w14:paraId="50C1DD64" w14:textId="77777777" w:rsidR="00084BE9" w:rsidRDefault="00084BE9" w:rsidP="00506E02">
            <w:pPr>
              <w:pStyle w:val="Tablebodytextnospaceafter"/>
            </w:pPr>
            <w:r>
              <w:t>78</w:t>
            </w:r>
          </w:p>
        </w:tc>
        <w:tc>
          <w:tcPr>
            <w:tcW w:w="1512" w:type="dxa"/>
          </w:tcPr>
          <w:p w14:paraId="385722C4" w14:textId="77777777" w:rsidR="003D0AC3" w:rsidRDefault="003D0AC3" w:rsidP="00506E02">
            <w:pPr>
              <w:pStyle w:val="Tablebodytextnospaceafter"/>
            </w:pPr>
            <w:r>
              <w:t>119</w:t>
            </w:r>
          </w:p>
        </w:tc>
      </w:tr>
      <w:tr w:rsidR="00084BE9" w14:paraId="31C0679F"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29879F64" w14:textId="77777777" w:rsidR="00084BE9" w:rsidRPr="00BE4BB3" w:rsidRDefault="00084BE9" w:rsidP="00506E02">
            <w:pPr>
              <w:pStyle w:val="Tablebodytextnospaceafter"/>
            </w:pPr>
            <w:r>
              <w:t>R</w:t>
            </w:r>
            <w:r w:rsidRPr="00BE4BB3">
              <w:t>ight of appeal to Court or Tribunal</w:t>
            </w:r>
          </w:p>
        </w:tc>
        <w:tc>
          <w:tcPr>
            <w:tcW w:w="1512" w:type="dxa"/>
          </w:tcPr>
          <w:p w14:paraId="52FA792D" w14:textId="77777777" w:rsidR="00084BE9" w:rsidRDefault="00084BE9" w:rsidP="00506E02">
            <w:pPr>
              <w:pStyle w:val="Tablebodytextnospaceafter"/>
            </w:pPr>
            <w:r>
              <w:t>96</w:t>
            </w:r>
          </w:p>
        </w:tc>
        <w:tc>
          <w:tcPr>
            <w:tcW w:w="1512" w:type="dxa"/>
          </w:tcPr>
          <w:p w14:paraId="6E078684" w14:textId="77777777" w:rsidR="00084BE9" w:rsidRDefault="003D0AC3" w:rsidP="00506E02">
            <w:pPr>
              <w:pStyle w:val="Tablebodytextnospaceafter"/>
            </w:pPr>
            <w:r>
              <w:t>117</w:t>
            </w:r>
          </w:p>
        </w:tc>
      </w:tr>
      <w:tr w:rsidR="00084BE9" w14:paraId="4467F7F9"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3D54075E" w14:textId="77777777" w:rsidR="00084BE9" w:rsidRPr="00BE4BB3" w:rsidRDefault="00084BE9" w:rsidP="00506E02">
            <w:pPr>
              <w:pStyle w:val="Tablebodytextnospaceafter"/>
            </w:pPr>
            <w:r>
              <w:t>A</w:t>
            </w:r>
            <w:r w:rsidRPr="00BE4BB3">
              <w:t>dequate alternative remedy – complain to agency first</w:t>
            </w:r>
          </w:p>
        </w:tc>
        <w:tc>
          <w:tcPr>
            <w:tcW w:w="1512" w:type="dxa"/>
          </w:tcPr>
          <w:p w14:paraId="5BAB7B5C" w14:textId="77777777" w:rsidR="00084BE9" w:rsidRDefault="00084BE9" w:rsidP="00506E02">
            <w:pPr>
              <w:pStyle w:val="Tablebodytextnospaceafter"/>
            </w:pPr>
            <w:r>
              <w:t>1,011</w:t>
            </w:r>
          </w:p>
        </w:tc>
        <w:tc>
          <w:tcPr>
            <w:tcW w:w="1512" w:type="dxa"/>
          </w:tcPr>
          <w:p w14:paraId="5CA86CEF" w14:textId="77777777" w:rsidR="00084BE9" w:rsidRDefault="003D0AC3" w:rsidP="00506E02">
            <w:pPr>
              <w:pStyle w:val="Tablebodytextnospaceafter"/>
            </w:pPr>
            <w:r>
              <w:t>957</w:t>
            </w:r>
          </w:p>
        </w:tc>
      </w:tr>
      <w:tr w:rsidR="00084BE9" w14:paraId="5C585BB9"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63A0DB8E" w14:textId="77777777" w:rsidR="00084BE9" w:rsidRPr="00BE4BB3" w:rsidRDefault="00084BE9" w:rsidP="00506E02">
            <w:pPr>
              <w:pStyle w:val="Tablebodytextnospaceafter"/>
            </w:pPr>
            <w:r>
              <w:t>A</w:t>
            </w:r>
            <w:r w:rsidRPr="00BE4BB3">
              <w:t>dequate alternative remedy – complaint referred to agency by Ombudsman</w:t>
            </w:r>
          </w:p>
        </w:tc>
        <w:tc>
          <w:tcPr>
            <w:tcW w:w="1512" w:type="dxa"/>
          </w:tcPr>
          <w:p w14:paraId="2D13B718" w14:textId="77777777" w:rsidR="00084BE9" w:rsidRDefault="00084BE9" w:rsidP="00506E02">
            <w:pPr>
              <w:pStyle w:val="Tablebodytextnospaceafter"/>
            </w:pPr>
            <w:r>
              <w:t>4</w:t>
            </w:r>
          </w:p>
        </w:tc>
        <w:tc>
          <w:tcPr>
            <w:tcW w:w="1512" w:type="dxa"/>
          </w:tcPr>
          <w:p w14:paraId="6863EBC2" w14:textId="77777777" w:rsidR="00084BE9" w:rsidRDefault="003D0AC3" w:rsidP="00506E02">
            <w:pPr>
              <w:pStyle w:val="Tablebodytextnospaceafter"/>
            </w:pPr>
            <w:r>
              <w:t>4</w:t>
            </w:r>
          </w:p>
        </w:tc>
      </w:tr>
      <w:tr w:rsidR="00084BE9" w14:paraId="60EFA0A3"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44C3B7C6" w14:textId="77777777" w:rsidR="00084BE9" w:rsidRPr="00BE4BB3" w:rsidRDefault="00084BE9" w:rsidP="00506E02">
            <w:pPr>
              <w:pStyle w:val="Tablebodytextnospaceafter"/>
            </w:pPr>
            <w:r>
              <w:t>A</w:t>
            </w:r>
            <w:r w:rsidRPr="00BE4BB3">
              <w:t>dequate alternative remedy – recourse to other agency</w:t>
            </w:r>
          </w:p>
        </w:tc>
        <w:tc>
          <w:tcPr>
            <w:tcW w:w="1512" w:type="dxa"/>
          </w:tcPr>
          <w:p w14:paraId="236E1287" w14:textId="77777777" w:rsidR="00084BE9" w:rsidRDefault="00084BE9" w:rsidP="00506E02">
            <w:pPr>
              <w:pStyle w:val="Tablebodytextnospaceafter"/>
            </w:pPr>
            <w:r>
              <w:t>21</w:t>
            </w:r>
          </w:p>
        </w:tc>
        <w:tc>
          <w:tcPr>
            <w:tcW w:w="1512" w:type="dxa"/>
          </w:tcPr>
          <w:p w14:paraId="50C99896" w14:textId="77777777" w:rsidR="00084BE9" w:rsidRDefault="003D0AC3" w:rsidP="00506E02">
            <w:pPr>
              <w:pStyle w:val="Tablebodytextnospaceafter"/>
            </w:pPr>
            <w:r>
              <w:t>28</w:t>
            </w:r>
          </w:p>
        </w:tc>
      </w:tr>
      <w:tr w:rsidR="00084BE9" w14:paraId="56C01017"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63F26780" w14:textId="77777777" w:rsidR="00084BE9" w:rsidRPr="00BE4BB3" w:rsidRDefault="00084BE9" w:rsidP="00506E02">
            <w:pPr>
              <w:pStyle w:val="Tablebodytextnospaceafter"/>
            </w:pPr>
            <w:r>
              <w:t>O</w:t>
            </w:r>
            <w:r w:rsidRPr="00BE4BB3">
              <w:t>ut of time</w:t>
            </w:r>
          </w:p>
        </w:tc>
        <w:tc>
          <w:tcPr>
            <w:tcW w:w="1512" w:type="dxa"/>
          </w:tcPr>
          <w:p w14:paraId="657994FB" w14:textId="77777777" w:rsidR="00084BE9" w:rsidRDefault="00084BE9" w:rsidP="00506E02">
            <w:pPr>
              <w:pStyle w:val="Tablebodytextnospaceafter"/>
            </w:pPr>
            <w:r>
              <w:t>-</w:t>
            </w:r>
          </w:p>
        </w:tc>
        <w:tc>
          <w:tcPr>
            <w:tcW w:w="1512" w:type="dxa"/>
          </w:tcPr>
          <w:p w14:paraId="04554837" w14:textId="77777777" w:rsidR="00084BE9" w:rsidRDefault="003D0AC3" w:rsidP="00506E02">
            <w:pPr>
              <w:pStyle w:val="Tablebodytextnospaceafter"/>
            </w:pPr>
            <w:r>
              <w:t>5</w:t>
            </w:r>
          </w:p>
        </w:tc>
      </w:tr>
      <w:tr w:rsidR="00084BE9" w14:paraId="61FE0117"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21361F58" w14:textId="77777777" w:rsidR="00084BE9" w:rsidRPr="00BE4BB3" w:rsidRDefault="00084BE9" w:rsidP="00506E02">
            <w:pPr>
              <w:pStyle w:val="Tablebodytextnospaceafter"/>
            </w:pPr>
            <w:r>
              <w:t xml:space="preserve">Trivial, </w:t>
            </w:r>
            <w:r w:rsidRPr="00BE4BB3">
              <w:t>frivolous, vexatious or not in good faith</w:t>
            </w:r>
          </w:p>
        </w:tc>
        <w:tc>
          <w:tcPr>
            <w:tcW w:w="1512" w:type="dxa"/>
          </w:tcPr>
          <w:p w14:paraId="345D3668" w14:textId="77777777" w:rsidR="00084BE9" w:rsidRDefault="00084BE9" w:rsidP="00506E02">
            <w:pPr>
              <w:pStyle w:val="Tablebodytextnospaceafter"/>
            </w:pPr>
            <w:r>
              <w:t>-</w:t>
            </w:r>
          </w:p>
        </w:tc>
        <w:tc>
          <w:tcPr>
            <w:tcW w:w="1512" w:type="dxa"/>
          </w:tcPr>
          <w:p w14:paraId="76FCF989" w14:textId="77777777" w:rsidR="00084BE9" w:rsidRDefault="003D0AC3" w:rsidP="00506E02">
            <w:pPr>
              <w:pStyle w:val="Tablebodytextnospaceafter"/>
            </w:pPr>
            <w:r>
              <w:t>2</w:t>
            </w:r>
          </w:p>
        </w:tc>
      </w:tr>
      <w:tr w:rsidR="00084BE9" w14:paraId="383EEAAF"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687CC72A" w14:textId="77777777" w:rsidR="00084BE9" w:rsidRPr="00BE4BB3" w:rsidRDefault="00084BE9" w:rsidP="00506E02">
            <w:pPr>
              <w:pStyle w:val="Tablebodytextnospaceafter"/>
            </w:pPr>
            <w:r>
              <w:t>I</w:t>
            </w:r>
            <w:r w:rsidRPr="00BE4BB3">
              <w:t>nsufficient personal interest</w:t>
            </w:r>
          </w:p>
        </w:tc>
        <w:tc>
          <w:tcPr>
            <w:tcW w:w="1512" w:type="dxa"/>
          </w:tcPr>
          <w:p w14:paraId="15F1811C" w14:textId="77777777" w:rsidR="00084BE9" w:rsidRDefault="00084BE9" w:rsidP="00506E02">
            <w:pPr>
              <w:pStyle w:val="Tablebodytextnospaceafter"/>
            </w:pPr>
            <w:r>
              <w:t>5</w:t>
            </w:r>
          </w:p>
        </w:tc>
        <w:tc>
          <w:tcPr>
            <w:tcW w:w="1512" w:type="dxa"/>
          </w:tcPr>
          <w:p w14:paraId="6CF2C365" w14:textId="77777777" w:rsidR="00084BE9" w:rsidRDefault="003D0AC3" w:rsidP="00506E02">
            <w:pPr>
              <w:pStyle w:val="Tablebodytextnospaceafter"/>
            </w:pPr>
            <w:r>
              <w:t>1</w:t>
            </w:r>
          </w:p>
        </w:tc>
      </w:tr>
      <w:tr w:rsidR="00084BE9" w14:paraId="47DEADD3"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60BE121D" w14:textId="77777777" w:rsidR="00084BE9" w:rsidRPr="00BE4BB3" w:rsidRDefault="00084BE9" w:rsidP="00506E02">
            <w:pPr>
              <w:pStyle w:val="Tablebodytextnospaceafter"/>
            </w:pPr>
            <w:r>
              <w:t>E</w:t>
            </w:r>
            <w:r w:rsidRPr="00BE4BB3">
              <w:t>xplanation, advice or assistance provided</w:t>
            </w:r>
          </w:p>
        </w:tc>
        <w:tc>
          <w:tcPr>
            <w:tcW w:w="1512" w:type="dxa"/>
          </w:tcPr>
          <w:p w14:paraId="76C9DADE" w14:textId="77777777" w:rsidR="00084BE9" w:rsidRDefault="00084BE9" w:rsidP="00506E02">
            <w:pPr>
              <w:pStyle w:val="Tablebodytextnospaceafter"/>
            </w:pPr>
            <w:r>
              <w:t>219</w:t>
            </w:r>
          </w:p>
        </w:tc>
        <w:tc>
          <w:tcPr>
            <w:tcW w:w="1512" w:type="dxa"/>
          </w:tcPr>
          <w:p w14:paraId="38DE6BE9" w14:textId="77777777" w:rsidR="00084BE9" w:rsidRDefault="003D0AC3" w:rsidP="00506E02">
            <w:pPr>
              <w:pStyle w:val="Tablebodytextnospaceafter"/>
            </w:pPr>
            <w:r>
              <w:t>470</w:t>
            </w:r>
          </w:p>
        </w:tc>
      </w:tr>
      <w:tr w:rsidR="003D0AC3" w14:paraId="4112C401" w14:textId="77777777" w:rsidTr="008F18FF">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44BF4BDF" w14:textId="77777777" w:rsidR="003D0AC3" w:rsidRPr="00B4537F" w:rsidRDefault="003D0AC3" w:rsidP="008F18FF">
            <w:pPr>
              <w:pStyle w:val="Tablebodytextnospaceafter"/>
              <w:rPr>
                <w:color w:val="00B0F0"/>
              </w:rPr>
            </w:pPr>
            <w:r>
              <w:t>Investigation unnecessary</w:t>
            </w:r>
          </w:p>
        </w:tc>
        <w:tc>
          <w:tcPr>
            <w:tcW w:w="1512" w:type="dxa"/>
          </w:tcPr>
          <w:p w14:paraId="79CE8A24" w14:textId="77777777" w:rsidR="003D0AC3" w:rsidRDefault="003D0AC3" w:rsidP="008F18FF">
            <w:pPr>
              <w:pStyle w:val="Tablebodytextnospaceafter"/>
            </w:pPr>
            <w:r>
              <w:t>276</w:t>
            </w:r>
          </w:p>
        </w:tc>
        <w:tc>
          <w:tcPr>
            <w:tcW w:w="1512" w:type="dxa"/>
          </w:tcPr>
          <w:p w14:paraId="03968902" w14:textId="77777777" w:rsidR="003D0AC3" w:rsidRDefault="003D0AC3" w:rsidP="008F18FF">
            <w:pPr>
              <w:pStyle w:val="Tablebodytextnospaceafter"/>
            </w:pPr>
            <w:r>
              <w:t>159</w:t>
            </w:r>
          </w:p>
        </w:tc>
      </w:tr>
      <w:tr w:rsidR="00084BE9" w14:paraId="0471C440"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07F62FA3" w14:textId="77777777" w:rsidR="00084BE9" w:rsidRPr="00A568D9" w:rsidRDefault="00084BE9" w:rsidP="00506E02">
            <w:pPr>
              <w:pStyle w:val="Tablebodytextnospaceafter"/>
              <w:rPr>
                <w:rStyle w:val="EmphasisItalics"/>
              </w:rPr>
            </w:pPr>
            <w:r w:rsidRPr="00A568D9">
              <w:rPr>
                <w:rStyle w:val="EmphasisItalics"/>
              </w:rPr>
              <w:t>Subtotal</w:t>
            </w:r>
          </w:p>
        </w:tc>
        <w:tc>
          <w:tcPr>
            <w:tcW w:w="1512" w:type="dxa"/>
          </w:tcPr>
          <w:p w14:paraId="0A8E2874" w14:textId="77777777" w:rsidR="00084BE9" w:rsidRPr="00A568D9" w:rsidRDefault="00084BE9" w:rsidP="00506E02">
            <w:pPr>
              <w:pStyle w:val="Tablebodytextnospaceafter"/>
              <w:jc w:val="right"/>
              <w:rPr>
                <w:rStyle w:val="EmphasisItalics"/>
              </w:rPr>
            </w:pPr>
            <w:r>
              <w:rPr>
                <w:rStyle w:val="EmphasisItalics"/>
              </w:rPr>
              <w:t>1,710</w:t>
            </w:r>
          </w:p>
        </w:tc>
        <w:tc>
          <w:tcPr>
            <w:tcW w:w="1512" w:type="dxa"/>
          </w:tcPr>
          <w:p w14:paraId="0AB2B260" w14:textId="77777777" w:rsidR="00084BE9" w:rsidRDefault="003D0AC3" w:rsidP="00506E02">
            <w:pPr>
              <w:pStyle w:val="Tablebodytextnospaceafter"/>
              <w:jc w:val="right"/>
              <w:rPr>
                <w:rStyle w:val="EmphasisItalics"/>
              </w:rPr>
            </w:pPr>
            <w:r>
              <w:rPr>
                <w:rStyle w:val="EmphasisItalics"/>
              </w:rPr>
              <w:t>1,862</w:t>
            </w:r>
          </w:p>
        </w:tc>
      </w:tr>
      <w:tr w:rsidR="00084BE9" w14:paraId="06824D5E"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27" w:type="dxa"/>
            <w:shd w:val="clear" w:color="auto" w:fill="BFBFBF"/>
          </w:tcPr>
          <w:p w14:paraId="1B8287A5" w14:textId="77777777" w:rsidR="00084BE9" w:rsidRPr="007C3795" w:rsidRDefault="00084BE9" w:rsidP="00506E02">
            <w:pPr>
              <w:pStyle w:val="Tablebodytextnospaceafter"/>
              <w:rPr>
                <w:b/>
              </w:rPr>
            </w:pPr>
            <w:r w:rsidRPr="007C3795">
              <w:rPr>
                <w:b/>
              </w:rPr>
              <w:t>Resolved without investigation</w:t>
            </w:r>
          </w:p>
        </w:tc>
        <w:tc>
          <w:tcPr>
            <w:tcW w:w="1512" w:type="dxa"/>
            <w:shd w:val="clear" w:color="auto" w:fill="BFBFBF"/>
          </w:tcPr>
          <w:p w14:paraId="799A87D9" w14:textId="77777777" w:rsidR="00084BE9" w:rsidRPr="007C3795" w:rsidRDefault="00084BE9" w:rsidP="00506E02">
            <w:pPr>
              <w:pStyle w:val="Tablebodytextnospaceafter"/>
              <w:rPr>
                <w:b/>
              </w:rPr>
            </w:pPr>
          </w:p>
        </w:tc>
        <w:tc>
          <w:tcPr>
            <w:tcW w:w="1512" w:type="dxa"/>
            <w:shd w:val="clear" w:color="auto" w:fill="BFBFBF"/>
          </w:tcPr>
          <w:p w14:paraId="385A97E7" w14:textId="77777777" w:rsidR="00084BE9" w:rsidRPr="007C3795" w:rsidRDefault="00084BE9" w:rsidP="00506E02">
            <w:pPr>
              <w:pStyle w:val="Tablebodytextnospaceafter"/>
              <w:rPr>
                <w:b/>
              </w:rPr>
            </w:pPr>
          </w:p>
        </w:tc>
      </w:tr>
      <w:tr w:rsidR="00084BE9" w14:paraId="6C095A83"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4FDEB776" w14:textId="77777777" w:rsidR="00084BE9" w:rsidRPr="00BE4BB3" w:rsidRDefault="00084BE9" w:rsidP="00506E02">
            <w:pPr>
              <w:pStyle w:val="Tablebodytextnospaceafter"/>
            </w:pPr>
            <w:r>
              <w:t>R</w:t>
            </w:r>
            <w:r w:rsidRPr="00BE4BB3">
              <w:t xml:space="preserve">emedial action to benefit complainant </w:t>
            </w:r>
          </w:p>
        </w:tc>
        <w:tc>
          <w:tcPr>
            <w:tcW w:w="1512" w:type="dxa"/>
          </w:tcPr>
          <w:p w14:paraId="2E30F911" w14:textId="77777777" w:rsidR="00084BE9" w:rsidRDefault="00084BE9" w:rsidP="00506E02">
            <w:pPr>
              <w:pStyle w:val="Tablebodytextnospaceafter"/>
            </w:pPr>
            <w:r>
              <w:t>64</w:t>
            </w:r>
          </w:p>
        </w:tc>
        <w:tc>
          <w:tcPr>
            <w:tcW w:w="1512" w:type="dxa"/>
          </w:tcPr>
          <w:p w14:paraId="27CFDACB" w14:textId="77777777" w:rsidR="00084BE9" w:rsidRDefault="003D0AC3" w:rsidP="00506E02">
            <w:pPr>
              <w:pStyle w:val="Tablebodytextnospaceafter"/>
            </w:pPr>
            <w:r>
              <w:t>114</w:t>
            </w:r>
          </w:p>
        </w:tc>
      </w:tr>
      <w:tr w:rsidR="00084BE9" w14:paraId="41B2B2C5"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3DE23958" w14:textId="77777777" w:rsidR="00084BE9" w:rsidRPr="00BE4BB3" w:rsidRDefault="00084BE9" w:rsidP="00506E02">
            <w:pPr>
              <w:pStyle w:val="Tablebodytextnospaceafter"/>
            </w:pPr>
            <w:r>
              <w:t>R</w:t>
            </w:r>
            <w:r w:rsidRPr="00BE4BB3">
              <w:t>emedial action to improve state sector administration</w:t>
            </w:r>
          </w:p>
        </w:tc>
        <w:tc>
          <w:tcPr>
            <w:tcW w:w="1512" w:type="dxa"/>
          </w:tcPr>
          <w:p w14:paraId="2ABEB239" w14:textId="77777777" w:rsidR="00084BE9" w:rsidRDefault="00084BE9" w:rsidP="00506E02">
            <w:pPr>
              <w:pStyle w:val="Tablebodytextnospaceafter"/>
            </w:pPr>
            <w:r>
              <w:t>-</w:t>
            </w:r>
          </w:p>
        </w:tc>
        <w:tc>
          <w:tcPr>
            <w:tcW w:w="1512" w:type="dxa"/>
          </w:tcPr>
          <w:p w14:paraId="70C7F298" w14:textId="77777777" w:rsidR="00084BE9" w:rsidRDefault="003D0AC3" w:rsidP="00506E02">
            <w:pPr>
              <w:pStyle w:val="Tablebodytextnospaceafter"/>
            </w:pPr>
            <w:r>
              <w:t>1</w:t>
            </w:r>
          </w:p>
        </w:tc>
      </w:tr>
      <w:tr w:rsidR="00084BE9" w14:paraId="26B510B7"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7F810BA6" w14:textId="77777777" w:rsidR="00084BE9" w:rsidRPr="00BE4BB3" w:rsidRDefault="00084BE9" w:rsidP="00506E02">
            <w:pPr>
              <w:pStyle w:val="Tablebodytextnospaceafter"/>
            </w:pPr>
            <w:r>
              <w:t>R</w:t>
            </w:r>
            <w:r w:rsidRPr="00BE4BB3">
              <w:t>emedial action to benefit complainant and improve state sector administration</w:t>
            </w:r>
          </w:p>
        </w:tc>
        <w:tc>
          <w:tcPr>
            <w:tcW w:w="1512" w:type="dxa"/>
          </w:tcPr>
          <w:p w14:paraId="14A8E894" w14:textId="77777777" w:rsidR="00084BE9" w:rsidRDefault="00084BE9" w:rsidP="00506E02">
            <w:pPr>
              <w:pStyle w:val="Tablebodytextnospaceafter"/>
            </w:pPr>
            <w:r>
              <w:t>1</w:t>
            </w:r>
          </w:p>
        </w:tc>
        <w:tc>
          <w:tcPr>
            <w:tcW w:w="1512" w:type="dxa"/>
          </w:tcPr>
          <w:p w14:paraId="2EEF2040" w14:textId="77777777" w:rsidR="00084BE9" w:rsidRDefault="003D0AC3" w:rsidP="00506E02">
            <w:pPr>
              <w:pStyle w:val="Tablebodytextnospaceafter"/>
            </w:pPr>
            <w:r>
              <w:t>3</w:t>
            </w:r>
          </w:p>
        </w:tc>
      </w:tr>
      <w:tr w:rsidR="00084BE9" w14:paraId="49434EB4"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0B4F11AD" w14:textId="77777777" w:rsidR="00084BE9" w:rsidRPr="00BE4BB3" w:rsidRDefault="00084BE9" w:rsidP="00506E02">
            <w:pPr>
              <w:pStyle w:val="Tablebodytextnospaceafter"/>
            </w:pPr>
            <w:r>
              <w:t>P</w:t>
            </w:r>
            <w:r w:rsidRPr="00BE4BB3">
              <w:t>rovision of advice/explanation by agency or Ombudsman</w:t>
            </w:r>
            <w:r>
              <w:t xml:space="preserve"> that</w:t>
            </w:r>
            <w:r w:rsidRPr="00BE4BB3">
              <w:t xml:space="preserve"> satisfies complainant</w:t>
            </w:r>
          </w:p>
        </w:tc>
        <w:tc>
          <w:tcPr>
            <w:tcW w:w="1512" w:type="dxa"/>
          </w:tcPr>
          <w:p w14:paraId="7365E17A" w14:textId="77777777" w:rsidR="00084BE9" w:rsidRDefault="00084BE9" w:rsidP="00506E02">
            <w:pPr>
              <w:pStyle w:val="Tablebodytextnospaceafter"/>
            </w:pPr>
            <w:r>
              <w:t>4</w:t>
            </w:r>
          </w:p>
        </w:tc>
        <w:tc>
          <w:tcPr>
            <w:tcW w:w="1512" w:type="dxa"/>
          </w:tcPr>
          <w:p w14:paraId="2687F80A" w14:textId="77777777" w:rsidR="00084BE9" w:rsidRDefault="003D0AC3" w:rsidP="00506E02">
            <w:pPr>
              <w:pStyle w:val="Tablebodytextnospaceafter"/>
            </w:pPr>
            <w:r>
              <w:t>5</w:t>
            </w:r>
          </w:p>
        </w:tc>
      </w:tr>
      <w:tr w:rsidR="00084BE9" w14:paraId="53254645"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362F3CA3" w14:textId="77777777" w:rsidR="00084BE9" w:rsidRPr="00A568D9" w:rsidRDefault="00084BE9" w:rsidP="00506E02">
            <w:pPr>
              <w:pStyle w:val="Tablebodytextnospaceafter"/>
              <w:rPr>
                <w:rStyle w:val="EmphasisItalics"/>
              </w:rPr>
            </w:pPr>
            <w:r w:rsidRPr="00A568D9">
              <w:rPr>
                <w:rStyle w:val="EmphasisItalics"/>
              </w:rPr>
              <w:t>Subtotal</w:t>
            </w:r>
          </w:p>
        </w:tc>
        <w:tc>
          <w:tcPr>
            <w:tcW w:w="1512" w:type="dxa"/>
          </w:tcPr>
          <w:p w14:paraId="4D360C9C" w14:textId="77777777" w:rsidR="00084BE9" w:rsidRPr="00A568D9" w:rsidRDefault="00084BE9" w:rsidP="00506E02">
            <w:pPr>
              <w:pStyle w:val="Tablebodytextnospaceafter"/>
              <w:jc w:val="right"/>
              <w:rPr>
                <w:rStyle w:val="EmphasisItalics"/>
              </w:rPr>
            </w:pPr>
            <w:r>
              <w:rPr>
                <w:rStyle w:val="EmphasisItalics"/>
              </w:rPr>
              <w:t>69</w:t>
            </w:r>
          </w:p>
        </w:tc>
        <w:tc>
          <w:tcPr>
            <w:tcW w:w="1512" w:type="dxa"/>
          </w:tcPr>
          <w:p w14:paraId="2D8E9CE2" w14:textId="77777777" w:rsidR="00084BE9" w:rsidRDefault="003D0AC3" w:rsidP="00506E02">
            <w:pPr>
              <w:pStyle w:val="Tablebodytextnospaceafter"/>
              <w:jc w:val="right"/>
              <w:rPr>
                <w:rStyle w:val="EmphasisItalics"/>
              </w:rPr>
            </w:pPr>
            <w:r>
              <w:rPr>
                <w:rStyle w:val="EmphasisItalics"/>
              </w:rPr>
              <w:t>123</w:t>
            </w:r>
          </w:p>
        </w:tc>
      </w:tr>
      <w:tr w:rsidR="00084BE9" w14:paraId="5AE3B754"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27" w:type="dxa"/>
            <w:shd w:val="clear" w:color="auto" w:fill="BFBFBF"/>
          </w:tcPr>
          <w:p w14:paraId="5805996F" w14:textId="77777777" w:rsidR="00084BE9" w:rsidRPr="007C3795" w:rsidRDefault="00084BE9" w:rsidP="00506E02">
            <w:pPr>
              <w:pStyle w:val="Tablebodytextnospaceafter"/>
              <w:rPr>
                <w:b/>
              </w:rPr>
            </w:pPr>
            <w:r w:rsidRPr="007C3795">
              <w:rPr>
                <w:b/>
              </w:rPr>
              <w:t>Investigation discontinued</w:t>
            </w:r>
          </w:p>
        </w:tc>
        <w:tc>
          <w:tcPr>
            <w:tcW w:w="1512" w:type="dxa"/>
            <w:shd w:val="clear" w:color="auto" w:fill="BFBFBF"/>
          </w:tcPr>
          <w:p w14:paraId="69DC2564" w14:textId="77777777" w:rsidR="00084BE9" w:rsidRPr="007C3795" w:rsidRDefault="00084BE9" w:rsidP="00506E02">
            <w:pPr>
              <w:pStyle w:val="Tablebodytextnospaceafter"/>
              <w:rPr>
                <w:b/>
              </w:rPr>
            </w:pPr>
          </w:p>
        </w:tc>
        <w:tc>
          <w:tcPr>
            <w:tcW w:w="1512" w:type="dxa"/>
            <w:shd w:val="clear" w:color="auto" w:fill="BFBFBF"/>
          </w:tcPr>
          <w:p w14:paraId="3D936703" w14:textId="77777777" w:rsidR="00084BE9" w:rsidRPr="007C3795" w:rsidRDefault="00084BE9" w:rsidP="00506E02">
            <w:pPr>
              <w:pStyle w:val="Tablebodytextnospaceafter"/>
              <w:rPr>
                <w:b/>
              </w:rPr>
            </w:pPr>
          </w:p>
        </w:tc>
      </w:tr>
      <w:tr w:rsidR="00084BE9" w14:paraId="02FA5EED"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6CFCF82A" w14:textId="77777777" w:rsidR="00084BE9" w:rsidRPr="00BE4BB3" w:rsidRDefault="00084BE9" w:rsidP="00506E02">
            <w:pPr>
              <w:pStyle w:val="Tablebodytextnospaceafter"/>
            </w:pPr>
            <w:r>
              <w:t>W</w:t>
            </w:r>
            <w:r w:rsidRPr="00BE4BB3">
              <w:t>ithdrawn by complainant or no response from complainant</w:t>
            </w:r>
          </w:p>
        </w:tc>
        <w:tc>
          <w:tcPr>
            <w:tcW w:w="1512" w:type="dxa"/>
          </w:tcPr>
          <w:p w14:paraId="3FC95D9E" w14:textId="77777777" w:rsidR="00084BE9" w:rsidRDefault="00084BE9" w:rsidP="00506E02">
            <w:pPr>
              <w:pStyle w:val="Tablebodytextnospaceafter"/>
            </w:pPr>
            <w:r>
              <w:t>4</w:t>
            </w:r>
          </w:p>
        </w:tc>
        <w:tc>
          <w:tcPr>
            <w:tcW w:w="1512" w:type="dxa"/>
          </w:tcPr>
          <w:p w14:paraId="2B1941B4" w14:textId="77777777" w:rsidR="00084BE9" w:rsidRDefault="003D0AC3" w:rsidP="00506E02">
            <w:pPr>
              <w:pStyle w:val="Tablebodytextnospaceafter"/>
            </w:pPr>
            <w:r>
              <w:t>6</w:t>
            </w:r>
          </w:p>
        </w:tc>
      </w:tr>
      <w:tr w:rsidR="00084BE9" w14:paraId="0721CDEE"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5A1856FA" w14:textId="77777777" w:rsidR="00084BE9" w:rsidRPr="00BE4BB3" w:rsidRDefault="00084BE9" w:rsidP="00506E02">
            <w:pPr>
              <w:pStyle w:val="Tablebodytextnospaceafter"/>
            </w:pPr>
            <w:r>
              <w:t>F</w:t>
            </w:r>
            <w:r w:rsidRPr="00BE4BB3">
              <w:t>urther investigation unnecessary</w:t>
            </w:r>
          </w:p>
        </w:tc>
        <w:tc>
          <w:tcPr>
            <w:tcW w:w="1512" w:type="dxa"/>
          </w:tcPr>
          <w:p w14:paraId="72CDAD74" w14:textId="77777777" w:rsidR="00084BE9" w:rsidRDefault="00084BE9" w:rsidP="00506E02">
            <w:pPr>
              <w:pStyle w:val="Tablebodytextnospaceafter"/>
            </w:pPr>
            <w:r>
              <w:t>13</w:t>
            </w:r>
          </w:p>
        </w:tc>
        <w:tc>
          <w:tcPr>
            <w:tcW w:w="1512" w:type="dxa"/>
          </w:tcPr>
          <w:p w14:paraId="57843CEA" w14:textId="77777777" w:rsidR="00084BE9" w:rsidRDefault="003D0AC3" w:rsidP="00506E02">
            <w:pPr>
              <w:pStyle w:val="Tablebodytextnospaceafter"/>
            </w:pPr>
            <w:r>
              <w:t>23</w:t>
            </w:r>
          </w:p>
        </w:tc>
      </w:tr>
      <w:tr w:rsidR="00084BE9" w14:paraId="1C8F0283"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36E5CCAC" w14:textId="77777777" w:rsidR="00084BE9" w:rsidRPr="00BE4BB3" w:rsidRDefault="00084BE9" w:rsidP="00506E02">
            <w:pPr>
              <w:pStyle w:val="Tablebodytextnospaceafter"/>
            </w:pPr>
            <w:r>
              <w:t>Agency to review</w:t>
            </w:r>
          </w:p>
        </w:tc>
        <w:tc>
          <w:tcPr>
            <w:tcW w:w="1512" w:type="dxa"/>
          </w:tcPr>
          <w:p w14:paraId="28E9B894" w14:textId="77777777" w:rsidR="00084BE9" w:rsidRDefault="00084BE9" w:rsidP="00506E02">
            <w:pPr>
              <w:pStyle w:val="Tablebodytextnospaceafter"/>
            </w:pPr>
            <w:r>
              <w:t>1</w:t>
            </w:r>
          </w:p>
        </w:tc>
        <w:tc>
          <w:tcPr>
            <w:tcW w:w="1512" w:type="dxa"/>
          </w:tcPr>
          <w:p w14:paraId="295AD44B" w14:textId="77777777" w:rsidR="00084BE9" w:rsidRDefault="003D0AC3" w:rsidP="00506E02">
            <w:pPr>
              <w:pStyle w:val="Tablebodytextnospaceafter"/>
            </w:pPr>
            <w:r>
              <w:t>2</w:t>
            </w:r>
          </w:p>
        </w:tc>
      </w:tr>
      <w:tr w:rsidR="00084BE9" w14:paraId="04BB54A2"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35601715" w14:textId="77777777" w:rsidR="00084BE9" w:rsidRPr="00A568D9" w:rsidRDefault="00084BE9" w:rsidP="00506E02">
            <w:pPr>
              <w:pStyle w:val="Tablebodytextnospaceafter"/>
              <w:rPr>
                <w:rStyle w:val="EmphasisItalics"/>
              </w:rPr>
            </w:pPr>
            <w:r w:rsidRPr="00A568D9">
              <w:rPr>
                <w:rStyle w:val="EmphasisItalics"/>
              </w:rPr>
              <w:t>Subtotal</w:t>
            </w:r>
          </w:p>
        </w:tc>
        <w:tc>
          <w:tcPr>
            <w:tcW w:w="1512" w:type="dxa"/>
          </w:tcPr>
          <w:p w14:paraId="42626303" w14:textId="77777777" w:rsidR="00084BE9" w:rsidRPr="00A568D9" w:rsidRDefault="00084BE9" w:rsidP="00506E02">
            <w:pPr>
              <w:pStyle w:val="Tablebodytextnospaceafter"/>
              <w:jc w:val="right"/>
              <w:rPr>
                <w:rStyle w:val="EmphasisItalics"/>
              </w:rPr>
            </w:pPr>
            <w:r>
              <w:rPr>
                <w:rStyle w:val="EmphasisItalics"/>
              </w:rPr>
              <w:t>18</w:t>
            </w:r>
          </w:p>
        </w:tc>
        <w:tc>
          <w:tcPr>
            <w:tcW w:w="1512" w:type="dxa"/>
          </w:tcPr>
          <w:p w14:paraId="537D3086" w14:textId="77777777" w:rsidR="00084BE9" w:rsidRDefault="003D0AC3" w:rsidP="00506E02">
            <w:pPr>
              <w:pStyle w:val="Tablebodytextnospaceafter"/>
              <w:jc w:val="right"/>
              <w:rPr>
                <w:rStyle w:val="EmphasisItalics"/>
              </w:rPr>
            </w:pPr>
            <w:r>
              <w:rPr>
                <w:rStyle w:val="EmphasisItalics"/>
              </w:rPr>
              <w:t>31</w:t>
            </w:r>
          </w:p>
        </w:tc>
      </w:tr>
      <w:tr w:rsidR="00084BE9" w14:paraId="0084EF94"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shd w:val="clear" w:color="auto" w:fill="BFBFBF"/>
          </w:tcPr>
          <w:p w14:paraId="21AA7710" w14:textId="77777777" w:rsidR="00084BE9" w:rsidRPr="007C3795" w:rsidRDefault="00084BE9" w:rsidP="00506E02">
            <w:pPr>
              <w:pStyle w:val="Tablebodytextnospaceafter"/>
              <w:rPr>
                <w:b/>
              </w:rPr>
            </w:pPr>
            <w:r w:rsidRPr="007C3795">
              <w:rPr>
                <w:b/>
              </w:rPr>
              <w:t>Resolved during investigation</w:t>
            </w:r>
          </w:p>
        </w:tc>
        <w:tc>
          <w:tcPr>
            <w:tcW w:w="1512" w:type="dxa"/>
            <w:shd w:val="clear" w:color="auto" w:fill="BFBFBF"/>
          </w:tcPr>
          <w:p w14:paraId="23A65ABC" w14:textId="77777777" w:rsidR="00084BE9" w:rsidRPr="007C3795" w:rsidRDefault="00084BE9" w:rsidP="00506E02">
            <w:pPr>
              <w:pStyle w:val="Tablebodytextnospaceafter"/>
              <w:rPr>
                <w:b/>
              </w:rPr>
            </w:pPr>
          </w:p>
        </w:tc>
        <w:tc>
          <w:tcPr>
            <w:tcW w:w="1512" w:type="dxa"/>
            <w:shd w:val="clear" w:color="auto" w:fill="BFBFBF"/>
          </w:tcPr>
          <w:p w14:paraId="3FF3A16F" w14:textId="77777777" w:rsidR="00084BE9" w:rsidRPr="007C3795" w:rsidRDefault="00084BE9" w:rsidP="00506E02">
            <w:pPr>
              <w:pStyle w:val="Tablebodytextnospaceafter"/>
              <w:rPr>
                <w:b/>
              </w:rPr>
            </w:pPr>
          </w:p>
        </w:tc>
      </w:tr>
      <w:tr w:rsidR="00084BE9" w14:paraId="68B12CF0"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06E7A27D" w14:textId="77777777" w:rsidR="00084BE9" w:rsidRPr="00BE4BB3" w:rsidRDefault="00084BE9" w:rsidP="00506E02">
            <w:pPr>
              <w:pStyle w:val="Tablebodytextnospaceafter"/>
            </w:pPr>
            <w:r>
              <w:t>R</w:t>
            </w:r>
            <w:r w:rsidRPr="00BE4BB3">
              <w:t>emedial action to benefit complainant</w:t>
            </w:r>
          </w:p>
        </w:tc>
        <w:tc>
          <w:tcPr>
            <w:tcW w:w="1512" w:type="dxa"/>
          </w:tcPr>
          <w:p w14:paraId="7F513ED8" w14:textId="77777777" w:rsidR="00084BE9" w:rsidRDefault="00084BE9" w:rsidP="00506E02">
            <w:pPr>
              <w:pStyle w:val="Tablebodytextnospaceafter"/>
            </w:pPr>
            <w:r>
              <w:t>31</w:t>
            </w:r>
          </w:p>
        </w:tc>
        <w:tc>
          <w:tcPr>
            <w:tcW w:w="1512" w:type="dxa"/>
          </w:tcPr>
          <w:p w14:paraId="6AE4DAF7" w14:textId="77777777" w:rsidR="00084BE9" w:rsidRDefault="003D0AC3" w:rsidP="00506E02">
            <w:pPr>
              <w:pStyle w:val="Tablebodytextnospaceafter"/>
            </w:pPr>
            <w:r>
              <w:t>38</w:t>
            </w:r>
          </w:p>
        </w:tc>
      </w:tr>
      <w:tr w:rsidR="00084BE9" w14:paraId="6B019B7B"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7015F316" w14:textId="77777777" w:rsidR="00084BE9" w:rsidRPr="00BE4BB3" w:rsidRDefault="00084BE9" w:rsidP="00506E02">
            <w:pPr>
              <w:pStyle w:val="Tablebodytextnospaceafter"/>
            </w:pPr>
            <w:r>
              <w:t>R</w:t>
            </w:r>
            <w:r w:rsidRPr="00BE4BB3">
              <w:t>emedial action to benefit complainant and improve state sector administration</w:t>
            </w:r>
          </w:p>
        </w:tc>
        <w:tc>
          <w:tcPr>
            <w:tcW w:w="1512" w:type="dxa"/>
          </w:tcPr>
          <w:p w14:paraId="151B9585" w14:textId="77777777" w:rsidR="00084BE9" w:rsidRDefault="00084BE9" w:rsidP="00506E02">
            <w:pPr>
              <w:pStyle w:val="Tablebodytextnospaceafter"/>
            </w:pPr>
            <w:r>
              <w:t>1</w:t>
            </w:r>
          </w:p>
        </w:tc>
        <w:tc>
          <w:tcPr>
            <w:tcW w:w="1512" w:type="dxa"/>
          </w:tcPr>
          <w:p w14:paraId="5E43D2FA" w14:textId="77777777" w:rsidR="00084BE9" w:rsidRDefault="003D0AC3" w:rsidP="00506E02">
            <w:pPr>
              <w:pStyle w:val="Tablebodytextnospaceafter"/>
            </w:pPr>
            <w:r>
              <w:t>4</w:t>
            </w:r>
          </w:p>
        </w:tc>
      </w:tr>
      <w:tr w:rsidR="00084BE9" w14:paraId="5AAD3C9E"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37B6B5A5" w14:textId="77777777" w:rsidR="00084BE9" w:rsidRPr="00BE4BB3" w:rsidRDefault="00084BE9" w:rsidP="00506E02">
            <w:pPr>
              <w:pStyle w:val="Tablebodytextnospaceafter"/>
            </w:pPr>
            <w:r>
              <w:t>P</w:t>
            </w:r>
            <w:r w:rsidRPr="00BE4BB3">
              <w:t xml:space="preserve">rovision of advice/explanation by agency or Ombudsman </w:t>
            </w:r>
            <w:r>
              <w:t>that</w:t>
            </w:r>
            <w:r w:rsidRPr="00BE4BB3">
              <w:t xml:space="preserve"> satisfies complainant</w:t>
            </w:r>
          </w:p>
        </w:tc>
        <w:tc>
          <w:tcPr>
            <w:tcW w:w="1512" w:type="dxa"/>
          </w:tcPr>
          <w:p w14:paraId="77634D6F" w14:textId="77777777" w:rsidR="00084BE9" w:rsidRDefault="00084BE9" w:rsidP="00506E02">
            <w:pPr>
              <w:pStyle w:val="Tablebodytextnospaceafter"/>
            </w:pPr>
            <w:r>
              <w:t>3</w:t>
            </w:r>
          </w:p>
        </w:tc>
        <w:tc>
          <w:tcPr>
            <w:tcW w:w="1512" w:type="dxa"/>
          </w:tcPr>
          <w:p w14:paraId="379E9B01" w14:textId="77777777" w:rsidR="00084BE9" w:rsidRDefault="003D0AC3" w:rsidP="00506E02">
            <w:pPr>
              <w:pStyle w:val="Tablebodytextnospaceafter"/>
            </w:pPr>
            <w:r>
              <w:t>5</w:t>
            </w:r>
          </w:p>
        </w:tc>
      </w:tr>
      <w:tr w:rsidR="00084BE9" w14:paraId="575F40A4"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42FB6FA3" w14:textId="77777777" w:rsidR="00084BE9" w:rsidRPr="00A568D9" w:rsidRDefault="00084BE9" w:rsidP="00506E02">
            <w:pPr>
              <w:pStyle w:val="Tablebodytextnospaceafter"/>
              <w:rPr>
                <w:rStyle w:val="EmphasisItalics"/>
              </w:rPr>
            </w:pPr>
            <w:r w:rsidRPr="00A568D9">
              <w:rPr>
                <w:rStyle w:val="EmphasisItalics"/>
              </w:rPr>
              <w:t>Subtotal</w:t>
            </w:r>
          </w:p>
        </w:tc>
        <w:tc>
          <w:tcPr>
            <w:tcW w:w="1512" w:type="dxa"/>
          </w:tcPr>
          <w:p w14:paraId="42F68BD1" w14:textId="77777777" w:rsidR="00084BE9" w:rsidRPr="00A568D9" w:rsidRDefault="00084BE9" w:rsidP="00506E02">
            <w:pPr>
              <w:pStyle w:val="Tablebodytextnospaceafter"/>
              <w:jc w:val="right"/>
              <w:rPr>
                <w:rStyle w:val="EmphasisItalics"/>
              </w:rPr>
            </w:pPr>
            <w:r>
              <w:rPr>
                <w:rStyle w:val="EmphasisItalics"/>
              </w:rPr>
              <w:t>35</w:t>
            </w:r>
          </w:p>
        </w:tc>
        <w:tc>
          <w:tcPr>
            <w:tcW w:w="1512" w:type="dxa"/>
          </w:tcPr>
          <w:p w14:paraId="075EB555" w14:textId="77777777" w:rsidR="00084BE9" w:rsidRDefault="003D0AC3" w:rsidP="00506E02">
            <w:pPr>
              <w:pStyle w:val="Tablebodytextnospaceafter"/>
              <w:jc w:val="right"/>
              <w:rPr>
                <w:rStyle w:val="EmphasisItalics"/>
              </w:rPr>
            </w:pPr>
            <w:r>
              <w:rPr>
                <w:rStyle w:val="EmphasisItalics"/>
              </w:rPr>
              <w:t>47</w:t>
            </w:r>
          </w:p>
        </w:tc>
      </w:tr>
      <w:tr w:rsidR="00084BE9" w14:paraId="6AF5B622"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27" w:type="dxa"/>
            <w:shd w:val="clear" w:color="auto" w:fill="BFBFBF"/>
          </w:tcPr>
          <w:p w14:paraId="7C3FA758" w14:textId="77777777" w:rsidR="00084BE9" w:rsidRPr="007C3795" w:rsidRDefault="00084BE9" w:rsidP="00506E02">
            <w:pPr>
              <w:pStyle w:val="Tablebodytextnospaceafter"/>
              <w:rPr>
                <w:b/>
              </w:rPr>
            </w:pPr>
            <w:r w:rsidRPr="007C3795">
              <w:rPr>
                <w:b/>
              </w:rPr>
              <w:t>Investigation finalised (final opinion formed)</w:t>
            </w:r>
          </w:p>
        </w:tc>
        <w:tc>
          <w:tcPr>
            <w:tcW w:w="1512" w:type="dxa"/>
            <w:shd w:val="clear" w:color="auto" w:fill="BFBFBF"/>
          </w:tcPr>
          <w:p w14:paraId="3103DE05" w14:textId="77777777" w:rsidR="00084BE9" w:rsidRPr="007C3795" w:rsidRDefault="00084BE9" w:rsidP="00506E02">
            <w:pPr>
              <w:pStyle w:val="Tablebodytextnospaceafter"/>
              <w:rPr>
                <w:b/>
              </w:rPr>
            </w:pPr>
          </w:p>
        </w:tc>
        <w:tc>
          <w:tcPr>
            <w:tcW w:w="1512" w:type="dxa"/>
            <w:shd w:val="clear" w:color="auto" w:fill="BFBFBF"/>
          </w:tcPr>
          <w:p w14:paraId="7C6933D0" w14:textId="77777777" w:rsidR="00084BE9" w:rsidRPr="007C3795" w:rsidRDefault="00084BE9" w:rsidP="00506E02">
            <w:pPr>
              <w:pStyle w:val="Tablebodytextnospaceafter"/>
              <w:rPr>
                <w:b/>
              </w:rPr>
            </w:pPr>
          </w:p>
        </w:tc>
      </w:tr>
      <w:tr w:rsidR="00084BE9" w14:paraId="00E74215"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6F59350E" w14:textId="77777777" w:rsidR="00084BE9" w:rsidRPr="00BE4BB3" w:rsidRDefault="00084BE9" w:rsidP="00506E02">
            <w:pPr>
              <w:pStyle w:val="Tablebodytextnospaceafter"/>
            </w:pPr>
            <w:r>
              <w:t>A</w:t>
            </w:r>
            <w:r w:rsidRPr="00BE4BB3">
              <w:t>dministrative deficiency identified – recommendation/s</w:t>
            </w:r>
          </w:p>
        </w:tc>
        <w:tc>
          <w:tcPr>
            <w:tcW w:w="1512" w:type="dxa"/>
          </w:tcPr>
          <w:p w14:paraId="4C5539EB" w14:textId="77777777" w:rsidR="00084BE9" w:rsidRDefault="00084BE9" w:rsidP="00506E02">
            <w:pPr>
              <w:pStyle w:val="Tablebodytextnospaceafter"/>
            </w:pPr>
            <w:r>
              <w:t>10</w:t>
            </w:r>
          </w:p>
        </w:tc>
        <w:tc>
          <w:tcPr>
            <w:tcW w:w="1512" w:type="dxa"/>
          </w:tcPr>
          <w:p w14:paraId="7C9BD27F" w14:textId="77777777" w:rsidR="00084BE9" w:rsidRDefault="003D0AC3" w:rsidP="00506E02">
            <w:pPr>
              <w:pStyle w:val="Tablebodytextnospaceafter"/>
            </w:pPr>
            <w:r>
              <w:t>30</w:t>
            </w:r>
          </w:p>
        </w:tc>
      </w:tr>
      <w:tr w:rsidR="00084BE9" w14:paraId="77A9666B"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42DEE17E" w14:textId="77777777" w:rsidR="00084BE9" w:rsidRPr="00BE4BB3" w:rsidRDefault="00084BE9" w:rsidP="00506E02">
            <w:pPr>
              <w:pStyle w:val="Tablebodytextnospaceafter"/>
            </w:pPr>
            <w:r>
              <w:t>A</w:t>
            </w:r>
            <w:r w:rsidRPr="00BE4BB3">
              <w:t>dministrative deficiency identified – no recommendation</w:t>
            </w:r>
          </w:p>
        </w:tc>
        <w:tc>
          <w:tcPr>
            <w:tcW w:w="1512" w:type="dxa"/>
          </w:tcPr>
          <w:p w14:paraId="7B7D6BA6" w14:textId="77777777" w:rsidR="00084BE9" w:rsidRDefault="00084BE9" w:rsidP="00506E02">
            <w:pPr>
              <w:pStyle w:val="Tablebodytextnospaceafter"/>
            </w:pPr>
            <w:r>
              <w:t>12</w:t>
            </w:r>
          </w:p>
        </w:tc>
        <w:tc>
          <w:tcPr>
            <w:tcW w:w="1512" w:type="dxa"/>
          </w:tcPr>
          <w:p w14:paraId="1597B28C" w14:textId="77777777" w:rsidR="00084BE9" w:rsidRDefault="003D0AC3" w:rsidP="00506E02">
            <w:pPr>
              <w:pStyle w:val="Tablebodytextnospaceafter"/>
            </w:pPr>
            <w:r>
              <w:t>21</w:t>
            </w:r>
          </w:p>
        </w:tc>
      </w:tr>
      <w:tr w:rsidR="00084BE9" w14:paraId="748B040F"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38CB149A" w14:textId="77777777" w:rsidR="00084BE9" w:rsidRPr="00BE4BB3" w:rsidRDefault="00084BE9" w:rsidP="00506E02">
            <w:pPr>
              <w:pStyle w:val="Tablebodytextnospaceafter"/>
            </w:pPr>
            <w:r>
              <w:t>N</w:t>
            </w:r>
            <w:r w:rsidRPr="00BE4BB3">
              <w:t>o administrative deficiency identified</w:t>
            </w:r>
          </w:p>
        </w:tc>
        <w:tc>
          <w:tcPr>
            <w:tcW w:w="1512" w:type="dxa"/>
          </w:tcPr>
          <w:p w14:paraId="61E229FD" w14:textId="77777777" w:rsidR="00084BE9" w:rsidRDefault="00084BE9" w:rsidP="00506E02">
            <w:pPr>
              <w:pStyle w:val="Tablebodytextnospaceafter"/>
            </w:pPr>
            <w:r>
              <w:t>42</w:t>
            </w:r>
          </w:p>
        </w:tc>
        <w:tc>
          <w:tcPr>
            <w:tcW w:w="1512" w:type="dxa"/>
          </w:tcPr>
          <w:p w14:paraId="3C71CB24" w14:textId="77777777" w:rsidR="00084BE9" w:rsidRDefault="003D0AC3" w:rsidP="00506E02">
            <w:pPr>
              <w:pStyle w:val="Tablebodytextnospaceafter"/>
            </w:pPr>
            <w:r>
              <w:t>99</w:t>
            </w:r>
          </w:p>
        </w:tc>
      </w:tr>
      <w:tr w:rsidR="00084BE9" w14:paraId="0C5C24D0"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1427A771" w14:textId="77777777" w:rsidR="00084BE9" w:rsidRPr="00A568D9" w:rsidRDefault="00084BE9" w:rsidP="00506E02">
            <w:pPr>
              <w:pStyle w:val="Tablebodytextnospaceafter"/>
              <w:rPr>
                <w:rStyle w:val="EmphasisItalics"/>
              </w:rPr>
            </w:pPr>
            <w:r w:rsidRPr="00A568D9">
              <w:rPr>
                <w:rStyle w:val="EmphasisItalics"/>
              </w:rPr>
              <w:t>Subtotal</w:t>
            </w:r>
          </w:p>
        </w:tc>
        <w:tc>
          <w:tcPr>
            <w:tcW w:w="1512" w:type="dxa"/>
          </w:tcPr>
          <w:p w14:paraId="504F546B" w14:textId="77777777" w:rsidR="00084BE9" w:rsidRPr="00A568D9" w:rsidRDefault="00084BE9" w:rsidP="00506E02">
            <w:pPr>
              <w:pStyle w:val="Tablebodytextnospaceafter"/>
              <w:jc w:val="right"/>
              <w:rPr>
                <w:rStyle w:val="EmphasisItalics"/>
              </w:rPr>
            </w:pPr>
            <w:r>
              <w:rPr>
                <w:rStyle w:val="EmphasisItalics"/>
              </w:rPr>
              <w:t>64</w:t>
            </w:r>
          </w:p>
        </w:tc>
        <w:tc>
          <w:tcPr>
            <w:tcW w:w="1512" w:type="dxa"/>
          </w:tcPr>
          <w:p w14:paraId="0E6679D2" w14:textId="77777777" w:rsidR="00084BE9" w:rsidRDefault="003D0AC3" w:rsidP="003D0AC3">
            <w:pPr>
              <w:pStyle w:val="Tablebodytextnospaceafter"/>
              <w:jc w:val="right"/>
              <w:rPr>
                <w:rStyle w:val="EmphasisItalics"/>
              </w:rPr>
            </w:pPr>
            <w:r>
              <w:rPr>
                <w:rStyle w:val="EmphasisItalics"/>
              </w:rPr>
              <w:t>150</w:t>
            </w:r>
          </w:p>
        </w:tc>
      </w:tr>
      <w:tr w:rsidR="00084BE9" w14:paraId="092758A5"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45FD09E4" w14:textId="77777777" w:rsidR="00084BE9" w:rsidRPr="00B60F9F" w:rsidRDefault="00084BE9" w:rsidP="00506E02">
            <w:pPr>
              <w:pStyle w:val="Tablebodytextnospaceafter"/>
              <w:rPr>
                <w:rStyle w:val="EmphasisItalics"/>
              </w:rPr>
            </w:pPr>
            <w:r w:rsidRPr="00B60F9F">
              <w:rPr>
                <w:rStyle w:val="EmphasisItalics"/>
              </w:rPr>
              <w:t>Administration – adjustment</w:t>
            </w:r>
          </w:p>
        </w:tc>
        <w:tc>
          <w:tcPr>
            <w:tcW w:w="1512" w:type="dxa"/>
          </w:tcPr>
          <w:p w14:paraId="177150DD" w14:textId="77777777" w:rsidR="00084BE9" w:rsidRPr="00B60F9F" w:rsidRDefault="00084BE9" w:rsidP="00506E02">
            <w:pPr>
              <w:pStyle w:val="Tablebodytextnospaceafter"/>
              <w:jc w:val="right"/>
              <w:rPr>
                <w:rStyle w:val="EmphasisItalics"/>
              </w:rPr>
            </w:pPr>
            <w:r>
              <w:rPr>
                <w:rStyle w:val="EmphasisItalics"/>
              </w:rPr>
              <w:t>1</w:t>
            </w:r>
          </w:p>
        </w:tc>
        <w:tc>
          <w:tcPr>
            <w:tcW w:w="1512" w:type="dxa"/>
          </w:tcPr>
          <w:p w14:paraId="7137EA60" w14:textId="77777777" w:rsidR="00084BE9" w:rsidRDefault="003D0AC3" w:rsidP="00506E02">
            <w:pPr>
              <w:pStyle w:val="Tablebodytextnospaceafter"/>
              <w:jc w:val="right"/>
              <w:rPr>
                <w:rStyle w:val="EmphasisItalics"/>
              </w:rPr>
            </w:pPr>
            <w:r>
              <w:rPr>
                <w:rStyle w:val="EmphasisItalics"/>
              </w:rPr>
              <w:t>2</w:t>
            </w:r>
          </w:p>
        </w:tc>
      </w:tr>
      <w:tr w:rsidR="00084BE9" w14:paraId="36A988FA"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4580577B" w14:textId="77777777" w:rsidR="00084BE9" w:rsidRPr="00B60F9F" w:rsidRDefault="00084BE9" w:rsidP="00506E02">
            <w:pPr>
              <w:pStyle w:val="Tablebodytextnospaceafter"/>
              <w:rPr>
                <w:rStyle w:val="EmphasisItalics"/>
              </w:rPr>
            </w:pPr>
            <w:r w:rsidRPr="00B60F9F">
              <w:rPr>
                <w:rStyle w:val="EmphasisItalics"/>
              </w:rPr>
              <w:t>Under consideration at 30 June</w:t>
            </w:r>
          </w:p>
        </w:tc>
        <w:tc>
          <w:tcPr>
            <w:tcW w:w="1512" w:type="dxa"/>
          </w:tcPr>
          <w:p w14:paraId="67A8E398" w14:textId="77777777" w:rsidR="00084BE9" w:rsidRPr="00B60F9F" w:rsidRDefault="00084BE9" w:rsidP="00506E02">
            <w:pPr>
              <w:pStyle w:val="Tablebodytextnospaceafter"/>
              <w:jc w:val="right"/>
              <w:rPr>
                <w:rStyle w:val="EmphasisItalics"/>
              </w:rPr>
            </w:pPr>
            <w:r>
              <w:rPr>
                <w:rStyle w:val="EmphasisItalics"/>
              </w:rPr>
              <w:t>354</w:t>
            </w:r>
          </w:p>
        </w:tc>
        <w:tc>
          <w:tcPr>
            <w:tcW w:w="1512" w:type="dxa"/>
          </w:tcPr>
          <w:p w14:paraId="55303D39" w14:textId="77777777" w:rsidR="00084BE9" w:rsidRDefault="00DC25BB" w:rsidP="00506E02">
            <w:pPr>
              <w:pStyle w:val="Tablebodytextnospaceafter"/>
              <w:jc w:val="right"/>
              <w:rPr>
                <w:rStyle w:val="EmphasisItalics"/>
              </w:rPr>
            </w:pPr>
            <w:r>
              <w:rPr>
                <w:rStyle w:val="EmphasisItalics"/>
              </w:rPr>
              <w:t>500</w:t>
            </w:r>
          </w:p>
        </w:tc>
      </w:tr>
      <w:tr w:rsidR="00084BE9" w14:paraId="7BE0E08F"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27" w:type="dxa"/>
            <w:shd w:val="clear" w:color="auto" w:fill="BFBFBF"/>
          </w:tcPr>
          <w:p w14:paraId="20F8AD6C" w14:textId="77777777" w:rsidR="00084BE9" w:rsidRPr="00A568D9" w:rsidRDefault="00084BE9" w:rsidP="00506E02">
            <w:pPr>
              <w:pStyle w:val="Tablebodytextnospaceafter"/>
              <w:rPr>
                <w:rStyle w:val="Emphasis"/>
              </w:rPr>
            </w:pPr>
            <w:r w:rsidRPr="00A568D9">
              <w:rPr>
                <w:rStyle w:val="Emphasis"/>
              </w:rPr>
              <w:t>Total</w:t>
            </w:r>
          </w:p>
        </w:tc>
        <w:tc>
          <w:tcPr>
            <w:tcW w:w="1512" w:type="dxa"/>
            <w:shd w:val="clear" w:color="auto" w:fill="BFBFBF"/>
          </w:tcPr>
          <w:p w14:paraId="7F21D076" w14:textId="77777777" w:rsidR="00084BE9" w:rsidRPr="00A568D9" w:rsidRDefault="00084BE9" w:rsidP="00506E02">
            <w:pPr>
              <w:pStyle w:val="Tablebodytextnospaceafter"/>
              <w:jc w:val="right"/>
              <w:rPr>
                <w:rStyle w:val="Emphasis"/>
              </w:rPr>
            </w:pPr>
            <w:r>
              <w:rPr>
                <w:rStyle w:val="Emphasis"/>
              </w:rPr>
              <w:t>2,709</w:t>
            </w:r>
          </w:p>
        </w:tc>
        <w:tc>
          <w:tcPr>
            <w:tcW w:w="1512" w:type="dxa"/>
            <w:shd w:val="clear" w:color="auto" w:fill="BFBFBF"/>
          </w:tcPr>
          <w:p w14:paraId="4F4742F7" w14:textId="77777777" w:rsidR="00084BE9" w:rsidRDefault="003D0AC3" w:rsidP="00DC25BB">
            <w:pPr>
              <w:pStyle w:val="Tablebodytextnospaceafter"/>
              <w:jc w:val="right"/>
              <w:rPr>
                <w:rStyle w:val="Emphasis"/>
              </w:rPr>
            </w:pPr>
            <w:r>
              <w:rPr>
                <w:rStyle w:val="Emphasis"/>
              </w:rPr>
              <w:t>3,16</w:t>
            </w:r>
            <w:r w:rsidR="00DC25BB">
              <w:rPr>
                <w:rStyle w:val="Emphasis"/>
              </w:rPr>
              <w:t>5</w:t>
            </w:r>
          </w:p>
        </w:tc>
      </w:tr>
    </w:tbl>
    <w:p w14:paraId="7D13BE30" w14:textId="15F52D85" w:rsidR="00DF1795" w:rsidRDefault="005B795D" w:rsidP="00DF1795">
      <w:hyperlink w:anchor="Contents" w:history="1">
        <w:r w:rsidR="00DF1795" w:rsidRPr="00F5248A">
          <w:rPr>
            <w:rStyle w:val="Hyperlink"/>
          </w:rPr>
          <w:t>Back to contents</w:t>
        </w:r>
      </w:hyperlink>
      <w:r w:rsidR="00DF1795">
        <w:t>.</w:t>
      </w:r>
    </w:p>
    <w:p w14:paraId="79743B88" w14:textId="77777777" w:rsidR="00F15F11" w:rsidRDefault="00F15F11" w:rsidP="00DF1795"/>
    <w:tbl>
      <w:tblPr>
        <w:tblStyle w:val="TableGridAnnualReport"/>
        <w:tblW w:w="9356" w:type="dxa"/>
        <w:tblInd w:w="-10" w:type="dxa"/>
        <w:tblLayout w:type="fixed"/>
        <w:tblLook w:val="0420" w:firstRow="1" w:lastRow="0" w:firstColumn="0" w:lastColumn="0" w:noHBand="0" w:noVBand="1"/>
        <w:tblCaption w:val="Table for formatting purposes"/>
      </w:tblPr>
      <w:tblGrid>
        <w:gridCol w:w="6237"/>
        <w:gridCol w:w="1560"/>
        <w:gridCol w:w="1559"/>
      </w:tblGrid>
      <w:tr w:rsidR="00A33CAE" w14:paraId="7B5A10BD" w14:textId="77777777" w:rsidTr="00222C74">
        <w:trPr>
          <w:cnfStyle w:val="100000000000" w:firstRow="1" w:lastRow="0" w:firstColumn="0" w:lastColumn="0" w:oddVBand="0" w:evenVBand="0" w:oddHBand="0" w:evenHBand="0" w:firstRowFirstColumn="0" w:firstRowLastColumn="0" w:lastRowFirstColumn="0" w:lastRowLastColumn="0"/>
          <w:trHeight w:val="556"/>
        </w:trPr>
        <w:tc>
          <w:tcPr>
            <w:tcW w:w="6237" w:type="dxa"/>
          </w:tcPr>
          <w:p w14:paraId="7B1CD999" w14:textId="59A675E0" w:rsidR="00A33CAE" w:rsidRPr="00505090" w:rsidRDefault="001C7062" w:rsidP="00F15F11">
            <w:pPr>
              <w:pStyle w:val="Tableheadingrow1"/>
            </w:pPr>
            <w:r>
              <w:t xml:space="preserve">10. </w:t>
            </w:r>
            <w:r w:rsidR="00A33CAE" w:rsidRPr="00505090">
              <w:t>Nature of deficiency identified where final opinion formed on OA complaints</w:t>
            </w:r>
          </w:p>
        </w:tc>
        <w:tc>
          <w:tcPr>
            <w:tcW w:w="1560" w:type="dxa"/>
          </w:tcPr>
          <w:p w14:paraId="1CD4B2E7" w14:textId="77777777" w:rsidR="00A33CAE" w:rsidRDefault="00A33CAE" w:rsidP="00506E02">
            <w:pPr>
              <w:pStyle w:val="Tableheadingrow1"/>
              <w:jc w:val="right"/>
            </w:pPr>
            <w:r>
              <w:t>2018/19</w:t>
            </w:r>
          </w:p>
        </w:tc>
        <w:tc>
          <w:tcPr>
            <w:tcW w:w="1559" w:type="dxa"/>
          </w:tcPr>
          <w:p w14:paraId="26E0062F" w14:textId="77777777" w:rsidR="00A33CAE" w:rsidRDefault="00A33CAE" w:rsidP="00506E02">
            <w:pPr>
              <w:pStyle w:val="Tableheadingrow1"/>
              <w:jc w:val="right"/>
            </w:pPr>
            <w:r>
              <w:t>2019/20</w:t>
            </w:r>
          </w:p>
        </w:tc>
      </w:tr>
      <w:tr w:rsidR="005F7C9F" w:rsidRPr="00F15F11" w14:paraId="602029D8" w14:textId="77777777" w:rsidTr="00222C74">
        <w:trPr>
          <w:cnfStyle w:val="000000100000" w:firstRow="0" w:lastRow="0" w:firstColumn="0" w:lastColumn="0" w:oddVBand="0" w:evenVBand="0" w:oddHBand="1" w:evenHBand="0" w:firstRowFirstColumn="0" w:firstRowLastColumn="0" w:lastRowFirstColumn="0" w:lastRowLastColumn="0"/>
          <w:trHeight w:val="165"/>
        </w:trPr>
        <w:tc>
          <w:tcPr>
            <w:tcW w:w="6237" w:type="dxa"/>
            <w:shd w:val="clear" w:color="auto" w:fill="BFBFBF"/>
          </w:tcPr>
          <w:p w14:paraId="74332999" w14:textId="77777777" w:rsidR="005F7C9F" w:rsidRPr="005F7C9F" w:rsidRDefault="005F7C9F" w:rsidP="00E11C09">
            <w:pPr>
              <w:pStyle w:val="Tablesinglespacedparagraph"/>
              <w:tabs>
                <w:tab w:val="left" w:pos="4608"/>
              </w:tabs>
              <w:rPr>
                <w:rStyle w:val="Emphasis"/>
                <w:highlight w:val="yellow"/>
              </w:rPr>
            </w:pPr>
            <w:r w:rsidRPr="00222C74">
              <w:rPr>
                <w:rStyle w:val="Emphasis"/>
              </w:rPr>
              <w:t>Administrative deficiency in an individual case</w:t>
            </w:r>
          </w:p>
        </w:tc>
        <w:tc>
          <w:tcPr>
            <w:tcW w:w="1560" w:type="dxa"/>
            <w:shd w:val="clear" w:color="auto" w:fill="BFBFBF"/>
          </w:tcPr>
          <w:p w14:paraId="69CFD388" w14:textId="77777777" w:rsidR="005F7C9F" w:rsidRPr="005F7C9F" w:rsidRDefault="005F7C9F" w:rsidP="00E11C09">
            <w:pPr>
              <w:pStyle w:val="Tablesinglespacedparagraph"/>
              <w:tabs>
                <w:tab w:val="left" w:pos="4608"/>
              </w:tabs>
              <w:rPr>
                <w:rStyle w:val="Emphasis"/>
                <w:highlight w:val="yellow"/>
              </w:rPr>
            </w:pPr>
          </w:p>
        </w:tc>
        <w:tc>
          <w:tcPr>
            <w:tcW w:w="1559" w:type="dxa"/>
            <w:shd w:val="clear" w:color="auto" w:fill="BFBFBF"/>
          </w:tcPr>
          <w:p w14:paraId="4941106E" w14:textId="1067ABB6" w:rsidR="005F7C9F" w:rsidRPr="005F7C9F" w:rsidRDefault="005F7C9F" w:rsidP="00222C74">
            <w:pPr>
              <w:pStyle w:val="Tablesinglespacedparagraph"/>
              <w:tabs>
                <w:tab w:val="left" w:pos="4608"/>
              </w:tabs>
              <w:rPr>
                <w:rStyle w:val="Emphasis"/>
                <w:highlight w:val="yellow"/>
              </w:rPr>
            </w:pPr>
          </w:p>
        </w:tc>
      </w:tr>
      <w:tr w:rsidR="003F3E63" w14:paraId="47D613FD" w14:textId="77777777" w:rsidTr="00222C74">
        <w:trPr>
          <w:cnfStyle w:val="000000010000" w:firstRow="0" w:lastRow="0" w:firstColumn="0" w:lastColumn="0" w:oddVBand="0" w:evenVBand="0" w:oddHBand="0" w:evenHBand="1" w:firstRowFirstColumn="0" w:firstRowLastColumn="0" w:lastRowFirstColumn="0" w:lastRowLastColumn="0"/>
          <w:trHeight w:val="283"/>
        </w:trPr>
        <w:tc>
          <w:tcPr>
            <w:tcW w:w="6237" w:type="dxa"/>
          </w:tcPr>
          <w:p w14:paraId="4CF23429" w14:textId="77777777" w:rsidR="003F3E63" w:rsidRPr="00BE4BB3" w:rsidRDefault="003F3E63" w:rsidP="00D44245">
            <w:pPr>
              <w:pStyle w:val="Tablesinglespacedparagraph"/>
            </w:pPr>
            <w:r w:rsidRPr="00BE4BB3">
              <w:rPr>
                <w:rFonts w:eastAsia="Calibri"/>
              </w:rPr>
              <w:t>Unreasonable, unjust, oppressive or discriminatory act, omission or decision</w:t>
            </w:r>
          </w:p>
        </w:tc>
        <w:tc>
          <w:tcPr>
            <w:tcW w:w="1560" w:type="dxa"/>
          </w:tcPr>
          <w:p w14:paraId="02C7E9EE" w14:textId="77777777" w:rsidR="003F3E63" w:rsidRDefault="003F3E63" w:rsidP="00D44245">
            <w:pPr>
              <w:pStyle w:val="Tablesinglespacedparagraph"/>
              <w:jc w:val="right"/>
            </w:pPr>
            <w:r>
              <w:t>7</w:t>
            </w:r>
          </w:p>
        </w:tc>
        <w:tc>
          <w:tcPr>
            <w:tcW w:w="1559" w:type="dxa"/>
          </w:tcPr>
          <w:p w14:paraId="4A660B8E" w14:textId="77777777" w:rsidR="003F3E63" w:rsidRDefault="003F3E63" w:rsidP="00D44245">
            <w:pPr>
              <w:pStyle w:val="Tablesinglespacedparagraph"/>
              <w:jc w:val="right"/>
            </w:pPr>
            <w:r>
              <w:t>35</w:t>
            </w:r>
          </w:p>
        </w:tc>
      </w:tr>
      <w:tr w:rsidR="00D16FB5" w14:paraId="118EE96D" w14:textId="77777777" w:rsidTr="00222C74">
        <w:trPr>
          <w:cnfStyle w:val="000000100000" w:firstRow="0" w:lastRow="0" w:firstColumn="0" w:lastColumn="0" w:oddVBand="0" w:evenVBand="0" w:oddHBand="1" w:evenHBand="0" w:firstRowFirstColumn="0" w:firstRowLastColumn="0" w:lastRowFirstColumn="0" w:lastRowLastColumn="0"/>
          <w:trHeight w:val="283"/>
        </w:trPr>
        <w:tc>
          <w:tcPr>
            <w:tcW w:w="6237" w:type="dxa"/>
          </w:tcPr>
          <w:p w14:paraId="7AC9B3BD" w14:textId="77777777" w:rsidR="00D16FB5" w:rsidRPr="00BE4BB3" w:rsidRDefault="00D16FB5" w:rsidP="001F2F9A">
            <w:pPr>
              <w:pStyle w:val="Tablesinglespacedparagraph"/>
            </w:pPr>
            <w:r w:rsidRPr="00BE4BB3">
              <w:rPr>
                <w:rFonts w:eastAsia="Calibri"/>
              </w:rPr>
              <w:t>Procedural deficiency</w:t>
            </w:r>
          </w:p>
        </w:tc>
        <w:tc>
          <w:tcPr>
            <w:tcW w:w="1560" w:type="dxa"/>
          </w:tcPr>
          <w:p w14:paraId="270149E8" w14:textId="77777777" w:rsidR="00D16FB5" w:rsidRDefault="00D16FB5" w:rsidP="001F2F9A">
            <w:pPr>
              <w:pStyle w:val="Tablesinglespacedparagraph"/>
              <w:jc w:val="right"/>
            </w:pPr>
            <w:r>
              <w:t>5</w:t>
            </w:r>
          </w:p>
        </w:tc>
        <w:tc>
          <w:tcPr>
            <w:tcW w:w="1559" w:type="dxa"/>
          </w:tcPr>
          <w:p w14:paraId="777D00A6" w14:textId="77777777" w:rsidR="00D16FB5" w:rsidRDefault="00D16FB5" w:rsidP="001F2F9A">
            <w:pPr>
              <w:pStyle w:val="Tablesinglespacedparagraph"/>
              <w:jc w:val="right"/>
            </w:pPr>
            <w:r>
              <w:t>12</w:t>
            </w:r>
          </w:p>
        </w:tc>
      </w:tr>
      <w:tr w:rsidR="00D16FB5" w14:paraId="0EEAA426" w14:textId="77777777" w:rsidTr="00222C74">
        <w:trPr>
          <w:cnfStyle w:val="000000010000" w:firstRow="0" w:lastRow="0" w:firstColumn="0" w:lastColumn="0" w:oddVBand="0" w:evenVBand="0" w:oddHBand="0" w:evenHBand="1" w:firstRowFirstColumn="0" w:firstRowLastColumn="0" w:lastRowFirstColumn="0" w:lastRowLastColumn="0"/>
          <w:trHeight w:val="281"/>
        </w:trPr>
        <w:tc>
          <w:tcPr>
            <w:tcW w:w="6237" w:type="dxa"/>
          </w:tcPr>
          <w:p w14:paraId="329DBDA9" w14:textId="77777777" w:rsidR="00D16FB5" w:rsidRPr="00BE4BB3" w:rsidRDefault="00D16FB5" w:rsidP="001F2F9A">
            <w:pPr>
              <w:pStyle w:val="Tablesinglespacedparagraph"/>
              <w:rPr>
                <w:rFonts w:eastAsia="Calibri"/>
              </w:rPr>
            </w:pPr>
            <w:r w:rsidRPr="00BE4BB3">
              <w:rPr>
                <w:rFonts w:eastAsia="Calibri"/>
              </w:rPr>
              <w:t>Inadequate advice, explanation or reasons</w:t>
            </w:r>
          </w:p>
        </w:tc>
        <w:tc>
          <w:tcPr>
            <w:tcW w:w="1560" w:type="dxa"/>
          </w:tcPr>
          <w:p w14:paraId="6881C5AC" w14:textId="77777777" w:rsidR="00D16FB5" w:rsidRDefault="00D16FB5" w:rsidP="001F2F9A">
            <w:pPr>
              <w:pStyle w:val="Tablesinglespacedparagraph"/>
              <w:jc w:val="right"/>
            </w:pPr>
            <w:r>
              <w:t>5</w:t>
            </w:r>
          </w:p>
        </w:tc>
        <w:tc>
          <w:tcPr>
            <w:tcW w:w="1559" w:type="dxa"/>
          </w:tcPr>
          <w:p w14:paraId="55894A0C" w14:textId="77777777" w:rsidR="00D16FB5" w:rsidRDefault="00D16FB5" w:rsidP="001F2F9A">
            <w:pPr>
              <w:pStyle w:val="Tablesinglespacedparagraph"/>
              <w:jc w:val="right"/>
            </w:pPr>
            <w:r>
              <w:t>6</w:t>
            </w:r>
          </w:p>
        </w:tc>
      </w:tr>
      <w:tr w:rsidR="00D16FB5" w14:paraId="3AD3D20C" w14:textId="77777777" w:rsidTr="00222C74">
        <w:trPr>
          <w:cnfStyle w:val="000000100000" w:firstRow="0" w:lastRow="0" w:firstColumn="0" w:lastColumn="0" w:oddVBand="0" w:evenVBand="0" w:oddHBand="1" w:evenHBand="0" w:firstRowFirstColumn="0" w:firstRowLastColumn="0" w:lastRowFirstColumn="0" w:lastRowLastColumn="0"/>
          <w:trHeight w:val="312"/>
        </w:trPr>
        <w:tc>
          <w:tcPr>
            <w:tcW w:w="6237" w:type="dxa"/>
          </w:tcPr>
          <w:p w14:paraId="5AA80DF6" w14:textId="77777777" w:rsidR="00D16FB5" w:rsidRPr="00BE4BB3" w:rsidRDefault="00D16FB5" w:rsidP="001F2F9A">
            <w:pPr>
              <w:pStyle w:val="Tablesinglespacedparagraph"/>
            </w:pPr>
            <w:r w:rsidRPr="00BE4BB3">
              <w:rPr>
                <w:rFonts w:eastAsia="Calibri"/>
              </w:rPr>
              <w:t>Unreasonable delay</w:t>
            </w:r>
          </w:p>
        </w:tc>
        <w:tc>
          <w:tcPr>
            <w:tcW w:w="1560" w:type="dxa"/>
          </w:tcPr>
          <w:p w14:paraId="7C2C6D21" w14:textId="77777777" w:rsidR="00D16FB5" w:rsidRDefault="00D16FB5" w:rsidP="001F2F9A">
            <w:pPr>
              <w:pStyle w:val="Tablesinglespacedparagraph"/>
              <w:jc w:val="right"/>
            </w:pPr>
            <w:r>
              <w:t>-</w:t>
            </w:r>
          </w:p>
        </w:tc>
        <w:tc>
          <w:tcPr>
            <w:tcW w:w="1559" w:type="dxa"/>
          </w:tcPr>
          <w:p w14:paraId="4F63983A" w14:textId="77777777" w:rsidR="00D16FB5" w:rsidRDefault="00D16FB5" w:rsidP="001F2F9A">
            <w:pPr>
              <w:pStyle w:val="Tablesinglespacedparagraph"/>
              <w:jc w:val="right"/>
            </w:pPr>
            <w:r>
              <w:t>1</w:t>
            </w:r>
          </w:p>
        </w:tc>
      </w:tr>
      <w:tr w:rsidR="00D16FB5" w14:paraId="3F2EFE54" w14:textId="77777777" w:rsidTr="00222C74">
        <w:trPr>
          <w:cnfStyle w:val="000000010000" w:firstRow="0" w:lastRow="0" w:firstColumn="0" w:lastColumn="0" w:oddVBand="0" w:evenVBand="0" w:oddHBand="0" w:evenHBand="1" w:firstRowFirstColumn="0" w:firstRowLastColumn="0" w:lastRowFirstColumn="0" w:lastRowLastColumn="0"/>
          <w:trHeight w:val="283"/>
        </w:trPr>
        <w:tc>
          <w:tcPr>
            <w:tcW w:w="6237" w:type="dxa"/>
          </w:tcPr>
          <w:p w14:paraId="6B2DDC31" w14:textId="77777777" w:rsidR="00D16FB5" w:rsidRPr="00BE4BB3" w:rsidRDefault="00D16FB5" w:rsidP="001F2F9A">
            <w:pPr>
              <w:pStyle w:val="Tablesinglespacedparagraph"/>
            </w:pPr>
            <w:r w:rsidRPr="00BE4BB3">
              <w:rPr>
                <w:rFonts w:eastAsia="Calibri"/>
              </w:rPr>
              <w:t>Legal error</w:t>
            </w:r>
          </w:p>
        </w:tc>
        <w:tc>
          <w:tcPr>
            <w:tcW w:w="1560" w:type="dxa"/>
          </w:tcPr>
          <w:p w14:paraId="596528BA" w14:textId="77777777" w:rsidR="00D16FB5" w:rsidRDefault="00D16FB5" w:rsidP="001F2F9A">
            <w:pPr>
              <w:pStyle w:val="Tablesinglespacedparagraph"/>
              <w:jc w:val="right"/>
            </w:pPr>
            <w:r>
              <w:t>1</w:t>
            </w:r>
          </w:p>
        </w:tc>
        <w:tc>
          <w:tcPr>
            <w:tcW w:w="1559" w:type="dxa"/>
          </w:tcPr>
          <w:p w14:paraId="18D85B30" w14:textId="77777777" w:rsidR="00D16FB5" w:rsidRDefault="00D16FB5" w:rsidP="001F2F9A">
            <w:pPr>
              <w:pStyle w:val="Tablesinglespacedparagraph"/>
              <w:jc w:val="right"/>
            </w:pPr>
            <w:r>
              <w:t>-</w:t>
            </w:r>
          </w:p>
        </w:tc>
      </w:tr>
      <w:tr w:rsidR="00A33CAE" w14:paraId="15618708" w14:textId="77777777" w:rsidTr="00222C74">
        <w:trPr>
          <w:cnfStyle w:val="000000100000" w:firstRow="0" w:lastRow="0" w:firstColumn="0" w:lastColumn="0" w:oddVBand="0" w:evenVBand="0" w:oddHBand="1" w:evenHBand="0" w:firstRowFirstColumn="0" w:firstRowLastColumn="0" w:lastRowFirstColumn="0" w:lastRowLastColumn="0"/>
          <w:trHeight w:val="281"/>
        </w:trPr>
        <w:tc>
          <w:tcPr>
            <w:tcW w:w="6237" w:type="dxa"/>
          </w:tcPr>
          <w:p w14:paraId="08DFB7B5" w14:textId="77777777" w:rsidR="00A33CAE" w:rsidRPr="00BE4BB3" w:rsidRDefault="00A33CAE" w:rsidP="00506E02">
            <w:pPr>
              <w:pStyle w:val="Tablesinglespacedparagraph"/>
            </w:pPr>
            <w:r>
              <w:rPr>
                <w:rFonts w:eastAsia="Calibri"/>
              </w:rPr>
              <w:t>Wrong action or decision</w:t>
            </w:r>
          </w:p>
        </w:tc>
        <w:tc>
          <w:tcPr>
            <w:tcW w:w="1560" w:type="dxa"/>
          </w:tcPr>
          <w:p w14:paraId="09975068" w14:textId="77777777" w:rsidR="00A33CAE" w:rsidRDefault="00A33CAE" w:rsidP="00506E02">
            <w:pPr>
              <w:pStyle w:val="Tablesinglespacedparagraph"/>
              <w:jc w:val="right"/>
            </w:pPr>
            <w:r>
              <w:t>1</w:t>
            </w:r>
          </w:p>
        </w:tc>
        <w:tc>
          <w:tcPr>
            <w:tcW w:w="1559" w:type="dxa"/>
          </w:tcPr>
          <w:p w14:paraId="0CF45B5C" w14:textId="77777777" w:rsidR="00A33CAE" w:rsidRDefault="00A33CAE" w:rsidP="00506E02">
            <w:pPr>
              <w:pStyle w:val="Tablesinglespacedparagraph"/>
              <w:jc w:val="right"/>
            </w:pPr>
            <w:r>
              <w:t>-</w:t>
            </w:r>
          </w:p>
        </w:tc>
      </w:tr>
      <w:tr w:rsidR="007C7EAC" w:rsidRPr="00F15F11" w14:paraId="026D4F92" w14:textId="77777777" w:rsidTr="00222C74">
        <w:trPr>
          <w:cnfStyle w:val="000000010000" w:firstRow="0" w:lastRow="0" w:firstColumn="0" w:lastColumn="0" w:oddVBand="0" w:evenVBand="0" w:oddHBand="0" w:evenHBand="1" w:firstRowFirstColumn="0" w:firstRowLastColumn="0" w:lastRowFirstColumn="0" w:lastRowLastColumn="0"/>
          <w:trHeight w:val="281"/>
        </w:trPr>
        <w:tc>
          <w:tcPr>
            <w:tcW w:w="6237" w:type="dxa"/>
            <w:shd w:val="clear" w:color="auto" w:fill="BFBFBF"/>
          </w:tcPr>
          <w:p w14:paraId="7C50E798" w14:textId="77777777" w:rsidR="00E11C09" w:rsidRPr="00F15F11" w:rsidRDefault="00E11C09" w:rsidP="00F15F11">
            <w:pPr>
              <w:pStyle w:val="Tablesinglespacedparagraph"/>
              <w:rPr>
                <w:rStyle w:val="Emphasis"/>
              </w:rPr>
            </w:pPr>
            <w:r w:rsidRPr="00F15F11">
              <w:rPr>
                <w:rStyle w:val="Emphasis"/>
              </w:rPr>
              <w:t>Administrative deficiency in the agency or system of government</w:t>
            </w:r>
          </w:p>
        </w:tc>
        <w:tc>
          <w:tcPr>
            <w:tcW w:w="1560" w:type="dxa"/>
            <w:shd w:val="clear" w:color="auto" w:fill="BFBFBF"/>
          </w:tcPr>
          <w:p w14:paraId="46D1A4B6" w14:textId="77777777" w:rsidR="00E11C09" w:rsidRPr="00F15F11" w:rsidRDefault="00E11C09" w:rsidP="00F15F11">
            <w:pPr>
              <w:pStyle w:val="Tablesinglespacedparagraph"/>
              <w:rPr>
                <w:rStyle w:val="Emphasis"/>
              </w:rPr>
            </w:pPr>
          </w:p>
        </w:tc>
        <w:tc>
          <w:tcPr>
            <w:tcW w:w="1559" w:type="dxa"/>
            <w:shd w:val="clear" w:color="auto" w:fill="BFBFBF"/>
          </w:tcPr>
          <w:p w14:paraId="5985F0A2" w14:textId="2963FF96" w:rsidR="00E11C09" w:rsidRPr="00F15F11" w:rsidRDefault="00E11C09" w:rsidP="00F15F11">
            <w:pPr>
              <w:pStyle w:val="Tablesinglespacedparagraph"/>
              <w:rPr>
                <w:rStyle w:val="Emphasis"/>
              </w:rPr>
            </w:pPr>
          </w:p>
        </w:tc>
      </w:tr>
      <w:tr w:rsidR="007C7EAC" w14:paraId="3DB03FF7" w14:textId="77777777" w:rsidTr="00222C74">
        <w:trPr>
          <w:cnfStyle w:val="000000100000" w:firstRow="0" w:lastRow="0" w:firstColumn="0" w:lastColumn="0" w:oddVBand="0" w:evenVBand="0" w:oddHBand="1" w:evenHBand="0" w:firstRowFirstColumn="0" w:firstRowLastColumn="0" w:lastRowFirstColumn="0" w:lastRowLastColumn="0"/>
          <w:trHeight w:val="281"/>
        </w:trPr>
        <w:tc>
          <w:tcPr>
            <w:tcW w:w="6237" w:type="dxa"/>
          </w:tcPr>
          <w:p w14:paraId="369249EA" w14:textId="77777777" w:rsidR="00D16FB5" w:rsidRDefault="00D16FB5" w:rsidP="00506E02">
            <w:pPr>
              <w:pStyle w:val="Tablesinglespacedparagraph"/>
              <w:rPr>
                <w:rFonts w:eastAsia="Calibri"/>
              </w:rPr>
            </w:pPr>
            <w:r>
              <w:t>Flawed agency processes or systems</w:t>
            </w:r>
          </w:p>
        </w:tc>
        <w:tc>
          <w:tcPr>
            <w:tcW w:w="1560" w:type="dxa"/>
          </w:tcPr>
          <w:p w14:paraId="252A607E" w14:textId="77777777" w:rsidR="00D16FB5" w:rsidRDefault="00D16FB5" w:rsidP="00506E02">
            <w:pPr>
              <w:pStyle w:val="Tablesinglespacedparagraph"/>
              <w:jc w:val="right"/>
            </w:pPr>
            <w:r>
              <w:t>6</w:t>
            </w:r>
          </w:p>
        </w:tc>
        <w:tc>
          <w:tcPr>
            <w:tcW w:w="1559" w:type="dxa"/>
          </w:tcPr>
          <w:p w14:paraId="65C47B04" w14:textId="77777777" w:rsidR="00D16FB5" w:rsidRDefault="00D16FB5" w:rsidP="00506E02">
            <w:pPr>
              <w:pStyle w:val="Tablesinglespacedparagraph"/>
              <w:jc w:val="right"/>
            </w:pPr>
            <w:r>
              <w:t>9</w:t>
            </w:r>
          </w:p>
        </w:tc>
      </w:tr>
      <w:tr w:rsidR="007C7EAC" w14:paraId="1299A10E" w14:textId="77777777" w:rsidTr="00222C74">
        <w:trPr>
          <w:cnfStyle w:val="000000010000" w:firstRow="0" w:lastRow="0" w:firstColumn="0" w:lastColumn="0" w:oddVBand="0" w:evenVBand="0" w:oddHBand="0" w:evenHBand="1" w:firstRowFirstColumn="0" w:firstRowLastColumn="0" w:lastRowFirstColumn="0" w:lastRowLastColumn="0"/>
          <w:trHeight w:val="281"/>
        </w:trPr>
        <w:tc>
          <w:tcPr>
            <w:tcW w:w="6237" w:type="dxa"/>
          </w:tcPr>
          <w:p w14:paraId="2D92B5B5" w14:textId="6204EDA3" w:rsidR="00D16FB5" w:rsidRDefault="00D16FB5" w:rsidP="00D13E44">
            <w:pPr>
              <w:pStyle w:val="Tablesinglespacedparagraph"/>
              <w:rPr>
                <w:rFonts w:eastAsia="Calibri"/>
              </w:rPr>
            </w:pPr>
            <w:r>
              <w:rPr>
                <w:rFonts w:eastAsia="Calibri"/>
              </w:rPr>
              <w:t>Government or agency policy</w:t>
            </w:r>
            <w:r w:rsidR="00D13E44">
              <w:rPr>
                <w:rFonts w:eastAsia="Calibri"/>
              </w:rPr>
              <w:t xml:space="preserve"> - </w:t>
            </w:r>
            <w:r>
              <w:rPr>
                <w:rFonts w:eastAsia="Calibri"/>
              </w:rPr>
              <w:t>unreasonable or harsh impact</w:t>
            </w:r>
          </w:p>
        </w:tc>
        <w:tc>
          <w:tcPr>
            <w:tcW w:w="1560" w:type="dxa"/>
          </w:tcPr>
          <w:p w14:paraId="7051A576" w14:textId="77777777" w:rsidR="00D16FB5" w:rsidRDefault="00D16FB5" w:rsidP="001F2F9A">
            <w:pPr>
              <w:pStyle w:val="Tablesinglespacedparagraph"/>
              <w:jc w:val="right"/>
            </w:pPr>
            <w:r>
              <w:t>-</w:t>
            </w:r>
          </w:p>
        </w:tc>
        <w:tc>
          <w:tcPr>
            <w:tcW w:w="1559" w:type="dxa"/>
          </w:tcPr>
          <w:p w14:paraId="07458F5D" w14:textId="77777777" w:rsidR="00D16FB5" w:rsidRDefault="00D16FB5" w:rsidP="001F2F9A">
            <w:pPr>
              <w:pStyle w:val="Tablesinglespacedparagraph"/>
              <w:jc w:val="right"/>
            </w:pPr>
            <w:r>
              <w:t>2</w:t>
            </w:r>
          </w:p>
        </w:tc>
      </w:tr>
    </w:tbl>
    <w:p w14:paraId="2AC44764" w14:textId="79E0164A" w:rsidR="00B859BB" w:rsidRDefault="005B795D" w:rsidP="00B859BB">
      <w:pPr>
        <w:pStyle w:val="BodyText"/>
        <w:rPr>
          <w:rStyle w:val="Hyperlink"/>
        </w:rPr>
      </w:pPr>
      <w:hyperlink w:anchor="Contents" w:history="1">
        <w:r w:rsidR="00B859BB" w:rsidRPr="00F5248A">
          <w:rPr>
            <w:rStyle w:val="Hyperlink"/>
          </w:rPr>
          <w:t>Back to contents</w:t>
        </w:r>
      </w:hyperlink>
    </w:p>
    <w:p w14:paraId="46F38EBC" w14:textId="77777777" w:rsidR="00F15F11" w:rsidRDefault="00F15F11" w:rsidP="00B859BB">
      <w:pPr>
        <w:pStyle w:val="BodyText"/>
      </w:pPr>
    </w:p>
    <w:tbl>
      <w:tblPr>
        <w:tblStyle w:val="TableGridAnnualReport"/>
        <w:tblW w:w="9356" w:type="dxa"/>
        <w:tblInd w:w="-10" w:type="dxa"/>
        <w:tblLayout w:type="fixed"/>
        <w:tblLook w:val="0420" w:firstRow="1" w:lastRow="0" w:firstColumn="0" w:lastColumn="0" w:noHBand="0" w:noVBand="1"/>
        <w:tblCaption w:val="Nature of remedy obtained for OA complaints – Individual benefit"/>
      </w:tblPr>
      <w:tblGrid>
        <w:gridCol w:w="6237"/>
        <w:gridCol w:w="1701"/>
        <w:gridCol w:w="1418"/>
      </w:tblGrid>
      <w:tr w:rsidR="00A33CAE" w14:paraId="77643B07" w14:textId="77777777" w:rsidTr="00222C74">
        <w:trPr>
          <w:cnfStyle w:val="100000000000" w:firstRow="1" w:lastRow="0" w:firstColumn="0" w:lastColumn="0" w:oddVBand="0" w:evenVBand="0" w:oddHBand="0" w:evenHBand="0" w:firstRowFirstColumn="0" w:firstRowLastColumn="0" w:lastRowFirstColumn="0" w:lastRowLastColumn="0"/>
          <w:trHeight w:val="406"/>
        </w:trPr>
        <w:tc>
          <w:tcPr>
            <w:tcW w:w="6237" w:type="dxa"/>
          </w:tcPr>
          <w:p w14:paraId="08B7A01C" w14:textId="77777777" w:rsidR="00A33CAE" w:rsidRPr="00BE4BB3" w:rsidRDefault="001C7062" w:rsidP="00F15F11">
            <w:pPr>
              <w:pStyle w:val="Tableheadingrow1"/>
            </w:pPr>
            <w:r>
              <w:t>1</w:t>
            </w:r>
            <w:r w:rsidR="00F15F11">
              <w:t>1</w:t>
            </w:r>
            <w:r>
              <w:t xml:space="preserve">. </w:t>
            </w:r>
            <w:r w:rsidR="00A33CAE" w:rsidRPr="00BE4BB3">
              <w:t>Nature of remedy obtained for OA complaints</w:t>
            </w:r>
            <w:r w:rsidR="00F15F11">
              <w:t xml:space="preserve"> </w:t>
            </w:r>
          </w:p>
        </w:tc>
        <w:tc>
          <w:tcPr>
            <w:tcW w:w="1701" w:type="dxa"/>
          </w:tcPr>
          <w:p w14:paraId="07861589" w14:textId="77777777" w:rsidR="00A33CAE" w:rsidRDefault="00A33CAE" w:rsidP="00506E02">
            <w:pPr>
              <w:pStyle w:val="Tableheadingrow1"/>
              <w:jc w:val="right"/>
            </w:pPr>
            <w:r>
              <w:t>2018/19</w:t>
            </w:r>
          </w:p>
        </w:tc>
        <w:tc>
          <w:tcPr>
            <w:tcW w:w="1418" w:type="dxa"/>
          </w:tcPr>
          <w:p w14:paraId="3DF4E78F" w14:textId="77777777" w:rsidR="00A33CAE" w:rsidRDefault="00A33CAE" w:rsidP="00506E02">
            <w:pPr>
              <w:pStyle w:val="Tableheadingrow1"/>
              <w:jc w:val="right"/>
            </w:pPr>
            <w:r>
              <w:t>2019/20</w:t>
            </w:r>
          </w:p>
        </w:tc>
      </w:tr>
      <w:tr w:rsidR="00E11C09" w:rsidRPr="00F15F11" w14:paraId="45F70F73" w14:textId="77777777" w:rsidTr="00222C74">
        <w:trPr>
          <w:cnfStyle w:val="000000100000" w:firstRow="0" w:lastRow="0" w:firstColumn="0" w:lastColumn="0" w:oddVBand="0" w:evenVBand="0" w:oddHBand="1" w:evenHBand="0" w:firstRowFirstColumn="0" w:firstRowLastColumn="0" w:lastRowFirstColumn="0" w:lastRowLastColumn="0"/>
          <w:trHeight w:val="283"/>
        </w:trPr>
        <w:tc>
          <w:tcPr>
            <w:tcW w:w="6237" w:type="dxa"/>
            <w:shd w:val="clear" w:color="auto" w:fill="BFBFBF"/>
          </w:tcPr>
          <w:p w14:paraId="2ADA01C5" w14:textId="77777777" w:rsidR="00E11C09" w:rsidRPr="00F15F11" w:rsidRDefault="00E11C09" w:rsidP="00F15F11">
            <w:pPr>
              <w:pStyle w:val="Tablesinglespacedparagraph"/>
              <w:rPr>
                <w:rStyle w:val="Emphasis"/>
              </w:rPr>
            </w:pPr>
            <w:r w:rsidRPr="00F15F11">
              <w:rPr>
                <w:rStyle w:val="Emphasis"/>
              </w:rPr>
              <w:t>Individual benefit</w:t>
            </w:r>
          </w:p>
        </w:tc>
        <w:tc>
          <w:tcPr>
            <w:tcW w:w="1701" w:type="dxa"/>
            <w:shd w:val="clear" w:color="auto" w:fill="BFBFBF"/>
          </w:tcPr>
          <w:p w14:paraId="08829F1D" w14:textId="77777777" w:rsidR="00E11C09" w:rsidRPr="00F15F11" w:rsidRDefault="00E11C09" w:rsidP="00F15F11">
            <w:pPr>
              <w:pStyle w:val="Tablesinglespacedparagraph"/>
              <w:rPr>
                <w:rStyle w:val="Emphasis"/>
              </w:rPr>
            </w:pPr>
          </w:p>
        </w:tc>
        <w:tc>
          <w:tcPr>
            <w:tcW w:w="1418" w:type="dxa"/>
            <w:shd w:val="clear" w:color="auto" w:fill="BFBFBF"/>
          </w:tcPr>
          <w:p w14:paraId="5B3972D4" w14:textId="40CA4586" w:rsidR="00E11C09" w:rsidRPr="00F15F11" w:rsidRDefault="00E11C09" w:rsidP="00F15F11">
            <w:pPr>
              <w:pStyle w:val="Tablesinglespacedparagraph"/>
              <w:rPr>
                <w:rStyle w:val="Emphasis"/>
              </w:rPr>
            </w:pPr>
          </w:p>
        </w:tc>
      </w:tr>
      <w:tr w:rsidR="00D16FB5" w14:paraId="7BBCAEF6" w14:textId="77777777" w:rsidTr="00222C74">
        <w:trPr>
          <w:cnfStyle w:val="000000010000" w:firstRow="0" w:lastRow="0" w:firstColumn="0" w:lastColumn="0" w:oddVBand="0" w:evenVBand="0" w:oddHBand="0" w:evenHBand="1" w:firstRowFirstColumn="0" w:firstRowLastColumn="0" w:lastRowFirstColumn="0" w:lastRowLastColumn="0"/>
          <w:trHeight w:val="283"/>
        </w:trPr>
        <w:tc>
          <w:tcPr>
            <w:tcW w:w="6237" w:type="dxa"/>
          </w:tcPr>
          <w:p w14:paraId="32187FDA" w14:textId="77777777" w:rsidR="00D16FB5" w:rsidRPr="00BE4BB3" w:rsidRDefault="00D16FB5" w:rsidP="001F2F9A">
            <w:pPr>
              <w:pStyle w:val="Tablesinglespacedparagraph"/>
            </w:pPr>
            <w:r w:rsidRPr="00BE4BB3">
              <w:rPr>
                <w:rFonts w:eastAsia="Calibri"/>
              </w:rPr>
              <w:t>Decision to be reconsidered</w:t>
            </w:r>
          </w:p>
        </w:tc>
        <w:tc>
          <w:tcPr>
            <w:tcW w:w="1701" w:type="dxa"/>
          </w:tcPr>
          <w:p w14:paraId="70ED9633" w14:textId="77777777" w:rsidR="00D16FB5" w:rsidRDefault="00D16FB5" w:rsidP="001F2F9A">
            <w:pPr>
              <w:pStyle w:val="Tablesinglespacedparagraph"/>
              <w:jc w:val="right"/>
            </w:pPr>
            <w:r>
              <w:t>22</w:t>
            </w:r>
          </w:p>
        </w:tc>
        <w:tc>
          <w:tcPr>
            <w:tcW w:w="1418" w:type="dxa"/>
          </w:tcPr>
          <w:p w14:paraId="65A811B8" w14:textId="77777777" w:rsidR="00D16FB5" w:rsidRDefault="00D16FB5" w:rsidP="001F2F9A">
            <w:pPr>
              <w:pStyle w:val="Tablesinglespacedparagraph"/>
              <w:jc w:val="right"/>
            </w:pPr>
            <w:r>
              <w:t>56</w:t>
            </w:r>
          </w:p>
        </w:tc>
      </w:tr>
      <w:tr w:rsidR="00D16FB5" w14:paraId="337EF025" w14:textId="77777777" w:rsidTr="00222C74">
        <w:trPr>
          <w:cnfStyle w:val="000000100000" w:firstRow="0" w:lastRow="0" w:firstColumn="0" w:lastColumn="0" w:oddVBand="0" w:evenVBand="0" w:oddHBand="1" w:evenHBand="0" w:firstRowFirstColumn="0" w:firstRowLastColumn="0" w:lastRowFirstColumn="0" w:lastRowLastColumn="0"/>
          <w:trHeight w:val="283"/>
        </w:trPr>
        <w:tc>
          <w:tcPr>
            <w:tcW w:w="6237" w:type="dxa"/>
          </w:tcPr>
          <w:p w14:paraId="1090FB85" w14:textId="77777777" w:rsidR="00D16FB5" w:rsidRPr="00BE4BB3" w:rsidRDefault="00D16FB5" w:rsidP="00506E02">
            <w:pPr>
              <w:pStyle w:val="Tablesinglespacedparagraph"/>
              <w:rPr>
                <w:rFonts w:eastAsia="Calibri"/>
              </w:rPr>
            </w:pPr>
            <w:r w:rsidRPr="00BE4BB3">
              <w:rPr>
                <w:rFonts w:eastAsia="Calibri"/>
              </w:rPr>
              <w:t>Decision changed</w:t>
            </w:r>
          </w:p>
        </w:tc>
        <w:tc>
          <w:tcPr>
            <w:tcW w:w="1701" w:type="dxa"/>
          </w:tcPr>
          <w:p w14:paraId="250DE360" w14:textId="77777777" w:rsidR="00D16FB5" w:rsidRDefault="00D16FB5" w:rsidP="00506E02">
            <w:pPr>
              <w:pStyle w:val="Tablesinglespacedparagraph"/>
              <w:jc w:val="right"/>
            </w:pPr>
            <w:r>
              <w:t>25</w:t>
            </w:r>
          </w:p>
        </w:tc>
        <w:tc>
          <w:tcPr>
            <w:tcW w:w="1418" w:type="dxa"/>
          </w:tcPr>
          <w:p w14:paraId="20D8AD59" w14:textId="77777777" w:rsidR="00D16FB5" w:rsidRDefault="00D16FB5" w:rsidP="00506E02">
            <w:pPr>
              <w:pStyle w:val="Tablesinglespacedparagraph"/>
              <w:jc w:val="right"/>
            </w:pPr>
            <w:r>
              <w:t>49</w:t>
            </w:r>
          </w:p>
        </w:tc>
      </w:tr>
      <w:tr w:rsidR="00D16FB5" w14:paraId="7D62825F" w14:textId="77777777" w:rsidTr="00222C74">
        <w:trPr>
          <w:cnfStyle w:val="000000010000" w:firstRow="0" w:lastRow="0" w:firstColumn="0" w:lastColumn="0" w:oddVBand="0" w:evenVBand="0" w:oddHBand="0" w:evenHBand="1" w:firstRowFirstColumn="0" w:firstRowLastColumn="0" w:lastRowFirstColumn="0" w:lastRowLastColumn="0"/>
          <w:trHeight w:val="283"/>
        </w:trPr>
        <w:tc>
          <w:tcPr>
            <w:tcW w:w="6237" w:type="dxa"/>
          </w:tcPr>
          <w:p w14:paraId="27CF99DA" w14:textId="77777777" w:rsidR="00D16FB5" w:rsidRPr="00BE4BB3" w:rsidRDefault="00D16FB5" w:rsidP="00506E02">
            <w:pPr>
              <w:pStyle w:val="Tablesinglespacedparagraph"/>
            </w:pPr>
            <w:r w:rsidRPr="00BE4BB3">
              <w:rPr>
                <w:rFonts w:eastAsia="Calibri"/>
              </w:rPr>
              <w:t>Omission rectified</w:t>
            </w:r>
          </w:p>
        </w:tc>
        <w:tc>
          <w:tcPr>
            <w:tcW w:w="1701" w:type="dxa"/>
          </w:tcPr>
          <w:p w14:paraId="624E14F0" w14:textId="77777777" w:rsidR="00D16FB5" w:rsidRDefault="00D16FB5" w:rsidP="00506E02">
            <w:pPr>
              <w:pStyle w:val="Tablesinglespacedparagraph"/>
              <w:jc w:val="right"/>
            </w:pPr>
            <w:r>
              <w:t>35</w:t>
            </w:r>
          </w:p>
        </w:tc>
        <w:tc>
          <w:tcPr>
            <w:tcW w:w="1418" w:type="dxa"/>
          </w:tcPr>
          <w:p w14:paraId="688625BC" w14:textId="77777777" w:rsidR="00D16FB5" w:rsidRDefault="00D16FB5" w:rsidP="00506E02">
            <w:pPr>
              <w:pStyle w:val="Tablesinglespacedparagraph"/>
              <w:jc w:val="right"/>
            </w:pPr>
            <w:r>
              <w:t>47</w:t>
            </w:r>
          </w:p>
        </w:tc>
      </w:tr>
      <w:tr w:rsidR="00D16FB5" w14:paraId="3BC4D89F" w14:textId="77777777" w:rsidTr="00222C74">
        <w:trPr>
          <w:cnfStyle w:val="000000100000" w:firstRow="0" w:lastRow="0" w:firstColumn="0" w:lastColumn="0" w:oddVBand="0" w:evenVBand="0" w:oddHBand="1" w:evenHBand="0" w:firstRowFirstColumn="0" w:firstRowLastColumn="0" w:lastRowFirstColumn="0" w:lastRowLastColumn="0"/>
          <w:trHeight w:val="283"/>
        </w:trPr>
        <w:tc>
          <w:tcPr>
            <w:tcW w:w="6237" w:type="dxa"/>
          </w:tcPr>
          <w:p w14:paraId="473077FD" w14:textId="77777777" w:rsidR="00D16FB5" w:rsidRPr="00BE4BB3" w:rsidRDefault="00D16FB5" w:rsidP="00506E02">
            <w:pPr>
              <w:pStyle w:val="Tablesinglespacedparagraph"/>
            </w:pPr>
            <w:r w:rsidRPr="00BE4BB3">
              <w:rPr>
                <w:rFonts w:eastAsia="Calibri"/>
              </w:rPr>
              <w:t>Apology</w:t>
            </w:r>
          </w:p>
        </w:tc>
        <w:tc>
          <w:tcPr>
            <w:tcW w:w="1701" w:type="dxa"/>
          </w:tcPr>
          <w:p w14:paraId="2977F9F5" w14:textId="77777777" w:rsidR="00D16FB5" w:rsidRDefault="00D16FB5" w:rsidP="00506E02">
            <w:pPr>
              <w:pStyle w:val="Tablesinglespacedparagraph"/>
              <w:jc w:val="right"/>
            </w:pPr>
            <w:r>
              <w:t>10</w:t>
            </w:r>
          </w:p>
        </w:tc>
        <w:tc>
          <w:tcPr>
            <w:tcW w:w="1418" w:type="dxa"/>
          </w:tcPr>
          <w:p w14:paraId="7ABCE5B2" w14:textId="77777777" w:rsidR="00D16FB5" w:rsidRDefault="00D16FB5" w:rsidP="00506E02">
            <w:pPr>
              <w:pStyle w:val="Tablesinglespacedparagraph"/>
              <w:jc w:val="right"/>
            </w:pPr>
            <w:r>
              <w:t>33</w:t>
            </w:r>
          </w:p>
        </w:tc>
      </w:tr>
      <w:tr w:rsidR="00D16FB5" w14:paraId="4F632F50" w14:textId="77777777" w:rsidTr="00222C74">
        <w:trPr>
          <w:cnfStyle w:val="000000010000" w:firstRow="0" w:lastRow="0" w:firstColumn="0" w:lastColumn="0" w:oddVBand="0" w:evenVBand="0" w:oddHBand="0" w:evenHBand="1" w:firstRowFirstColumn="0" w:firstRowLastColumn="0" w:lastRowFirstColumn="0" w:lastRowLastColumn="0"/>
          <w:trHeight w:val="193"/>
        </w:trPr>
        <w:tc>
          <w:tcPr>
            <w:tcW w:w="6237" w:type="dxa"/>
          </w:tcPr>
          <w:p w14:paraId="09B72874" w14:textId="77777777" w:rsidR="00D16FB5" w:rsidRPr="00BE4BB3" w:rsidRDefault="00D16FB5" w:rsidP="001F2F9A">
            <w:pPr>
              <w:pStyle w:val="Tablesinglespacedparagraph"/>
            </w:pPr>
            <w:r w:rsidRPr="00BE4BB3">
              <w:rPr>
                <w:rFonts w:eastAsia="Calibri"/>
              </w:rPr>
              <w:t>Reasons/explanation given</w:t>
            </w:r>
          </w:p>
        </w:tc>
        <w:tc>
          <w:tcPr>
            <w:tcW w:w="1701" w:type="dxa"/>
          </w:tcPr>
          <w:p w14:paraId="529791B4" w14:textId="77777777" w:rsidR="00D16FB5" w:rsidRDefault="00D16FB5" w:rsidP="001F2F9A">
            <w:pPr>
              <w:pStyle w:val="Tablesinglespacedparagraph"/>
              <w:jc w:val="right"/>
            </w:pPr>
            <w:r>
              <w:t>26</w:t>
            </w:r>
          </w:p>
        </w:tc>
        <w:tc>
          <w:tcPr>
            <w:tcW w:w="1418" w:type="dxa"/>
          </w:tcPr>
          <w:p w14:paraId="1BBD7CA3" w14:textId="77777777" w:rsidR="00D16FB5" w:rsidRDefault="00D16FB5" w:rsidP="001F2F9A">
            <w:pPr>
              <w:pStyle w:val="Tablesinglespacedparagraph"/>
              <w:jc w:val="right"/>
            </w:pPr>
            <w:r>
              <w:t>26</w:t>
            </w:r>
          </w:p>
        </w:tc>
      </w:tr>
      <w:tr w:rsidR="00D16FB5" w14:paraId="45E4741E" w14:textId="77777777" w:rsidTr="00222C74">
        <w:trPr>
          <w:cnfStyle w:val="000000100000" w:firstRow="0" w:lastRow="0" w:firstColumn="0" w:lastColumn="0" w:oddVBand="0" w:evenVBand="0" w:oddHBand="1" w:evenHBand="0" w:firstRowFirstColumn="0" w:firstRowLastColumn="0" w:lastRowFirstColumn="0" w:lastRowLastColumn="0"/>
          <w:trHeight w:val="283"/>
        </w:trPr>
        <w:tc>
          <w:tcPr>
            <w:tcW w:w="6237" w:type="dxa"/>
          </w:tcPr>
          <w:p w14:paraId="2B1AEF73" w14:textId="77777777" w:rsidR="00D16FB5" w:rsidRPr="00736344" w:rsidRDefault="00D16FB5" w:rsidP="001F2F9A">
            <w:pPr>
              <w:pStyle w:val="Tablesinglespacedparagraph"/>
              <w:rPr>
                <w:rFonts w:eastAsia="Calibri"/>
              </w:rPr>
            </w:pPr>
            <w:r w:rsidRPr="00BE4BB3">
              <w:rPr>
                <w:rFonts w:eastAsia="Calibri"/>
              </w:rPr>
              <w:t>Financial remedy</w:t>
            </w:r>
          </w:p>
        </w:tc>
        <w:tc>
          <w:tcPr>
            <w:tcW w:w="1701" w:type="dxa"/>
          </w:tcPr>
          <w:p w14:paraId="4360CB05" w14:textId="77777777" w:rsidR="00D16FB5" w:rsidRDefault="00D16FB5" w:rsidP="001F2F9A">
            <w:pPr>
              <w:pStyle w:val="Tablesinglespacedparagraph"/>
              <w:jc w:val="right"/>
            </w:pPr>
            <w:r>
              <w:t>10</w:t>
            </w:r>
          </w:p>
        </w:tc>
        <w:tc>
          <w:tcPr>
            <w:tcW w:w="1418" w:type="dxa"/>
          </w:tcPr>
          <w:p w14:paraId="73595A27" w14:textId="77777777" w:rsidR="00D16FB5" w:rsidRDefault="00D16FB5" w:rsidP="001F2F9A">
            <w:pPr>
              <w:pStyle w:val="Tablesinglespacedparagraph"/>
              <w:jc w:val="right"/>
            </w:pPr>
            <w:r>
              <w:t>18</w:t>
            </w:r>
          </w:p>
        </w:tc>
      </w:tr>
      <w:tr w:rsidR="00E11C09" w:rsidRPr="00F15F11" w14:paraId="18A33AAE" w14:textId="77777777" w:rsidTr="00222C74">
        <w:trPr>
          <w:cnfStyle w:val="000000010000" w:firstRow="0" w:lastRow="0" w:firstColumn="0" w:lastColumn="0" w:oddVBand="0" w:evenVBand="0" w:oddHBand="0" w:evenHBand="1" w:firstRowFirstColumn="0" w:firstRowLastColumn="0" w:lastRowFirstColumn="0" w:lastRowLastColumn="0"/>
          <w:trHeight w:val="406"/>
        </w:trPr>
        <w:tc>
          <w:tcPr>
            <w:tcW w:w="6237" w:type="dxa"/>
            <w:shd w:val="clear" w:color="auto" w:fill="BFBFBF"/>
          </w:tcPr>
          <w:p w14:paraId="0B6CFE26" w14:textId="77777777" w:rsidR="00E11C09" w:rsidRPr="00F15F11" w:rsidRDefault="00E11C09" w:rsidP="00F15F11">
            <w:pPr>
              <w:pStyle w:val="Tablesinglespacedparagraph"/>
              <w:rPr>
                <w:rStyle w:val="Emphasis"/>
              </w:rPr>
            </w:pPr>
            <w:r w:rsidRPr="00F15F11">
              <w:rPr>
                <w:rStyle w:val="Emphasis"/>
              </w:rPr>
              <w:t>Public administration benefit</w:t>
            </w:r>
          </w:p>
        </w:tc>
        <w:tc>
          <w:tcPr>
            <w:tcW w:w="1701" w:type="dxa"/>
            <w:shd w:val="clear" w:color="auto" w:fill="BFBFBF"/>
          </w:tcPr>
          <w:p w14:paraId="6F5EC162" w14:textId="77777777" w:rsidR="00E11C09" w:rsidRPr="00F15F11" w:rsidRDefault="00E11C09" w:rsidP="00F15F11">
            <w:pPr>
              <w:pStyle w:val="Tablesinglespacedparagraph"/>
              <w:rPr>
                <w:rStyle w:val="Emphasis"/>
              </w:rPr>
            </w:pPr>
          </w:p>
        </w:tc>
        <w:tc>
          <w:tcPr>
            <w:tcW w:w="1418" w:type="dxa"/>
            <w:shd w:val="clear" w:color="auto" w:fill="BFBFBF"/>
          </w:tcPr>
          <w:p w14:paraId="684776BE" w14:textId="3C184DC9" w:rsidR="00E11C09" w:rsidRPr="00F15F11" w:rsidRDefault="00E11C09" w:rsidP="00F15F11">
            <w:pPr>
              <w:pStyle w:val="Tablesinglespacedparagraph"/>
              <w:rPr>
                <w:rStyle w:val="Emphasis"/>
              </w:rPr>
            </w:pPr>
          </w:p>
        </w:tc>
      </w:tr>
      <w:tr w:rsidR="00D16FB5" w14:paraId="0CA65377" w14:textId="77777777" w:rsidTr="00222C74">
        <w:trPr>
          <w:cnfStyle w:val="000000100000" w:firstRow="0" w:lastRow="0" w:firstColumn="0" w:lastColumn="0" w:oddVBand="0" w:evenVBand="0" w:oddHBand="1" w:evenHBand="0" w:firstRowFirstColumn="0" w:firstRowLastColumn="0" w:lastRowFirstColumn="0" w:lastRowLastColumn="0"/>
          <w:trHeight w:val="229"/>
        </w:trPr>
        <w:tc>
          <w:tcPr>
            <w:tcW w:w="6237" w:type="dxa"/>
          </w:tcPr>
          <w:p w14:paraId="490EEF04" w14:textId="77777777" w:rsidR="00D16FB5" w:rsidRPr="00BE4BB3" w:rsidRDefault="00D16FB5" w:rsidP="00506E02">
            <w:pPr>
              <w:pStyle w:val="Tablesinglespacedparagraph"/>
            </w:pPr>
            <w:r w:rsidRPr="00BE4BB3">
              <w:rPr>
                <w:rFonts w:eastAsia="Calibri"/>
              </w:rPr>
              <w:t>Change in practice/procedure</w:t>
            </w:r>
          </w:p>
        </w:tc>
        <w:tc>
          <w:tcPr>
            <w:tcW w:w="1701" w:type="dxa"/>
          </w:tcPr>
          <w:p w14:paraId="5CF44312" w14:textId="77777777" w:rsidR="00D16FB5" w:rsidRDefault="00D16FB5" w:rsidP="00506E02">
            <w:pPr>
              <w:pStyle w:val="Tablesinglespacedparagraph"/>
              <w:jc w:val="right"/>
            </w:pPr>
            <w:r>
              <w:t>7</w:t>
            </w:r>
          </w:p>
        </w:tc>
        <w:tc>
          <w:tcPr>
            <w:tcW w:w="1418" w:type="dxa"/>
          </w:tcPr>
          <w:p w14:paraId="21BDE27B" w14:textId="77777777" w:rsidR="00D16FB5" w:rsidRDefault="00D16FB5" w:rsidP="00506E02">
            <w:pPr>
              <w:pStyle w:val="Tablesinglespacedparagraph"/>
              <w:jc w:val="right"/>
            </w:pPr>
            <w:r>
              <w:t>14</w:t>
            </w:r>
          </w:p>
        </w:tc>
      </w:tr>
      <w:tr w:rsidR="00D16FB5" w14:paraId="55458EED" w14:textId="77777777" w:rsidTr="00222C74">
        <w:trPr>
          <w:cnfStyle w:val="000000010000" w:firstRow="0" w:lastRow="0" w:firstColumn="0" w:lastColumn="0" w:oddVBand="0" w:evenVBand="0" w:oddHBand="0" w:evenHBand="1" w:firstRowFirstColumn="0" w:firstRowLastColumn="0" w:lastRowFirstColumn="0" w:lastRowLastColumn="0"/>
          <w:trHeight w:val="283"/>
        </w:trPr>
        <w:tc>
          <w:tcPr>
            <w:tcW w:w="6237" w:type="dxa"/>
          </w:tcPr>
          <w:p w14:paraId="63DCBA58" w14:textId="77777777" w:rsidR="00D16FB5" w:rsidRPr="00BE4BB3" w:rsidRDefault="00D16FB5" w:rsidP="001F2F9A">
            <w:pPr>
              <w:pStyle w:val="Tablesinglespacedparagraph"/>
            </w:pPr>
            <w:r w:rsidRPr="00BE4BB3">
              <w:rPr>
                <w:rFonts w:eastAsia="Calibri"/>
              </w:rPr>
              <w:t>Change in law/policy</w:t>
            </w:r>
          </w:p>
        </w:tc>
        <w:tc>
          <w:tcPr>
            <w:tcW w:w="1701" w:type="dxa"/>
          </w:tcPr>
          <w:p w14:paraId="25E5B210" w14:textId="77777777" w:rsidR="00D16FB5" w:rsidRDefault="00D16FB5" w:rsidP="001F2F9A">
            <w:pPr>
              <w:pStyle w:val="Tablesinglespacedparagraph"/>
              <w:jc w:val="right"/>
            </w:pPr>
            <w:r>
              <w:t>1</w:t>
            </w:r>
          </w:p>
        </w:tc>
        <w:tc>
          <w:tcPr>
            <w:tcW w:w="1418" w:type="dxa"/>
          </w:tcPr>
          <w:p w14:paraId="77ECDF75" w14:textId="77777777" w:rsidR="00D16FB5" w:rsidRDefault="00D16FB5" w:rsidP="001F2F9A">
            <w:pPr>
              <w:pStyle w:val="Tablesinglespacedparagraph"/>
              <w:jc w:val="right"/>
            </w:pPr>
            <w:r>
              <w:t>6</w:t>
            </w:r>
          </w:p>
        </w:tc>
      </w:tr>
      <w:tr w:rsidR="00D16FB5" w14:paraId="260DFDD1" w14:textId="77777777" w:rsidTr="00222C74">
        <w:trPr>
          <w:cnfStyle w:val="000000100000" w:firstRow="0" w:lastRow="0" w:firstColumn="0" w:lastColumn="0" w:oddVBand="0" w:evenVBand="0" w:oddHBand="1" w:evenHBand="0" w:firstRowFirstColumn="0" w:firstRowLastColumn="0" w:lastRowFirstColumn="0" w:lastRowLastColumn="0"/>
          <w:trHeight w:val="283"/>
        </w:trPr>
        <w:tc>
          <w:tcPr>
            <w:tcW w:w="6237" w:type="dxa"/>
          </w:tcPr>
          <w:p w14:paraId="68890B03" w14:textId="77777777" w:rsidR="00D16FB5" w:rsidRPr="00BE4BB3" w:rsidRDefault="00D16FB5" w:rsidP="00506E02">
            <w:pPr>
              <w:pStyle w:val="Tablesinglespacedparagraph"/>
            </w:pPr>
            <w:r w:rsidRPr="00BE4BB3">
              <w:rPr>
                <w:rFonts w:eastAsia="Calibri"/>
              </w:rPr>
              <w:t xml:space="preserve">Law/policy/practice/procedure to be reviewed </w:t>
            </w:r>
          </w:p>
        </w:tc>
        <w:tc>
          <w:tcPr>
            <w:tcW w:w="1701" w:type="dxa"/>
          </w:tcPr>
          <w:p w14:paraId="6C786806" w14:textId="77777777" w:rsidR="00D16FB5" w:rsidRDefault="00D16FB5" w:rsidP="00506E02">
            <w:pPr>
              <w:pStyle w:val="Tablesinglespacedparagraph"/>
              <w:jc w:val="right"/>
            </w:pPr>
            <w:r>
              <w:t>2</w:t>
            </w:r>
          </w:p>
        </w:tc>
        <w:tc>
          <w:tcPr>
            <w:tcW w:w="1418" w:type="dxa"/>
          </w:tcPr>
          <w:p w14:paraId="623BAAA2" w14:textId="77777777" w:rsidR="00D16FB5" w:rsidRDefault="00D16FB5" w:rsidP="00506E02">
            <w:pPr>
              <w:pStyle w:val="Tablesinglespacedparagraph"/>
              <w:jc w:val="right"/>
            </w:pPr>
            <w:r>
              <w:t>6</w:t>
            </w:r>
          </w:p>
        </w:tc>
      </w:tr>
      <w:tr w:rsidR="00D16FB5" w14:paraId="6DF03ADB" w14:textId="77777777" w:rsidTr="00222C74">
        <w:trPr>
          <w:cnfStyle w:val="000000010000" w:firstRow="0" w:lastRow="0" w:firstColumn="0" w:lastColumn="0" w:oddVBand="0" w:evenVBand="0" w:oddHBand="0" w:evenHBand="1" w:firstRowFirstColumn="0" w:firstRowLastColumn="0" w:lastRowFirstColumn="0" w:lastRowLastColumn="0"/>
          <w:trHeight w:val="283"/>
        </w:trPr>
        <w:tc>
          <w:tcPr>
            <w:tcW w:w="6237" w:type="dxa"/>
          </w:tcPr>
          <w:p w14:paraId="01CF0329" w14:textId="77777777" w:rsidR="00D16FB5" w:rsidRPr="00BE4BB3" w:rsidRDefault="00D16FB5" w:rsidP="00506E02">
            <w:pPr>
              <w:pStyle w:val="Tablesinglespacedparagraph"/>
            </w:pPr>
            <w:r w:rsidRPr="00BE4BB3">
              <w:rPr>
                <w:rFonts w:eastAsia="Calibri"/>
              </w:rPr>
              <w:t>Provision of guidance or training to staff</w:t>
            </w:r>
          </w:p>
        </w:tc>
        <w:tc>
          <w:tcPr>
            <w:tcW w:w="1701" w:type="dxa"/>
          </w:tcPr>
          <w:p w14:paraId="7DB8F343" w14:textId="77777777" w:rsidR="00D16FB5" w:rsidRDefault="00D16FB5" w:rsidP="00506E02">
            <w:pPr>
              <w:pStyle w:val="Tablesinglespacedparagraph"/>
              <w:jc w:val="right"/>
            </w:pPr>
            <w:r>
              <w:t>-</w:t>
            </w:r>
          </w:p>
        </w:tc>
        <w:tc>
          <w:tcPr>
            <w:tcW w:w="1418" w:type="dxa"/>
          </w:tcPr>
          <w:p w14:paraId="3B595A76" w14:textId="77777777" w:rsidR="00D16FB5" w:rsidRDefault="00D16FB5" w:rsidP="00506E02">
            <w:pPr>
              <w:pStyle w:val="Tablesinglespacedparagraph"/>
              <w:jc w:val="right"/>
            </w:pPr>
            <w:r>
              <w:t>5</w:t>
            </w:r>
          </w:p>
        </w:tc>
      </w:tr>
    </w:tbl>
    <w:p w14:paraId="340EC32B" w14:textId="24C3FFF5" w:rsidR="00AD1006" w:rsidRDefault="005B795D" w:rsidP="00AD1006">
      <w:pPr>
        <w:rPr>
          <w:rStyle w:val="Hyperlink"/>
        </w:rPr>
      </w:pPr>
      <w:hyperlink w:anchor="Contents" w:history="1">
        <w:r w:rsidR="00DF1795" w:rsidRPr="00F5248A">
          <w:rPr>
            <w:rStyle w:val="Hyperlink"/>
          </w:rPr>
          <w:t>Back to contents</w:t>
        </w:r>
      </w:hyperlink>
    </w:p>
    <w:p w14:paraId="356219C5" w14:textId="77777777" w:rsidR="00F15F11" w:rsidRDefault="00F15F11" w:rsidP="00AD1006">
      <w:pPr>
        <w:rPr>
          <w:rStyle w:val="Hyperlink"/>
        </w:rPr>
      </w:pPr>
    </w:p>
    <w:p w14:paraId="0F83698B" w14:textId="77777777" w:rsidR="00F15F11" w:rsidRDefault="00F15F11">
      <w:pPr>
        <w:spacing w:line="276" w:lineRule="auto"/>
        <w:rPr>
          <w:rFonts w:eastAsiaTheme="majorEastAsia" w:cstheme="majorBidi"/>
          <w:bCs/>
          <w:color w:val="2BB673"/>
          <w:sz w:val="32"/>
        </w:rPr>
      </w:pPr>
      <w:r>
        <w:br w:type="page"/>
      </w:r>
    </w:p>
    <w:p w14:paraId="3F74BE35" w14:textId="77777777" w:rsidR="00DF1795" w:rsidRDefault="00DF1795" w:rsidP="00AD1006">
      <w:pPr>
        <w:pStyle w:val="Heading3"/>
      </w:pPr>
      <w:r w:rsidRPr="000A6496">
        <w:t>Official Information Act (OIA)</w:t>
      </w:r>
    </w:p>
    <w:p w14:paraId="7CB1C061" w14:textId="77777777" w:rsidR="00DF1795" w:rsidRDefault="00DF1795" w:rsidP="00DF1795">
      <w:pPr>
        <w:pStyle w:val="Whitespace"/>
      </w:pPr>
    </w:p>
    <w:p w14:paraId="4A2E543B" w14:textId="38D341B9" w:rsidR="00DF1795" w:rsidRPr="00222C74" w:rsidRDefault="0057093C" w:rsidP="00DF1795">
      <w:pPr>
        <w:pStyle w:val="FigureCaption"/>
      </w:pPr>
      <w:r>
        <w:rPr>
          <w:noProof/>
          <w:lang w:eastAsia="en-NZ"/>
        </w:rPr>
        <w:drawing>
          <wp:inline distT="0" distB="0" distL="0" distR="0" wp14:anchorId="50747057" wp14:editId="55C9BBA3">
            <wp:extent cx="5955323" cy="2649415"/>
            <wp:effectExtent l="0" t="0" r="7620" b="17780"/>
            <wp:docPr id="21" name="Chart 21" descr="Link to text alternative version follows this diagram. This is a line graph - the data in the link is presented in a table." title="Figure 5: OIA complaints received and actioned over the past 10 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6E62332C" w14:textId="63EE7B9C" w:rsidR="00DF1795" w:rsidRDefault="00DF1795" w:rsidP="00DF1795">
      <w:pPr>
        <w:pStyle w:val="FigureCaption"/>
        <w:rPr>
          <w:noProof/>
        </w:rPr>
      </w:pPr>
      <w:bookmarkStart w:id="175" w:name="Figure5"/>
      <w:r w:rsidRPr="00222C74">
        <w:t>Figure 5</w:t>
      </w:r>
      <w:bookmarkEnd w:id="175"/>
      <w:r w:rsidRPr="00B649E4">
        <w:rPr>
          <w:noProof/>
        </w:rPr>
        <w:t>: OIA complaints received and actioned over the past 10 years</w:t>
      </w:r>
    </w:p>
    <w:p w14:paraId="4F08FABE" w14:textId="63FAA619" w:rsidR="000C07E2" w:rsidRPr="00222C74" w:rsidRDefault="005B795D" w:rsidP="00222C74">
      <w:pPr>
        <w:pStyle w:val="BodyText"/>
      </w:pPr>
      <w:hyperlink w:anchor="Figure5table" w:history="1">
        <w:r w:rsidR="000C07E2" w:rsidRPr="00866727">
          <w:rPr>
            <w:rStyle w:val="Hyperlink"/>
          </w:rPr>
          <w:t>Link to text alternative version of Figure 5.</w:t>
        </w:r>
      </w:hyperlink>
      <w:r w:rsidR="000C07E2">
        <w:t xml:space="preserve"> </w:t>
      </w:r>
    </w:p>
    <w:p w14:paraId="485213B9" w14:textId="0E3F2336" w:rsidR="00DF1795" w:rsidRDefault="005B795D" w:rsidP="00DF1795">
      <w:pPr>
        <w:pStyle w:val="BodyText"/>
      </w:pPr>
      <w:hyperlink w:anchor="Contents" w:history="1">
        <w:r w:rsidR="00DF1795" w:rsidRPr="00F5248A">
          <w:rPr>
            <w:rStyle w:val="Hyperlink"/>
          </w:rPr>
          <w:t>Back to contents</w:t>
        </w:r>
      </w:hyperlink>
      <w:r w:rsidR="00DF1795">
        <w:t>.</w:t>
      </w:r>
    </w:p>
    <w:p w14:paraId="0FCB7A0D" w14:textId="77777777" w:rsidR="00B859BB" w:rsidRPr="00BA4274" w:rsidRDefault="00B859BB" w:rsidP="00DF1795">
      <w:pPr>
        <w:pStyle w:val="BodyText"/>
        <w:rPr>
          <w:rFonts w:asciiTheme="minorHAnsi" w:hAnsiTheme="minorHAnsi"/>
          <w:sz w:val="18"/>
          <w:szCs w:val="18"/>
        </w:rPr>
      </w:pPr>
    </w:p>
    <w:tbl>
      <w:tblPr>
        <w:tblStyle w:val="TableGridAnnualReport"/>
        <w:tblW w:w="9223" w:type="dxa"/>
        <w:tblInd w:w="30" w:type="dxa"/>
        <w:tblLayout w:type="fixed"/>
        <w:tblLook w:val="0420" w:firstRow="1" w:lastRow="0" w:firstColumn="0" w:lastColumn="0" w:noHBand="0" w:noVBand="1"/>
        <w:tblCaption w:val="Table for formatting purposes"/>
      </w:tblPr>
      <w:tblGrid>
        <w:gridCol w:w="6249"/>
        <w:gridCol w:w="1487"/>
        <w:gridCol w:w="1487"/>
      </w:tblGrid>
      <w:tr w:rsidR="00084BE9" w14:paraId="4B0DC67F" w14:textId="77777777" w:rsidTr="00084BE9">
        <w:trPr>
          <w:cnfStyle w:val="100000000000" w:firstRow="1" w:lastRow="0" w:firstColumn="0" w:lastColumn="0" w:oddVBand="0" w:evenVBand="0" w:oddHBand="0" w:evenHBand="0" w:firstRowFirstColumn="0" w:firstRowLastColumn="0" w:lastRowFirstColumn="0" w:lastRowLastColumn="0"/>
          <w:trHeight w:val="60"/>
        </w:trPr>
        <w:tc>
          <w:tcPr>
            <w:tcW w:w="6249" w:type="dxa"/>
          </w:tcPr>
          <w:p w14:paraId="0C15F009" w14:textId="77777777" w:rsidR="00084BE9" w:rsidRPr="00BE4BB3" w:rsidRDefault="001C7062" w:rsidP="00F15F11">
            <w:pPr>
              <w:pStyle w:val="Tableheadingrow1"/>
            </w:pPr>
            <w:r>
              <w:t>1</w:t>
            </w:r>
            <w:r w:rsidR="00F15F11">
              <w:t>2</w:t>
            </w:r>
            <w:r>
              <w:t xml:space="preserve">. </w:t>
            </w:r>
            <w:r w:rsidR="00084BE9" w:rsidRPr="00BE4BB3">
              <w:t>Nature of OIA complaints made</w:t>
            </w:r>
          </w:p>
        </w:tc>
        <w:tc>
          <w:tcPr>
            <w:tcW w:w="1487" w:type="dxa"/>
          </w:tcPr>
          <w:p w14:paraId="40A63C4C" w14:textId="77777777" w:rsidR="00084BE9" w:rsidRDefault="00084BE9" w:rsidP="00506E02">
            <w:pPr>
              <w:pStyle w:val="Tableheadingrow1"/>
              <w:jc w:val="right"/>
            </w:pPr>
            <w:r>
              <w:t>2018/19</w:t>
            </w:r>
          </w:p>
        </w:tc>
        <w:tc>
          <w:tcPr>
            <w:tcW w:w="1487" w:type="dxa"/>
          </w:tcPr>
          <w:p w14:paraId="4463FDD6" w14:textId="77777777" w:rsidR="00084BE9" w:rsidRDefault="00084BE9" w:rsidP="00506E02">
            <w:pPr>
              <w:pStyle w:val="Tableheadingrow1"/>
              <w:jc w:val="right"/>
            </w:pPr>
            <w:r>
              <w:t>2019/20</w:t>
            </w:r>
          </w:p>
        </w:tc>
      </w:tr>
      <w:tr w:rsidR="00EF67E9" w14:paraId="6E28A5F9" w14:textId="77777777" w:rsidTr="00EF67E9">
        <w:trPr>
          <w:cnfStyle w:val="000000100000" w:firstRow="0" w:lastRow="0" w:firstColumn="0" w:lastColumn="0" w:oddVBand="0" w:evenVBand="0" w:oddHBand="1" w:evenHBand="0" w:firstRowFirstColumn="0" w:firstRowLastColumn="0" w:lastRowFirstColumn="0" w:lastRowLastColumn="0"/>
          <w:trHeight w:val="237"/>
        </w:trPr>
        <w:tc>
          <w:tcPr>
            <w:tcW w:w="6249" w:type="dxa"/>
          </w:tcPr>
          <w:p w14:paraId="6A84C21D" w14:textId="77777777" w:rsidR="00EF67E9" w:rsidRPr="00443D17" w:rsidRDefault="00EF67E9" w:rsidP="00EF67E9">
            <w:pPr>
              <w:pStyle w:val="Tablebodytextnospaceafter"/>
            </w:pPr>
            <w:r w:rsidRPr="00443D17">
              <w:t>Refusal</w:t>
            </w:r>
            <w:r>
              <w:t xml:space="preserve"> – general information request</w:t>
            </w:r>
          </w:p>
        </w:tc>
        <w:tc>
          <w:tcPr>
            <w:tcW w:w="1487" w:type="dxa"/>
          </w:tcPr>
          <w:p w14:paraId="0217B36C" w14:textId="77777777" w:rsidR="00EF67E9" w:rsidRDefault="00EF67E9" w:rsidP="00EF67E9">
            <w:pPr>
              <w:pStyle w:val="Tablebodytextnospaceafter"/>
              <w:jc w:val="right"/>
            </w:pPr>
            <w:r>
              <w:t>749</w:t>
            </w:r>
          </w:p>
        </w:tc>
        <w:tc>
          <w:tcPr>
            <w:tcW w:w="1487" w:type="dxa"/>
          </w:tcPr>
          <w:p w14:paraId="624AE463" w14:textId="77777777" w:rsidR="00EF67E9" w:rsidRDefault="00EF67E9" w:rsidP="00EF67E9">
            <w:pPr>
              <w:pStyle w:val="Tablebodytextnospaceafter"/>
              <w:jc w:val="right"/>
            </w:pPr>
            <w:r>
              <w:t>706</w:t>
            </w:r>
          </w:p>
        </w:tc>
      </w:tr>
      <w:tr w:rsidR="00EF67E9" w14:paraId="3E7A0448" w14:textId="77777777" w:rsidTr="00EF67E9">
        <w:trPr>
          <w:cnfStyle w:val="000000010000" w:firstRow="0" w:lastRow="0" w:firstColumn="0" w:lastColumn="0" w:oddVBand="0" w:evenVBand="0" w:oddHBand="0" w:evenHBand="1" w:firstRowFirstColumn="0" w:firstRowLastColumn="0" w:lastRowFirstColumn="0" w:lastRowLastColumn="0"/>
          <w:trHeight w:val="60"/>
        </w:trPr>
        <w:tc>
          <w:tcPr>
            <w:tcW w:w="6249" w:type="dxa"/>
          </w:tcPr>
          <w:p w14:paraId="2874238A" w14:textId="77777777" w:rsidR="00EF67E9" w:rsidRPr="00443D17" w:rsidRDefault="00EF67E9" w:rsidP="00EF67E9">
            <w:pPr>
              <w:pStyle w:val="Tablebodytextnospaceafter"/>
            </w:pPr>
            <w:r w:rsidRPr="00443D17">
              <w:t xml:space="preserve">Delay </w:t>
            </w:r>
            <w:r>
              <w:t>in making decision</w:t>
            </w:r>
          </w:p>
        </w:tc>
        <w:tc>
          <w:tcPr>
            <w:tcW w:w="1487" w:type="dxa"/>
          </w:tcPr>
          <w:p w14:paraId="0A843622" w14:textId="77777777" w:rsidR="00EF67E9" w:rsidRDefault="00EF67E9" w:rsidP="00EF67E9">
            <w:pPr>
              <w:pStyle w:val="Tablebodytextnospaceafter"/>
              <w:jc w:val="right"/>
            </w:pPr>
            <w:r>
              <w:t>755</w:t>
            </w:r>
            <w:r>
              <w:rPr>
                <w:rStyle w:val="FootnoteReference"/>
              </w:rPr>
              <w:footnoteReference w:id="94"/>
            </w:r>
          </w:p>
        </w:tc>
        <w:tc>
          <w:tcPr>
            <w:tcW w:w="1487" w:type="dxa"/>
          </w:tcPr>
          <w:p w14:paraId="0D1D7765" w14:textId="77777777" w:rsidR="00EF67E9" w:rsidRDefault="00EF67E9" w:rsidP="00EF67E9">
            <w:pPr>
              <w:pStyle w:val="Tablebodytextnospaceafter"/>
              <w:jc w:val="right"/>
            </w:pPr>
            <w:r>
              <w:t>290</w:t>
            </w:r>
          </w:p>
        </w:tc>
      </w:tr>
      <w:tr w:rsidR="00EF67E9" w14:paraId="0DB3EC57" w14:textId="77777777" w:rsidTr="00EF67E9">
        <w:trPr>
          <w:cnfStyle w:val="000000100000" w:firstRow="0" w:lastRow="0" w:firstColumn="0" w:lastColumn="0" w:oddVBand="0" w:evenVBand="0" w:oddHBand="1" w:evenHBand="0" w:firstRowFirstColumn="0" w:firstRowLastColumn="0" w:lastRowFirstColumn="0" w:lastRowLastColumn="0"/>
          <w:trHeight w:val="60"/>
        </w:trPr>
        <w:tc>
          <w:tcPr>
            <w:tcW w:w="6249" w:type="dxa"/>
          </w:tcPr>
          <w:p w14:paraId="6A030689" w14:textId="77777777" w:rsidR="00EF67E9" w:rsidRPr="00443D17" w:rsidRDefault="00EF67E9" w:rsidP="00EF67E9">
            <w:pPr>
              <w:pStyle w:val="Tablebodytextnospaceafter"/>
            </w:pPr>
            <w:r>
              <w:t>Incomplete or inadequate response</w:t>
            </w:r>
          </w:p>
        </w:tc>
        <w:tc>
          <w:tcPr>
            <w:tcW w:w="1487" w:type="dxa"/>
          </w:tcPr>
          <w:p w14:paraId="111EA172" w14:textId="77777777" w:rsidR="00EF67E9" w:rsidRDefault="00EF67E9" w:rsidP="00EF67E9">
            <w:pPr>
              <w:pStyle w:val="Tablebodytextnospaceafter"/>
              <w:jc w:val="right"/>
            </w:pPr>
            <w:r>
              <w:t>100</w:t>
            </w:r>
          </w:p>
        </w:tc>
        <w:tc>
          <w:tcPr>
            <w:tcW w:w="1487" w:type="dxa"/>
          </w:tcPr>
          <w:p w14:paraId="5F244690" w14:textId="77777777" w:rsidR="00EF67E9" w:rsidRDefault="00EF67E9" w:rsidP="00EF67E9">
            <w:pPr>
              <w:pStyle w:val="Tablebodytextnospaceafter"/>
              <w:jc w:val="right"/>
            </w:pPr>
            <w:r>
              <w:t>85</w:t>
            </w:r>
          </w:p>
        </w:tc>
      </w:tr>
      <w:tr w:rsidR="00EF67E9" w14:paraId="05D4733F" w14:textId="77777777" w:rsidTr="00EF67E9">
        <w:trPr>
          <w:cnfStyle w:val="000000010000" w:firstRow="0" w:lastRow="0" w:firstColumn="0" w:lastColumn="0" w:oddVBand="0" w:evenVBand="0" w:oddHBand="0" w:evenHBand="1" w:firstRowFirstColumn="0" w:firstRowLastColumn="0" w:lastRowFirstColumn="0" w:lastRowLastColumn="0"/>
          <w:trHeight w:val="60"/>
        </w:trPr>
        <w:tc>
          <w:tcPr>
            <w:tcW w:w="6249" w:type="dxa"/>
          </w:tcPr>
          <w:p w14:paraId="4A7E79E8" w14:textId="77777777" w:rsidR="00EF67E9" w:rsidRDefault="00EF67E9" w:rsidP="00EF67E9">
            <w:pPr>
              <w:pStyle w:val="Tablebodytextnospaceafter"/>
            </w:pPr>
            <w:r>
              <w:t>Refusal – personal information about individual</w:t>
            </w:r>
          </w:p>
        </w:tc>
        <w:tc>
          <w:tcPr>
            <w:tcW w:w="1487" w:type="dxa"/>
          </w:tcPr>
          <w:p w14:paraId="71178AE0" w14:textId="77777777" w:rsidR="00EF67E9" w:rsidRDefault="00EF67E9" w:rsidP="00EF67E9">
            <w:pPr>
              <w:pStyle w:val="Tablebodytextnospaceafter"/>
              <w:jc w:val="right"/>
            </w:pPr>
            <w:r>
              <w:t>116</w:t>
            </w:r>
          </w:p>
        </w:tc>
        <w:tc>
          <w:tcPr>
            <w:tcW w:w="1487" w:type="dxa"/>
          </w:tcPr>
          <w:p w14:paraId="2F37AC29" w14:textId="77777777" w:rsidR="00EF67E9" w:rsidRDefault="00EF67E9" w:rsidP="00EF67E9">
            <w:pPr>
              <w:pStyle w:val="Tablebodytextnospaceafter"/>
              <w:jc w:val="right"/>
            </w:pPr>
            <w:r>
              <w:t>80</w:t>
            </w:r>
          </w:p>
        </w:tc>
      </w:tr>
      <w:tr w:rsidR="00EF67E9" w14:paraId="1EDA0549"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49" w:type="dxa"/>
          </w:tcPr>
          <w:p w14:paraId="4255DCE7" w14:textId="77777777" w:rsidR="00EF67E9" w:rsidRPr="00443D17" w:rsidRDefault="00EF67E9" w:rsidP="00506E02">
            <w:pPr>
              <w:pStyle w:val="Tablebodytextnospaceafter"/>
            </w:pPr>
            <w:r>
              <w:t>Extension</w:t>
            </w:r>
          </w:p>
        </w:tc>
        <w:tc>
          <w:tcPr>
            <w:tcW w:w="1487" w:type="dxa"/>
          </w:tcPr>
          <w:p w14:paraId="7308596A" w14:textId="77777777" w:rsidR="00EF67E9" w:rsidRDefault="00EF67E9" w:rsidP="00506E02">
            <w:pPr>
              <w:pStyle w:val="Tablebodytextnospaceafter"/>
              <w:jc w:val="right"/>
            </w:pPr>
            <w:r>
              <w:t>95</w:t>
            </w:r>
          </w:p>
        </w:tc>
        <w:tc>
          <w:tcPr>
            <w:tcW w:w="1487" w:type="dxa"/>
          </w:tcPr>
          <w:p w14:paraId="225B2CFF" w14:textId="77777777" w:rsidR="00EF67E9" w:rsidRDefault="00EF67E9" w:rsidP="00506E02">
            <w:pPr>
              <w:pStyle w:val="Tablebodytextnospaceafter"/>
              <w:jc w:val="right"/>
            </w:pPr>
            <w:r>
              <w:t>78</w:t>
            </w:r>
          </w:p>
        </w:tc>
      </w:tr>
      <w:tr w:rsidR="00EF67E9" w14:paraId="4B4CD0E0" w14:textId="77777777" w:rsidTr="00EF67E9">
        <w:trPr>
          <w:cnfStyle w:val="000000010000" w:firstRow="0" w:lastRow="0" w:firstColumn="0" w:lastColumn="0" w:oddVBand="0" w:evenVBand="0" w:oddHBand="0" w:evenHBand="1" w:firstRowFirstColumn="0" w:firstRowLastColumn="0" w:lastRowFirstColumn="0" w:lastRowLastColumn="0"/>
          <w:trHeight w:val="60"/>
        </w:trPr>
        <w:tc>
          <w:tcPr>
            <w:tcW w:w="6249" w:type="dxa"/>
          </w:tcPr>
          <w:p w14:paraId="2D098269" w14:textId="77777777" w:rsidR="00EF67E9" w:rsidRPr="00443D17" w:rsidRDefault="00EF67E9" w:rsidP="00EF67E9">
            <w:pPr>
              <w:pStyle w:val="Tablebodytextnospaceafter"/>
            </w:pPr>
            <w:r w:rsidRPr="00443D17">
              <w:t>Delay</w:t>
            </w:r>
            <w:r>
              <w:t xml:space="preserve"> in releasing information</w:t>
            </w:r>
          </w:p>
        </w:tc>
        <w:tc>
          <w:tcPr>
            <w:tcW w:w="1487" w:type="dxa"/>
          </w:tcPr>
          <w:p w14:paraId="60DCB528" w14:textId="77777777" w:rsidR="00EF67E9" w:rsidRDefault="00EF67E9" w:rsidP="00EF67E9">
            <w:pPr>
              <w:pStyle w:val="Tablebodytextnospaceafter"/>
              <w:jc w:val="right"/>
            </w:pPr>
            <w:r>
              <w:t>26</w:t>
            </w:r>
          </w:p>
        </w:tc>
        <w:tc>
          <w:tcPr>
            <w:tcW w:w="1487" w:type="dxa"/>
          </w:tcPr>
          <w:p w14:paraId="0E1EB685" w14:textId="77777777" w:rsidR="00EF67E9" w:rsidRDefault="00EF67E9" w:rsidP="00EF67E9">
            <w:pPr>
              <w:pStyle w:val="Tablebodytextnospaceafter"/>
              <w:jc w:val="right"/>
            </w:pPr>
            <w:r>
              <w:t>28</w:t>
            </w:r>
          </w:p>
        </w:tc>
      </w:tr>
      <w:tr w:rsidR="00EF67E9" w14:paraId="4947608F" w14:textId="77777777" w:rsidTr="00EF67E9">
        <w:trPr>
          <w:cnfStyle w:val="000000100000" w:firstRow="0" w:lastRow="0" w:firstColumn="0" w:lastColumn="0" w:oddVBand="0" w:evenVBand="0" w:oddHBand="1" w:evenHBand="0" w:firstRowFirstColumn="0" w:firstRowLastColumn="0" w:lastRowFirstColumn="0" w:lastRowLastColumn="0"/>
          <w:trHeight w:val="60"/>
        </w:trPr>
        <w:tc>
          <w:tcPr>
            <w:tcW w:w="6249" w:type="dxa"/>
          </w:tcPr>
          <w:p w14:paraId="5CF602EE" w14:textId="77777777" w:rsidR="00EF67E9" w:rsidRPr="00443D17" w:rsidRDefault="00EF67E9" w:rsidP="00EF67E9">
            <w:pPr>
              <w:pStyle w:val="Tablebodytextnospaceafter"/>
            </w:pPr>
            <w:r w:rsidRPr="00443D17">
              <w:t>Charge</w:t>
            </w:r>
          </w:p>
        </w:tc>
        <w:tc>
          <w:tcPr>
            <w:tcW w:w="1487" w:type="dxa"/>
          </w:tcPr>
          <w:p w14:paraId="64DB5154" w14:textId="77777777" w:rsidR="00EF67E9" w:rsidRDefault="00EF67E9" w:rsidP="00EF67E9">
            <w:pPr>
              <w:pStyle w:val="Tablebodytextnospaceafter"/>
              <w:jc w:val="right"/>
            </w:pPr>
            <w:r>
              <w:t>10</w:t>
            </w:r>
          </w:p>
        </w:tc>
        <w:tc>
          <w:tcPr>
            <w:tcW w:w="1487" w:type="dxa"/>
          </w:tcPr>
          <w:p w14:paraId="4CCC00CC" w14:textId="77777777" w:rsidR="00EF67E9" w:rsidRDefault="00EF67E9" w:rsidP="00EF67E9">
            <w:pPr>
              <w:pStyle w:val="Tablebodytextnospaceafter"/>
              <w:jc w:val="right"/>
            </w:pPr>
            <w:r>
              <w:t>17</w:t>
            </w:r>
          </w:p>
        </w:tc>
      </w:tr>
      <w:tr w:rsidR="00EF67E9" w14:paraId="00725500" w14:textId="77777777" w:rsidTr="00EF67E9">
        <w:trPr>
          <w:cnfStyle w:val="000000010000" w:firstRow="0" w:lastRow="0" w:firstColumn="0" w:lastColumn="0" w:oddVBand="0" w:evenVBand="0" w:oddHBand="0" w:evenHBand="1" w:firstRowFirstColumn="0" w:firstRowLastColumn="0" w:lastRowFirstColumn="0" w:lastRowLastColumn="0"/>
          <w:trHeight w:val="60"/>
        </w:trPr>
        <w:tc>
          <w:tcPr>
            <w:tcW w:w="6249" w:type="dxa"/>
          </w:tcPr>
          <w:p w14:paraId="52502E9B" w14:textId="77777777" w:rsidR="00EF67E9" w:rsidRDefault="00EF67E9" w:rsidP="00EF67E9">
            <w:pPr>
              <w:pStyle w:val="Tablebodytextnospaceafter"/>
            </w:pPr>
            <w:r>
              <w:t>Decision not made as soon as reasonably practicable</w:t>
            </w:r>
          </w:p>
        </w:tc>
        <w:tc>
          <w:tcPr>
            <w:tcW w:w="1487" w:type="dxa"/>
          </w:tcPr>
          <w:p w14:paraId="6918D649" w14:textId="77777777" w:rsidR="00EF67E9" w:rsidRDefault="00EF67E9" w:rsidP="00EF67E9">
            <w:pPr>
              <w:pStyle w:val="Tablebodytextnospaceafter"/>
              <w:jc w:val="right"/>
            </w:pPr>
            <w:r>
              <w:t>12</w:t>
            </w:r>
          </w:p>
        </w:tc>
        <w:tc>
          <w:tcPr>
            <w:tcW w:w="1487" w:type="dxa"/>
          </w:tcPr>
          <w:p w14:paraId="78E19086" w14:textId="77777777" w:rsidR="00EF67E9" w:rsidRDefault="00EF67E9" w:rsidP="00EF67E9">
            <w:pPr>
              <w:pStyle w:val="Tablebodytextnospaceafter"/>
              <w:jc w:val="right"/>
            </w:pPr>
            <w:r>
              <w:t>17</w:t>
            </w:r>
          </w:p>
        </w:tc>
      </w:tr>
      <w:tr w:rsidR="00EF67E9" w14:paraId="49615B65" w14:textId="77777777" w:rsidTr="00EF67E9">
        <w:trPr>
          <w:cnfStyle w:val="000000100000" w:firstRow="0" w:lastRow="0" w:firstColumn="0" w:lastColumn="0" w:oddVBand="0" w:evenVBand="0" w:oddHBand="1" w:evenHBand="0" w:firstRowFirstColumn="0" w:firstRowLastColumn="0" w:lastRowFirstColumn="0" w:lastRowLastColumn="0"/>
          <w:trHeight w:val="60"/>
        </w:trPr>
        <w:tc>
          <w:tcPr>
            <w:tcW w:w="6249" w:type="dxa"/>
          </w:tcPr>
          <w:p w14:paraId="3D339F44" w14:textId="77777777" w:rsidR="00EF67E9" w:rsidRPr="00443D17" w:rsidRDefault="00EF67E9" w:rsidP="00EF67E9">
            <w:pPr>
              <w:pStyle w:val="Tablebodytextnospaceafter"/>
            </w:pPr>
            <w:r w:rsidRPr="00443D17">
              <w:t>Other</w:t>
            </w:r>
          </w:p>
        </w:tc>
        <w:tc>
          <w:tcPr>
            <w:tcW w:w="1487" w:type="dxa"/>
          </w:tcPr>
          <w:p w14:paraId="0071CB60" w14:textId="77777777" w:rsidR="00EF67E9" w:rsidRDefault="00EF67E9" w:rsidP="00EF67E9">
            <w:pPr>
              <w:pStyle w:val="Tablebodytextnospaceafter"/>
              <w:jc w:val="right"/>
            </w:pPr>
            <w:r>
              <w:t>14</w:t>
            </w:r>
          </w:p>
        </w:tc>
        <w:tc>
          <w:tcPr>
            <w:tcW w:w="1487" w:type="dxa"/>
          </w:tcPr>
          <w:p w14:paraId="2893CE62" w14:textId="77777777" w:rsidR="00EF67E9" w:rsidRDefault="00EF67E9" w:rsidP="00EF67E9">
            <w:pPr>
              <w:pStyle w:val="Tablebodytextnospaceafter"/>
              <w:jc w:val="right"/>
            </w:pPr>
            <w:r>
              <w:t>11</w:t>
            </w:r>
          </w:p>
        </w:tc>
      </w:tr>
      <w:tr w:rsidR="00EF67E9" w14:paraId="120B2549" w14:textId="77777777" w:rsidTr="00EF67E9">
        <w:trPr>
          <w:cnfStyle w:val="000000010000" w:firstRow="0" w:lastRow="0" w:firstColumn="0" w:lastColumn="0" w:oddVBand="0" w:evenVBand="0" w:oddHBand="0" w:evenHBand="1" w:firstRowFirstColumn="0" w:firstRowLastColumn="0" w:lastRowFirstColumn="0" w:lastRowLastColumn="0"/>
          <w:trHeight w:val="60"/>
        </w:trPr>
        <w:tc>
          <w:tcPr>
            <w:tcW w:w="6249" w:type="dxa"/>
          </w:tcPr>
          <w:p w14:paraId="36FC1635" w14:textId="77777777" w:rsidR="00EF67E9" w:rsidRPr="00443D17" w:rsidRDefault="00EF67E9" w:rsidP="00EF67E9">
            <w:pPr>
              <w:pStyle w:val="Tablebodytextnospaceafter"/>
            </w:pPr>
            <w:r>
              <w:t>Refusal – personal information about body corporate</w:t>
            </w:r>
          </w:p>
        </w:tc>
        <w:tc>
          <w:tcPr>
            <w:tcW w:w="1487" w:type="dxa"/>
          </w:tcPr>
          <w:p w14:paraId="7FECCF9C" w14:textId="77777777" w:rsidR="00EF67E9" w:rsidRDefault="00EF67E9" w:rsidP="00EF67E9">
            <w:pPr>
              <w:pStyle w:val="Tablebodytextnospaceafter"/>
              <w:jc w:val="right"/>
            </w:pPr>
            <w:r>
              <w:t>5</w:t>
            </w:r>
          </w:p>
        </w:tc>
        <w:tc>
          <w:tcPr>
            <w:tcW w:w="1487" w:type="dxa"/>
          </w:tcPr>
          <w:p w14:paraId="3AE58424" w14:textId="77777777" w:rsidR="00EF67E9" w:rsidRDefault="00EF67E9" w:rsidP="00EF67E9">
            <w:pPr>
              <w:pStyle w:val="Tablebodytextnospaceafter"/>
              <w:jc w:val="right"/>
            </w:pPr>
            <w:r>
              <w:t>7</w:t>
            </w:r>
          </w:p>
        </w:tc>
      </w:tr>
      <w:tr w:rsidR="00EF67E9" w14:paraId="017C508D" w14:textId="77777777" w:rsidTr="00EF67E9">
        <w:trPr>
          <w:cnfStyle w:val="000000100000" w:firstRow="0" w:lastRow="0" w:firstColumn="0" w:lastColumn="0" w:oddVBand="0" w:evenVBand="0" w:oddHBand="1" w:evenHBand="0" w:firstRowFirstColumn="0" w:firstRowLastColumn="0" w:lastRowFirstColumn="0" w:lastRowLastColumn="0"/>
          <w:trHeight w:val="60"/>
        </w:trPr>
        <w:tc>
          <w:tcPr>
            <w:tcW w:w="6249" w:type="dxa"/>
          </w:tcPr>
          <w:p w14:paraId="50A20A94" w14:textId="77777777" w:rsidR="00EF67E9" w:rsidRDefault="00EF67E9" w:rsidP="00EF67E9">
            <w:pPr>
              <w:pStyle w:val="Tablebodytextnospaceafter"/>
            </w:pPr>
            <w:r>
              <w:t>Manner or form of release</w:t>
            </w:r>
          </w:p>
        </w:tc>
        <w:tc>
          <w:tcPr>
            <w:tcW w:w="1487" w:type="dxa"/>
          </w:tcPr>
          <w:p w14:paraId="737CBE48" w14:textId="77777777" w:rsidR="00EF67E9" w:rsidRDefault="00EF67E9" w:rsidP="00EF67E9">
            <w:pPr>
              <w:pStyle w:val="Tablebodytextnospaceafter"/>
              <w:jc w:val="right"/>
            </w:pPr>
            <w:r>
              <w:t>10</w:t>
            </w:r>
          </w:p>
        </w:tc>
        <w:tc>
          <w:tcPr>
            <w:tcW w:w="1487" w:type="dxa"/>
          </w:tcPr>
          <w:p w14:paraId="139CCD4A" w14:textId="77777777" w:rsidR="00EF67E9" w:rsidRDefault="00EF67E9" w:rsidP="00EF67E9">
            <w:pPr>
              <w:pStyle w:val="Tablebodytextnospaceafter"/>
              <w:jc w:val="right"/>
            </w:pPr>
            <w:r>
              <w:t>4</w:t>
            </w:r>
          </w:p>
        </w:tc>
      </w:tr>
      <w:tr w:rsidR="00EF67E9" w14:paraId="1FAE9DE7"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49" w:type="dxa"/>
          </w:tcPr>
          <w:p w14:paraId="192ADB56" w14:textId="77777777" w:rsidR="00EF67E9" w:rsidRDefault="00EF67E9" w:rsidP="00506E02">
            <w:pPr>
              <w:pStyle w:val="Tablebodytextnospaceafter"/>
            </w:pPr>
            <w:r>
              <w:t>Refusal – statement of reasons</w:t>
            </w:r>
          </w:p>
        </w:tc>
        <w:tc>
          <w:tcPr>
            <w:tcW w:w="1487" w:type="dxa"/>
          </w:tcPr>
          <w:p w14:paraId="1C2D28DE" w14:textId="77777777" w:rsidR="00EF67E9" w:rsidRDefault="00EF67E9" w:rsidP="00506E02">
            <w:pPr>
              <w:pStyle w:val="Tablebodytextnospaceafter"/>
              <w:jc w:val="right"/>
            </w:pPr>
            <w:r>
              <w:t>4</w:t>
            </w:r>
          </w:p>
        </w:tc>
        <w:tc>
          <w:tcPr>
            <w:tcW w:w="1487" w:type="dxa"/>
          </w:tcPr>
          <w:p w14:paraId="0B859B97" w14:textId="77777777" w:rsidR="00EF67E9" w:rsidRDefault="00EF67E9" w:rsidP="00506E02">
            <w:pPr>
              <w:pStyle w:val="Tablebodytextnospaceafter"/>
              <w:jc w:val="right"/>
            </w:pPr>
            <w:r>
              <w:t>3</w:t>
            </w:r>
          </w:p>
        </w:tc>
      </w:tr>
      <w:tr w:rsidR="00EF67E9" w14:paraId="6E31DBE0" w14:textId="77777777" w:rsidTr="00EF67E9">
        <w:trPr>
          <w:cnfStyle w:val="000000100000" w:firstRow="0" w:lastRow="0" w:firstColumn="0" w:lastColumn="0" w:oddVBand="0" w:evenVBand="0" w:oddHBand="1" w:evenHBand="0" w:firstRowFirstColumn="0" w:firstRowLastColumn="0" w:lastRowFirstColumn="0" w:lastRowLastColumn="0"/>
          <w:trHeight w:val="60"/>
        </w:trPr>
        <w:tc>
          <w:tcPr>
            <w:tcW w:w="6249" w:type="dxa"/>
          </w:tcPr>
          <w:p w14:paraId="08EC5EEE" w14:textId="77777777" w:rsidR="00EF67E9" w:rsidRDefault="00EF67E9" w:rsidP="00EF67E9">
            <w:pPr>
              <w:pStyle w:val="Tablebodytextnospaceafter"/>
            </w:pPr>
            <w:r>
              <w:t>Condition</w:t>
            </w:r>
          </w:p>
        </w:tc>
        <w:tc>
          <w:tcPr>
            <w:tcW w:w="1487" w:type="dxa"/>
          </w:tcPr>
          <w:p w14:paraId="6F028E89" w14:textId="77777777" w:rsidR="00EF67E9" w:rsidRDefault="00EF67E9" w:rsidP="00EF67E9">
            <w:pPr>
              <w:pStyle w:val="Tablebodytextnospaceafter"/>
              <w:jc w:val="right"/>
            </w:pPr>
            <w:r>
              <w:t>3</w:t>
            </w:r>
          </w:p>
        </w:tc>
        <w:tc>
          <w:tcPr>
            <w:tcW w:w="1487" w:type="dxa"/>
          </w:tcPr>
          <w:p w14:paraId="50231D8F" w14:textId="77777777" w:rsidR="00EF67E9" w:rsidRDefault="00EF67E9" w:rsidP="00EF67E9">
            <w:pPr>
              <w:pStyle w:val="Tablebodytextnospaceafter"/>
              <w:jc w:val="right"/>
            </w:pPr>
            <w:r>
              <w:t>2</w:t>
            </w:r>
          </w:p>
        </w:tc>
      </w:tr>
      <w:tr w:rsidR="00EF67E9" w14:paraId="41CA6001"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49" w:type="dxa"/>
          </w:tcPr>
          <w:p w14:paraId="09CD13EB" w14:textId="77777777" w:rsidR="00EF67E9" w:rsidRDefault="00EF67E9" w:rsidP="00506E02">
            <w:pPr>
              <w:pStyle w:val="Tablebodytextnospaceafter"/>
            </w:pPr>
            <w:r>
              <w:t>Refusal – internal rules affecting decisions</w:t>
            </w:r>
          </w:p>
        </w:tc>
        <w:tc>
          <w:tcPr>
            <w:tcW w:w="1487" w:type="dxa"/>
          </w:tcPr>
          <w:p w14:paraId="1B81D572" w14:textId="77777777" w:rsidR="00EF67E9" w:rsidRDefault="00EF67E9" w:rsidP="00506E02">
            <w:pPr>
              <w:pStyle w:val="Tablebodytextnospaceafter"/>
              <w:jc w:val="right"/>
            </w:pPr>
            <w:r>
              <w:t>-</w:t>
            </w:r>
          </w:p>
        </w:tc>
        <w:tc>
          <w:tcPr>
            <w:tcW w:w="1487" w:type="dxa"/>
          </w:tcPr>
          <w:p w14:paraId="5EE63D4B" w14:textId="77777777" w:rsidR="00EF67E9" w:rsidRDefault="00EF67E9" w:rsidP="00506E02">
            <w:pPr>
              <w:pStyle w:val="Tablebodytextnospaceafter"/>
              <w:jc w:val="right"/>
            </w:pPr>
            <w:r>
              <w:t>1</w:t>
            </w:r>
          </w:p>
        </w:tc>
      </w:tr>
      <w:tr w:rsidR="00EF67E9" w14:paraId="5BA1DDD9"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49" w:type="dxa"/>
          </w:tcPr>
          <w:p w14:paraId="0BD1E693" w14:textId="77777777" w:rsidR="00EF67E9" w:rsidRDefault="00EF67E9" w:rsidP="00506E02">
            <w:pPr>
              <w:pStyle w:val="Tablebodytextnospaceafter"/>
            </w:pPr>
            <w:r>
              <w:t xml:space="preserve">Neither confirm nor deny existence of information </w:t>
            </w:r>
          </w:p>
        </w:tc>
        <w:tc>
          <w:tcPr>
            <w:tcW w:w="1487" w:type="dxa"/>
          </w:tcPr>
          <w:p w14:paraId="0E875193" w14:textId="77777777" w:rsidR="00EF67E9" w:rsidRDefault="00EF67E9" w:rsidP="00506E02">
            <w:pPr>
              <w:pStyle w:val="Tablebodytextnospaceafter"/>
              <w:jc w:val="right"/>
            </w:pPr>
            <w:r>
              <w:t>1</w:t>
            </w:r>
          </w:p>
        </w:tc>
        <w:tc>
          <w:tcPr>
            <w:tcW w:w="1487" w:type="dxa"/>
          </w:tcPr>
          <w:p w14:paraId="78512268" w14:textId="77777777" w:rsidR="00EF67E9" w:rsidRDefault="00EF67E9" w:rsidP="00506E02">
            <w:pPr>
              <w:pStyle w:val="Tablebodytextnospaceafter"/>
              <w:jc w:val="right"/>
            </w:pPr>
            <w:r>
              <w:t>-</w:t>
            </w:r>
          </w:p>
        </w:tc>
      </w:tr>
      <w:tr w:rsidR="00EF67E9" w14:paraId="73D85856"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49" w:type="dxa"/>
          </w:tcPr>
          <w:p w14:paraId="6BC8C797" w14:textId="77777777" w:rsidR="00EF67E9" w:rsidRDefault="00EF67E9" w:rsidP="00506E02">
            <w:pPr>
              <w:pStyle w:val="Tablebodytextnospaceafter"/>
            </w:pPr>
            <w:r>
              <w:t>Correction – personal information about body corporate</w:t>
            </w:r>
          </w:p>
        </w:tc>
        <w:tc>
          <w:tcPr>
            <w:tcW w:w="1487" w:type="dxa"/>
          </w:tcPr>
          <w:p w14:paraId="109DCC11" w14:textId="77777777" w:rsidR="00EF67E9" w:rsidRDefault="00EF67E9" w:rsidP="00506E02">
            <w:pPr>
              <w:pStyle w:val="Tablebodytextnospaceafter"/>
              <w:jc w:val="right"/>
            </w:pPr>
            <w:r>
              <w:t>1</w:t>
            </w:r>
          </w:p>
        </w:tc>
        <w:tc>
          <w:tcPr>
            <w:tcW w:w="1487" w:type="dxa"/>
          </w:tcPr>
          <w:p w14:paraId="10AA6459" w14:textId="77777777" w:rsidR="00EF67E9" w:rsidRDefault="00EF67E9" w:rsidP="00506E02">
            <w:pPr>
              <w:pStyle w:val="Tablebodytextnospaceafter"/>
              <w:jc w:val="right"/>
            </w:pPr>
            <w:r>
              <w:t>-</w:t>
            </w:r>
          </w:p>
        </w:tc>
      </w:tr>
      <w:tr w:rsidR="00084BE9" w14:paraId="55802DA6" w14:textId="77777777" w:rsidTr="00084BE9">
        <w:trPr>
          <w:cnfStyle w:val="000000100000" w:firstRow="0" w:lastRow="0" w:firstColumn="0" w:lastColumn="0" w:oddVBand="0" w:evenVBand="0" w:oddHBand="1" w:evenHBand="0" w:firstRowFirstColumn="0" w:firstRowLastColumn="0" w:lastRowFirstColumn="0" w:lastRowLastColumn="0"/>
          <w:trHeight w:val="295"/>
        </w:trPr>
        <w:tc>
          <w:tcPr>
            <w:tcW w:w="6249" w:type="dxa"/>
            <w:shd w:val="clear" w:color="auto" w:fill="BFBFBF"/>
          </w:tcPr>
          <w:p w14:paraId="4DC1C950" w14:textId="77777777" w:rsidR="00084BE9" w:rsidRPr="002E5240" w:rsidRDefault="00084BE9" w:rsidP="00506E02">
            <w:pPr>
              <w:pStyle w:val="Tablebodytextnospaceafter"/>
              <w:rPr>
                <w:rStyle w:val="Emphasis"/>
              </w:rPr>
            </w:pPr>
            <w:r w:rsidRPr="002E5240">
              <w:rPr>
                <w:rStyle w:val="Emphasis"/>
              </w:rPr>
              <w:t>Total</w:t>
            </w:r>
          </w:p>
        </w:tc>
        <w:tc>
          <w:tcPr>
            <w:tcW w:w="1487" w:type="dxa"/>
            <w:shd w:val="clear" w:color="auto" w:fill="BFBFBF"/>
          </w:tcPr>
          <w:p w14:paraId="1E54D576" w14:textId="77777777" w:rsidR="00084BE9" w:rsidRPr="002E5240" w:rsidRDefault="00084BE9" w:rsidP="00506E02">
            <w:pPr>
              <w:pStyle w:val="Tablebodytextnospaceafter"/>
              <w:jc w:val="right"/>
              <w:rPr>
                <w:rStyle w:val="Emphasis"/>
              </w:rPr>
            </w:pPr>
            <w:r>
              <w:rPr>
                <w:rStyle w:val="Emphasis"/>
              </w:rPr>
              <w:t>1,901</w:t>
            </w:r>
          </w:p>
        </w:tc>
        <w:tc>
          <w:tcPr>
            <w:tcW w:w="1487" w:type="dxa"/>
            <w:shd w:val="clear" w:color="auto" w:fill="BFBFBF"/>
          </w:tcPr>
          <w:p w14:paraId="378DC9B6" w14:textId="77777777" w:rsidR="00084BE9" w:rsidRDefault="00BA494B" w:rsidP="00EF67E9">
            <w:pPr>
              <w:pStyle w:val="Tablebodytextnospaceafter"/>
              <w:jc w:val="right"/>
              <w:rPr>
                <w:rStyle w:val="Emphasis"/>
              </w:rPr>
            </w:pPr>
            <w:r>
              <w:rPr>
                <w:rStyle w:val="Emphasis"/>
              </w:rPr>
              <w:t>1,3</w:t>
            </w:r>
            <w:r w:rsidR="00EF67E9">
              <w:rPr>
                <w:rStyle w:val="Emphasis"/>
              </w:rPr>
              <w:t>29</w:t>
            </w:r>
          </w:p>
        </w:tc>
      </w:tr>
    </w:tbl>
    <w:p w14:paraId="31640DAD" w14:textId="273693DA" w:rsidR="00B859BB" w:rsidRDefault="005B795D" w:rsidP="00B859BB">
      <w:pPr>
        <w:pStyle w:val="BodyText"/>
        <w:rPr>
          <w:rStyle w:val="Hyperlink"/>
        </w:rPr>
      </w:pPr>
      <w:hyperlink w:anchor="Contents" w:history="1">
        <w:r w:rsidR="00B859BB" w:rsidRPr="00F5248A">
          <w:rPr>
            <w:rStyle w:val="Hyperlink"/>
          </w:rPr>
          <w:t>Back to contents</w:t>
        </w:r>
      </w:hyperlink>
    </w:p>
    <w:p w14:paraId="666D6D8D" w14:textId="77777777" w:rsidR="00F15F11" w:rsidRDefault="00F15F11" w:rsidP="00B859BB">
      <w:pPr>
        <w:pStyle w:val="BodyText"/>
      </w:pPr>
    </w:p>
    <w:tbl>
      <w:tblPr>
        <w:tblStyle w:val="TableGridAnnualReport"/>
        <w:tblW w:w="9223" w:type="dxa"/>
        <w:tblInd w:w="30" w:type="dxa"/>
        <w:tblLayout w:type="fixed"/>
        <w:tblLook w:val="0420" w:firstRow="1" w:lastRow="0" w:firstColumn="0" w:lastColumn="0" w:noHBand="0" w:noVBand="1"/>
        <w:tblCaption w:val="Table for formatting purposes"/>
      </w:tblPr>
      <w:tblGrid>
        <w:gridCol w:w="6249"/>
        <w:gridCol w:w="1487"/>
        <w:gridCol w:w="1487"/>
      </w:tblGrid>
      <w:tr w:rsidR="00084BE9" w14:paraId="580DC616" w14:textId="77777777" w:rsidTr="00084BE9">
        <w:trPr>
          <w:cnfStyle w:val="100000000000" w:firstRow="1" w:lastRow="0" w:firstColumn="0" w:lastColumn="0" w:oddVBand="0" w:evenVBand="0" w:oddHBand="0" w:evenHBand="0" w:firstRowFirstColumn="0" w:firstRowLastColumn="0" w:lastRowFirstColumn="0" w:lastRowLastColumn="0"/>
          <w:trHeight w:val="286"/>
        </w:trPr>
        <w:tc>
          <w:tcPr>
            <w:tcW w:w="6249" w:type="dxa"/>
          </w:tcPr>
          <w:p w14:paraId="0F10B3E9" w14:textId="77777777" w:rsidR="00084BE9" w:rsidRPr="00BE4BB3" w:rsidRDefault="001C7062" w:rsidP="00F15F11">
            <w:pPr>
              <w:pStyle w:val="Tableheadingrow1"/>
            </w:pPr>
            <w:r>
              <w:t>1</w:t>
            </w:r>
            <w:r w:rsidR="00F15F11">
              <w:t>3</w:t>
            </w:r>
            <w:r>
              <w:t xml:space="preserve">. </w:t>
            </w:r>
            <w:r w:rsidR="00084BE9" w:rsidRPr="00BE4BB3">
              <w:t>O</w:t>
            </w:r>
            <w:r w:rsidR="00084BE9">
              <w:t>IA complaints received from</w:t>
            </w:r>
          </w:p>
        </w:tc>
        <w:tc>
          <w:tcPr>
            <w:tcW w:w="1487" w:type="dxa"/>
          </w:tcPr>
          <w:p w14:paraId="0ED2A486" w14:textId="77777777" w:rsidR="00084BE9" w:rsidRDefault="00084BE9" w:rsidP="00506E02">
            <w:pPr>
              <w:pStyle w:val="Tableheadingrow1"/>
              <w:jc w:val="right"/>
            </w:pPr>
            <w:r>
              <w:t>2018/19</w:t>
            </w:r>
          </w:p>
        </w:tc>
        <w:tc>
          <w:tcPr>
            <w:tcW w:w="1487" w:type="dxa"/>
          </w:tcPr>
          <w:p w14:paraId="41FE68F8" w14:textId="77777777" w:rsidR="00084BE9" w:rsidRDefault="00084BE9" w:rsidP="00506E02">
            <w:pPr>
              <w:pStyle w:val="Tableheadingrow1"/>
              <w:jc w:val="right"/>
            </w:pPr>
            <w:r>
              <w:t>2019/20</w:t>
            </w:r>
          </w:p>
        </w:tc>
      </w:tr>
      <w:tr w:rsidR="002C664B" w14:paraId="69035709"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49" w:type="dxa"/>
          </w:tcPr>
          <w:p w14:paraId="23752B96" w14:textId="77777777" w:rsidR="002C664B" w:rsidRPr="00BE4BB3" w:rsidRDefault="002C664B" w:rsidP="00506E02">
            <w:pPr>
              <w:pStyle w:val="Tablebodytextnospaceafter"/>
            </w:pPr>
            <w:r>
              <w:t>General public – i</w:t>
            </w:r>
            <w:r w:rsidRPr="00BE4BB3">
              <w:t>ndividuals</w:t>
            </w:r>
          </w:p>
        </w:tc>
        <w:tc>
          <w:tcPr>
            <w:tcW w:w="1487" w:type="dxa"/>
          </w:tcPr>
          <w:p w14:paraId="6115DB0E" w14:textId="77777777" w:rsidR="002C664B" w:rsidRDefault="002C664B" w:rsidP="00506E02">
            <w:pPr>
              <w:pStyle w:val="Tablebodytextnospaceafter"/>
              <w:jc w:val="right"/>
            </w:pPr>
            <w:r>
              <w:t>1,404</w:t>
            </w:r>
          </w:p>
        </w:tc>
        <w:tc>
          <w:tcPr>
            <w:tcW w:w="1487" w:type="dxa"/>
          </w:tcPr>
          <w:p w14:paraId="1E817F74" w14:textId="77777777" w:rsidR="002C664B" w:rsidRDefault="002C664B" w:rsidP="001E2DB2">
            <w:pPr>
              <w:pStyle w:val="Tablebodytextnospaceafter"/>
              <w:jc w:val="right"/>
            </w:pPr>
            <w:r>
              <w:t>80</w:t>
            </w:r>
            <w:r w:rsidR="001E2DB2">
              <w:t>7</w:t>
            </w:r>
          </w:p>
        </w:tc>
      </w:tr>
      <w:tr w:rsidR="002C664B" w14:paraId="5D92A980"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49" w:type="dxa"/>
          </w:tcPr>
          <w:p w14:paraId="402EE290" w14:textId="77777777" w:rsidR="002C664B" w:rsidRPr="00BE4BB3" w:rsidRDefault="002C664B" w:rsidP="00506E02">
            <w:pPr>
              <w:pStyle w:val="Tablebodytextnospaceafter"/>
            </w:pPr>
            <w:r w:rsidRPr="00BE4BB3">
              <w:t>Media</w:t>
            </w:r>
          </w:p>
        </w:tc>
        <w:tc>
          <w:tcPr>
            <w:tcW w:w="1487" w:type="dxa"/>
          </w:tcPr>
          <w:p w14:paraId="61B69689" w14:textId="77777777" w:rsidR="002C664B" w:rsidRDefault="002C664B" w:rsidP="00506E02">
            <w:pPr>
              <w:pStyle w:val="Tablebodytextnospaceafter"/>
              <w:jc w:val="right"/>
            </w:pPr>
            <w:r>
              <w:t>289</w:t>
            </w:r>
          </w:p>
        </w:tc>
        <w:tc>
          <w:tcPr>
            <w:tcW w:w="1487" w:type="dxa"/>
          </w:tcPr>
          <w:p w14:paraId="34B9F903" w14:textId="77777777" w:rsidR="002C664B" w:rsidRDefault="002C664B" w:rsidP="00506E02">
            <w:pPr>
              <w:pStyle w:val="Tablebodytextnospaceafter"/>
              <w:jc w:val="right"/>
            </w:pPr>
            <w:r>
              <w:t>254</w:t>
            </w:r>
          </w:p>
        </w:tc>
      </w:tr>
      <w:tr w:rsidR="002C664B" w14:paraId="251921B6"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49" w:type="dxa"/>
          </w:tcPr>
          <w:p w14:paraId="5E7D834B" w14:textId="72B5BBE7" w:rsidR="002C664B" w:rsidRPr="00BE4BB3" w:rsidRDefault="002C664B" w:rsidP="00506E02">
            <w:pPr>
              <w:pStyle w:val="Tablebodytextnospaceafter"/>
            </w:pPr>
            <w:r w:rsidRPr="00BE4BB3">
              <w:t>Companies, associations</w:t>
            </w:r>
            <w:r w:rsidR="00D13E44">
              <w:t>,</w:t>
            </w:r>
            <w:r w:rsidRPr="00BE4BB3">
              <w:t xml:space="preserve"> and incorporated societies</w:t>
            </w:r>
          </w:p>
        </w:tc>
        <w:tc>
          <w:tcPr>
            <w:tcW w:w="1487" w:type="dxa"/>
          </w:tcPr>
          <w:p w14:paraId="1022AE63" w14:textId="77777777" w:rsidR="002C664B" w:rsidRDefault="002C664B" w:rsidP="00506E02">
            <w:pPr>
              <w:pStyle w:val="Tablebodytextnospaceafter"/>
              <w:jc w:val="right"/>
            </w:pPr>
            <w:r>
              <w:t>71</w:t>
            </w:r>
          </w:p>
        </w:tc>
        <w:tc>
          <w:tcPr>
            <w:tcW w:w="1487" w:type="dxa"/>
          </w:tcPr>
          <w:p w14:paraId="1D88D326" w14:textId="77777777" w:rsidR="002C664B" w:rsidRDefault="002C664B" w:rsidP="001E2DB2">
            <w:pPr>
              <w:pStyle w:val="Tablebodytextnospaceafter"/>
              <w:jc w:val="right"/>
            </w:pPr>
            <w:r>
              <w:t>9</w:t>
            </w:r>
            <w:r w:rsidR="001E2DB2">
              <w:t>5</w:t>
            </w:r>
          </w:p>
        </w:tc>
      </w:tr>
      <w:tr w:rsidR="002C664B" w14:paraId="5268E903"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49" w:type="dxa"/>
          </w:tcPr>
          <w:p w14:paraId="502F12D7" w14:textId="77777777" w:rsidR="002C664B" w:rsidRPr="00BE4BB3" w:rsidRDefault="002C664B" w:rsidP="00506E02">
            <w:pPr>
              <w:pStyle w:val="Tablebodytextnospaceafter"/>
            </w:pPr>
            <w:r w:rsidRPr="00BE4BB3">
              <w:t>Prisoners</w:t>
            </w:r>
            <w:r>
              <w:t xml:space="preserve"> and prisoner advocates</w:t>
            </w:r>
          </w:p>
        </w:tc>
        <w:tc>
          <w:tcPr>
            <w:tcW w:w="1487" w:type="dxa"/>
          </w:tcPr>
          <w:p w14:paraId="38F2A623" w14:textId="77777777" w:rsidR="002C664B" w:rsidRDefault="002C664B" w:rsidP="00506E02">
            <w:pPr>
              <w:pStyle w:val="Tablebodytextnospaceafter"/>
              <w:jc w:val="right"/>
            </w:pPr>
            <w:r>
              <w:t>37</w:t>
            </w:r>
          </w:p>
        </w:tc>
        <w:tc>
          <w:tcPr>
            <w:tcW w:w="1487" w:type="dxa"/>
          </w:tcPr>
          <w:p w14:paraId="4FDC52FF" w14:textId="77777777" w:rsidR="002C664B" w:rsidRDefault="002C664B" w:rsidP="00506E02">
            <w:pPr>
              <w:pStyle w:val="Tablebodytextnospaceafter"/>
              <w:jc w:val="right"/>
            </w:pPr>
            <w:r>
              <w:t>53</w:t>
            </w:r>
          </w:p>
        </w:tc>
      </w:tr>
      <w:tr w:rsidR="002C664B" w14:paraId="19F8F7E3"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49" w:type="dxa"/>
          </w:tcPr>
          <w:p w14:paraId="1DBFF2E8" w14:textId="77777777" w:rsidR="002C664B" w:rsidRPr="00BE4BB3" w:rsidRDefault="002C664B" w:rsidP="00506E02">
            <w:pPr>
              <w:pStyle w:val="Tablebodytextnospaceafter"/>
            </w:pPr>
            <w:r w:rsidRPr="00BE4BB3">
              <w:t>Members of Parliament</w:t>
            </w:r>
          </w:p>
        </w:tc>
        <w:tc>
          <w:tcPr>
            <w:tcW w:w="1487" w:type="dxa"/>
          </w:tcPr>
          <w:p w14:paraId="67D66773" w14:textId="77777777" w:rsidR="002C664B" w:rsidRDefault="002C664B" w:rsidP="00506E02">
            <w:pPr>
              <w:pStyle w:val="Tablebodytextnospaceafter"/>
              <w:jc w:val="right"/>
            </w:pPr>
            <w:r>
              <w:t>44</w:t>
            </w:r>
          </w:p>
        </w:tc>
        <w:tc>
          <w:tcPr>
            <w:tcW w:w="1487" w:type="dxa"/>
          </w:tcPr>
          <w:p w14:paraId="274B9752" w14:textId="77777777" w:rsidR="002C664B" w:rsidRDefault="002C664B" w:rsidP="00506E02">
            <w:pPr>
              <w:pStyle w:val="Tablebodytextnospaceafter"/>
              <w:jc w:val="right"/>
            </w:pPr>
            <w:r>
              <w:t>41</w:t>
            </w:r>
          </w:p>
        </w:tc>
      </w:tr>
      <w:tr w:rsidR="002C664B" w14:paraId="6B261FCC"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49" w:type="dxa"/>
          </w:tcPr>
          <w:p w14:paraId="7F4A83CC" w14:textId="77777777" w:rsidR="002C664B" w:rsidRPr="00BE4BB3" w:rsidRDefault="002C664B" w:rsidP="00506E02">
            <w:pPr>
              <w:pStyle w:val="Tablebodytextnospaceafter"/>
            </w:pPr>
            <w:r w:rsidRPr="00BE4BB3">
              <w:t>Special interest groups</w:t>
            </w:r>
          </w:p>
        </w:tc>
        <w:tc>
          <w:tcPr>
            <w:tcW w:w="1487" w:type="dxa"/>
          </w:tcPr>
          <w:p w14:paraId="68AF1C1F" w14:textId="77777777" w:rsidR="002C664B" w:rsidRDefault="002C664B" w:rsidP="00506E02">
            <w:pPr>
              <w:pStyle w:val="Tablebodytextnospaceafter"/>
              <w:jc w:val="right"/>
            </w:pPr>
            <w:r>
              <w:t>-</w:t>
            </w:r>
          </w:p>
        </w:tc>
        <w:tc>
          <w:tcPr>
            <w:tcW w:w="1487" w:type="dxa"/>
          </w:tcPr>
          <w:p w14:paraId="20D6CA93" w14:textId="77777777" w:rsidR="002C664B" w:rsidRDefault="002C664B" w:rsidP="00506E02">
            <w:pPr>
              <w:pStyle w:val="Tablebodytextnospaceafter"/>
              <w:jc w:val="right"/>
            </w:pPr>
            <w:r>
              <w:t>41</w:t>
            </w:r>
          </w:p>
        </w:tc>
      </w:tr>
      <w:tr w:rsidR="002C664B" w14:paraId="0577A2AD"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49" w:type="dxa"/>
          </w:tcPr>
          <w:p w14:paraId="309ED05E" w14:textId="77777777" w:rsidR="002C664B" w:rsidRPr="00BE4BB3" w:rsidRDefault="002C664B" w:rsidP="00506E02">
            <w:pPr>
              <w:pStyle w:val="Tablebodytextnospaceafter"/>
            </w:pPr>
            <w:r w:rsidRPr="00BE4BB3">
              <w:t>Political party research units</w:t>
            </w:r>
          </w:p>
        </w:tc>
        <w:tc>
          <w:tcPr>
            <w:tcW w:w="1487" w:type="dxa"/>
          </w:tcPr>
          <w:p w14:paraId="57AC7858" w14:textId="77777777" w:rsidR="002C664B" w:rsidRDefault="002C664B" w:rsidP="00506E02">
            <w:pPr>
              <w:pStyle w:val="Tablebodytextnospaceafter"/>
              <w:jc w:val="right"/>
            </w:pPr>
            <w:r>
              <w:t>44</w:t>
            </w:r>
          </w:p>
        </w:tc>
        <w:tc>
          <w:tcPr>
            <w:tcW w:w="1487" w:type="dxa"/>
          </w:tcPr>
          <w:p w14:paraId="0E91ABC7" w14:textId="77777777" w:rsidR="002C664B" w:rsidRDefault="002C664B" w:rsidP="00506E02">
            <w:pPr>
              <w:pStyle w:val="Tablebodytextnospaceafter"/>
              <w:jc w:val="right"/>
            </w:pPr>
            <w:r>
              <w:t>25</w:t>
            </w:r>
          </w:p>
        </w:tc>
      </w:tr>
      <w:tr w:rsidR="002C664B" w14:paraId="73D58832"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49" w:type="dxa"/>
          </w:tcPr>
          <w:p w14:paraId="59A86EDC" w14:textId="77777777" w:rsidR="002C664B" w:rsidRDefault="002C664B" w:rsidP="00506E02">
            <w:pPr>
              <w:pStyle w:val="Tablebodytextnospaceafter"/>
            </w:pPr>
            <w:r>
              <w:t>Trade unions</w:t>
            </w:r>
          </w:p>
        </w:tc>
        <w:tc>
          <w:tcPr>
            <w:tcW w:w="1487" w:type="dxa"/>
          </w:tcPr>
          <w:p w14:paraId="2DB1C79D" w14:textId="77777777" w:rsidR="002C664B" w:rsidRDefault="002C664B" w:rsidP="00506E02">
            <w:pPr>
              <w:pStyle w:val="Tablebodytextnospaceafter"/>
              <w:jc w:val="right"/>
            </w:pPr>
            <w:r>
              <w:t>6</w:t>
            </w:r>
          </w:p>
        </w:tc>
        <w:tc>
          <w:tcPr>
            <w:tcW w:w="1487" w:type="dxa"/>
          </w:tcPr>
          <w:p w14:paraId="184395C6" w14:textId="77777777" w:rsidR="002C664B" w:rsidRDefault="002C664B" w:rsidP="00506E02">
            <w:pPr>
              <w:pStyle w:val="Tablebodytextnospaceafter"/>
              <w:jc w:val="right"/>
            </w:pPr>
            <w:r>
              <w:t>7</w:t>
            </w:r>
          </w:p>
        </w:tc>
      </w:tr>
      <w:tr w:rsidR="002C664B" w14:paraId="27304DC3"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49" w:type="dxa"/>
          </w:tcPr>
          <w:p w14:paraId="61D6DA00" w14:textId="77777777" w:rsidR="002C664B" w:rsidRDefault="002C664B" w:rsidP="00506E02">
            <w:pPr>
              <w:pStyle w:val="Tablebodytextnospaceafter"/>
            </w:pPr>
            <w:r w:rsidRPr="00BE4BB3">
              <w:t>Researchers</w:t>
            </w:r>
          </w:p>
        </w:tc>
        <w:tc>
          <w:tcPr>
            <w:tcW w:w="1487" w:type="dxa"/>
          </w:tcPr>
          <w:p w14:paraId="0A762B50" w14:textId="77777777" w:rsidR="002C664B" w:rsidRDefault="002C664B" w:rsidP="00506E02">
            <w:pPr>
              <w:pStyle w:val="Tablebodytextnospaceafter"/>
              <w:jc w:val="right"/>
            </w:pPr>
            <w:r>
              <w:t>4</w:t>
            </w:r>
          </w:p>
        </w:tc>
        <w:tc>
          <w:tcPr>
            <w:tcW w:w="1487" w:type="dxa"/>
          </w:tcPr>
          <w:p w14:paraId="72685275" w14:textId="77777777" w:rsidR="002C664B" w:rsidRDefault="002C664B" w:rsidP="00506E02">
            <w:pPr>
              <w:pStyle w:val="Tablebodytextnospaceafter"/>
              <w:jc w:val="right"/>
            </w:pPr>
            <w:r>
              <w:t>4</w:t>
            </w:r>
          </w:p>
        </w:tc>
      </w:tr>
      <w:tr w:rsidR="002C664B" w14:paraId="07038853" w14:textId="77777777" w:rsidTr="00084BE9">
        <w:trPr>
          <w:cnfStyle w:val="000000010000" w:firstRow="0" w:lastRow="0" w:firstColumn="0" w:lastColumn="0" w:oddVBand="0" w:evenVBand="0" w:oddHBand="0" w:evenHBand="1" w:firstRowFirstColumn="0" w:firstRowLastColumn="0" w:lastRowFirstColumn="0" w:lastRowLastColumn="0"/>
          <w:trHeight w:val="60"/>
        </w:trPr>
        <w:tc>
          <w:tcPr>
            <w:tcW w:w="6249" w:type="dxa"/>
          </w:tcPr>
          <w:p w14:paraId="0324040A" w14:textId="77777777" w:rsidR="002C664B" w:rsidRPr="00BE4BB3" w:rsidRDefault="002C664B" w:rsidP="00506E02">
            <w:pPr>
              <w:pStyle w:val="Tablebodytextnospaceafter"/>
            </w:pPr>
            <w:r>
              <w:t>D</w:t>
            </w:r>
            <w:r w:rsidRPr="00BE4BB3">
              <w:t>epartments</w:t>
            </w:r>
            <w:r>
              <w:t xml:space="preserve">, government </w:t>
            </w:r>
            <w:r w:rsidRPr="00BE4BB3">
              <w:t>organisations</w:t>
            </w:r>
            <w:r>
              <w:t>, and</w:t>
            </w:r>
            <w:r w:rsidRPr="00BE4BB3">
              <w:t xml:space="preserve"> local authorities</w:t>
            </w:r>
          </w:p>
        </w:tc>
        <w:tc>
          <w:tcPr>
            <w:tcW w:w="1487" w:type="dxa"/>
          </w:tcPr>
          <w:p w14:paraId="17BBB114" w14:textId="77777777" w:rsidR="002C664B" w:rsidRDefault="002C664B" w:rsidP="00506E02">
            <w:pPr>
              <w:pStyle w:val="Tablebodytextnospaceafter"/>
              <w:jc w:val="right"/>
            </w:pPr>
            <w:r>
              <w:t>2</w:t>
            </w:r>
          </w:p>
        </w:tc>
        <w:tc>
          <w:tcPr>
            <w:tcW w:w="1487" w:type="dxa"/>
          </w:tcPr>
          <w:p w14:paraId="1684FDA6" w14:textId="77777777" w:rsidR="002C664B" w:rsidRDefault="002C664B" w:rsidP="00506E02">
            <w:pPr>
              <w:pStyle w:val="Tablebodytextnospaceafter"/>
              <w:jc w:val="right"/>
            </w:pPr>
            <w:r>
              <w:t>1</w:t>
            </w:r>
          </w:p>
        </w:tc>
      </w:tr>
      <w:tr w:rsidR="002C664B" w14:paraId="7B2334CD" w14:textId="77777777" w:rsidTr="00084BE9">
        <w:trPr>
          <w:cnfStyle w:val="000000100000" w:firstRow="0" w:lastRow="0" w:firstColumn="0" w:lastColumn="0" w:oddVBand="0" w:evenVBand="0" w:oddHBand="1" w:evenHBand="0" w:firstRowFirstColumn="0" w:firstRowLastColumn="0" w:lastRowFirstColumn="0" w:lastRowLastColumn="0"/>
          <w:trHeight w:val="60"/>
        </w:trPr>
        <w:tc>
          <w:tcPr>
            <w:tcW w:w="6249" w:type="dxa"/>
          </w:tcPr>
          <w:p w14:paraId="2D91826A" w14:textId="77777777" w:rsidR="002C664B" w:rsidRDefault="002C664B" w:rsidP="00506E02">
            <w:pPr>
              <w:pStyle w:val="Tablebodytextnospaceafter"/>
            </w:pPr>
            <w:r>
              <w:t>Review agency</w:t>
            </w:r>
          </w:p>
        </w:tc>
        <w:tc>
          <w:tcPr>
            <w:tcW w:w="1487" w:type="dxa"/>
          </w:tcPr>
          <w:p w14:paraId="4244E111" w14:textId="77777777" w:rsidR="002C664B" w:rsidRDefault="002C664B" w:rsidP="00506E02">
            <w:pPr>
              <w:pStyle w:val="Tablebodytextnospaceafter"/>
              <w:jc w:val="right"/>
            </w:pPr>
            <w:r>
              <w:t>-</w:t>
            </w:r>
          </w:p>
        </w:tc>
        <w:tc>
          <w:tcPr>
            <w:tcW w:w="1487" w:type="dxa"/>
          </w:tcPr>
          <w:p w14:paraId="677B2ABB" w14:textId="77777777" w:rsidR="002C664B" w:rsidRDefault="002C664B" w:rsidP="00506E02">
            <w:pPr>
              <w:pStyle w:val="Tablebodytextnospaceafter"/>
              <w:jc w:val="right"/>
            </w:pPr>
            <w:r>
              <w:t>1</w:t>
            </w:r>
          </w:p>
        </w:tc>
      </w:tr>
      <w:tr w:rsidR="00084BE9" w14:paraId="09EF3B3A" w14:textId="77777777" w:rsidTr="00084BE9">
        <w:trPr>
          <w:cnfStyle w:val="000000010000" w:firstRow="0" w:lastRow="0" w:firstColumn="0" w:lastColumn="0" w:oddVBand="0" w:evenVBand="0" w:oddHBand="0" w:evenHBand="1" w:firstRowFirstColumn="0" w:firstRowLastColumn="0" w:lastRowFirstColumn="0" w:lastRowLastColumn="0"/>
          <w:trHeight w:val="305"/>
        </w:trPr>
        <w:tc>
          <w:tcPr>
            <w:tcW w:w="6249" w:type="dxa"/>
            <w:shd w:val="clear" w:color="auto" w:fill="BFBFBF"/>
          </w:tcPr>
          <w:p w14:paraId="10AD99C2" w14:textId="77777777" w:rsidR="00084BE9" w:rsidRPr="0060208A" w:rsidRDefault="00084BE9" w:rsidP="00506E02">
            <w:pPr>
              <w:pStyle w:val="Tablebodytextnospaceafter"/>
              <w:rPr>
                <w:rStyle w:val="Emphasis"/>
              </w:rPr>
            </w:pPr>
            <w:r w:rsidRPr="0060208A">
              <w:rPr>
                <w:rStyle w:val="Emphasis"/>
              </w:rPr>
              <w:t>Total</w:t>
            </w:r>
          </w:p>
        </w:tc>
        <w:tc>
          <w:tcPr>
            <w:tcW w:w="1487" w:type="dxa"/>
            <w:shd w:val="clear" w:color="auto" w:fill="BFBFBF"/>
          </w:tcPr>
          <w:p w14:paraId="6EF04F90" w14:textId="77777777" w:rsidR="00084BE9" w:rsidRPr="0060208A" w:rsidRDefault="00084BE9" w:rsidP="00506E02">
            <w:pPr>
              <w:pStyle w:val="Tablebodytextnospaceafter"/>
              <w:jc w:val="right"/>
              <w:rPr>
                <w:rStyle w:val="Emphasis"/>
              </w:rPr>
            </w:pPr>
            <w:r w:rsidRPr="00760F69">
              <w:rPr>
                <w:rStyle w:val="Emphasis"/>
              </w:rPr>
              <w:t>1,901</w:t>
            </w:r>
          </w:p>
        </w:tc>
        <w:tc>
          <w:tcPr>
            <w:tcW w:w="1487" w:type="dxa"/>
            <w:shd w:val="clear" w:color="auto" w:fill="BFBFBF"/>
          </w:tcPr>
          <w:p w14:paraId="142927F9" w14:textId="77777777" w:rsidR="00084BE9" w:rsidRPr="00760F69" w:rsidRDefault="00AE43CD" w:rsidP="00506E02">
            <w:pPr>
              <w:pStyle w:val="Tablebodytextnospaceafter"/>
              <w:jc w:val="right"/>
              <w:rPr>
                <w:rStyle w:val="Emphasis"/>
              </w:rPr>
            </w:pPr>
            <w:r>
              <w:rPr>
                <w:rStyle w:val="Emphasis"/>
              </w:rPr>
              <w:t>1,329</w:t>
            </w:r>
          </w:p>
        </w:tc>
      </w:tr>
    </w:tbl>
    <w:p w14:paraId="39BFC34A" w14:textId="73D2E5BD" w:rsidR="00DF1795" w:rsidRDefault="005B795D" w:rsidP="00DF1795">
      <w:pPr>
        <w:rPr>
          <w:rStyle w:val="Hyperlink"/>
        </w:rPr>
      </w:pPr>
      <w:hyperlink w:anchor="Contents" w:history="1">
        <w:r w:rsidR="00DF1795" w:rsidRPr="00F5248A">
          <w:rPr>
            <w:rStyle w:val="Hyperlink"/>
          </w:rPr>
          <w:t>Back to contents</w:t>
        </w:r>
      </w:hyperlink>
    </w:p>
    <w:p w14:paraId="0CB3AF99" w14:textId="77777777" w:rsidR="00F15F11" w:rsidRDefault="00F15F11" w:rsidP="00DF1795"/>
    <w:tbl>
      <w:tblPr>
        <w:tblStyle w:val="TableGridAnnualReport"/>
        <w:tblW w:w="9268" w:type="dxa"/>
        <w:tblInd w:w="10" w:type="dxa"/>
        <w:tblLayout w:type="fixed"/>
        <w:tblLook w:val="0420" w:firstRow="1" w:lastRow="0" w:firstColumn="0" w:lastColumn="0" w:noHBand="0" w:noVBand="1"/>
        <w:tblCaption w:val="Table for formatting purposes"/>
      </w:tblPr>
      <w:tblGrid>
        <w:gridCol w:w="6260"/>
        <w:gridCol w:w="1504"/>
        <w:gridCol w:w="1504"/>
      </w:tblGrid>
      <w:tr w:rsidR="00084BE9" w14:paraId="29C6E711" w14:textId="77777777" w:rsidTr="00F15F11">
        <w:trPr>
          <w:cnfStyle w:val="100000000000" w:firstRow="1" w:lastRow="0" w:firstColumn="0" w:lastColumn="0" w:oddVBand="0" w:evenVBand="0" w:oddHBand="0" w:evenHBand="0" w:firstRowFirstColumn="0" w:firstRowLastColumn="0" w:lastRowFirstColumn="0" w:lastRowLastColumn="0"/>
          <w:trHeight w:val="326"/>
        </w:trPr>
        <w:tc>
          <w:tcPr>
            <w:tcW w:w="6260" w:type="dxa"/>
          </w:tcPr>
          <w:p w14:paraId="64643F85" w14:textId="77777777" w:rsidR="00084BE9" w:rsidRPr="00E02014" w:rsidRDefault="001C7062" w:rsidP="00F15F11">
            <w:pPr>
              <w:pStyle w:val="Tableheadingrow1"/>
            </w:pPr>
            <w:r>
              <w:t>1</w:t>
            </w:r>
            <w:r w:rsidR="00F15F11">
              <w:t>4</w:t>
            </w:r>
            <w:r>
              <w:t xml:space="preserve">. </w:t>
            </w:r>
            <w:r w:rsidR="00084BE9" w:rsidRPr="00E02014">
              <w:t>OIA complaints received against</w:t>
            </w:r>
          </w:p>
        </w:tc>
        <w:tc>
          <w:tcPr>
            <w:tcW w:w="1504" w:type="dxa"/>
          </w:tcPr>
          <w:p w14:paraId="74E5C155" w14:textId="77777777" w:rsidR="00084BE9" w:rsidRDefault="00084BE9" w:rsidP="00506E02">
            <w:pPr>
              <w:pStyle w:val="Tableheadingrow1"/>
              <w:jc w:val="right"/>
            </w:pPr>
            <w:r>
              <w:t>2018/19</w:t>
            </w:r>
          </w:p>
        </w:tc>
        <w:tc>
          <w:tcPr>
            <w:tcW w:w="1504" w:type="dxa"/>
          </w:tcPr>
          <w:p w14:paraId="2D36C8ED" w14:textId="77777777" w:rsidR="00084BE9" w:rsidRDefault="00084BE9" w:rsidP="00506E02">
            <w:pPr>
              <w:pStyle w:val="Tableheadingrow1"/>
              <w:jc w:val="right"/>
            </w:pPr>
            <w:r>
              <w:t>2019/20</w:t>
            </w:r>
          </w:p>
        </w:tc>
      </w:tr>
      <w:tr w:rsidR="00084BE9" w14:paraId="5A591B9C" w14:textId="77777777" w:rsidTr="00F15F11">
        <w:trPr>
          <w:cnfStyle w:val="000000100000" w:firstRow="0" w:lastRow="0" w:firstColumn="0" w:lastColumn="0" w:oddVBand="0" w:evenVBand="0" w:oddHBand="1" w:evenHBand="0" w:firstRowFirstColumn="0" w:firstRowLastColumn="0" w:lastRowFirstColumn="0" w:lastRowLastColumn="0"/>
          <w:trHeight w:val="60"/>
        </w:trPr>
        <w:tc>
          <w:tcPr>
            <w:tcW w:w="6260" w:type="dxa"/>
          </w:tcPr>
          <w:p w14:paraId="4E9B4F24" w14:textId="77777777" w:rsidR="00084BE9" w:rsidRPr="00BE4BB3" w:rsidRDefault="00084BE9" w:rsidP="00506E02">
            <w:pPr>
              <w:pStyle w:val="Tablebodytextnospaceafter"/>
            </w:pPr>
            <w:r>
              <w:t>G</w:t>
            </w:r>
            <w:r w:rsidRPr="00BE4BB3">
              <w:t>overnment departments</w:t>
            </w:r>
          </w:p>
        </w:tc>
        <w:tc>
          <w:tcPr>
            <w:tcW w:w="1504" w:type="dxa"/>
          </w:tcPr>
          <w:p w14:paraId="3737FB5C" w14:textId="77777777" w:rsidR="00084BE9" w:rsidRDefault="00084BE9" w:rsidP="00506E02">
            <w:pPr>
              <w:pStyle w:val="Tablebodytextnospaceafter"/>
              <w:jc w:val="right"/>
            </w:pPr>
            <w:r>
              <w:t>561</w:t>
            </w:r>
          </w:p>
        </w:tc>
        <w:tc>
          <w:tcPr>
            <w:tcW w:w="1504" w:type="dxa"/>
          </w:tcPr>
          <w:p w14:paraId="79B2C5BF" w14:textId="77777777" w:rsidR="00084BE9" w:rsidRDefault="004F6659" w:rsidP="00B9537A">
            <w:pPr>
              <w:pStyle w:val="Tablebodytextnospaceafter"/>
              <w:jc w:val="right"/>
            </w:pPr>
            <w:r>
              <w:t>50</w:t>
            </w:r>
            <w:r w:rsidR="00B9537A">
              <w:t>5</w:t>
            </w:r>
          </w:p>
        </w:tc>
      </w:tr>
      <w:tr w:rsidR="00084BE9" w14:paraId="0F727BDD" w14:textId="77777777" w:rsidTr="00F15F11">
        <w:trPr>
          <w:cnfStyle w:val="000000010000" w:firstRow="0" w:lastRow="0" w:firstColumn="0" w:lastColumn="0" w:oddVBand="0" w:evenVBand="0" w:oddHBand="0" w:evenHBand="1" w:firstRowFirstColumn="0" w:firstRowLastColumn="0" w:lastRowFirstColumn="0" w:lastRowLastColumn="0"/>
          <w:trHeight w:val="60"/>
        </w:trPr>
        <w:tc>
          <w:tcPr>
            <w:tcW w:w="6260" w:type="dxa"/>
          </w:tcPr>
          <w:p w14:paraId="278506D1" w14:textId="77777777" w:rsidR="00084BE9" w:rsidRDefault="00084BE9" w:rsidP="00506E02">
            <w:pPr>
              <w:pStyle w:val="Tablebodytextnospaceafter"/>
            </w:pPr>
            <w:r>
              <w:t>Other organisations state sector (all)</w:t>
            </w:r>
          </w:p>
        </w:tc>
        <w:tc>
          <w:tcPr>
            <w:tcW w:w="1504" w:type="dxa"/>
          </w:tcPr>
          <w:p w14:paraId="35633CEB" w14:textId="77777777" w:rsidR="00084BE9" w:rsidRDefault="00084BE9" w:rsidP="00506E02">
            <w:pPr>
              <w:pStyle w:val="Tablebodytextnospaceafter"/>
              <w:jc w:val="right"/>
            </w:pPr>
            <w:r>
              <w:t>1,148</w:t>
            </w:r>
          </w:p>
        </w:tc>
        <w:tc>
          <w:tcPr>
            <w:tcW w:w="1504" w:type="dxa"/>
          </w:tcPr>
          <w:p w14:paraId="3B24D7AB" w14:textId="77777777" w:rsidR="00084BE9" w:rsidRDefault="004F6659" w:rsidP="00B9537A">
            <w:pPr>
              <w:pStyle w:val="Tablebodytextnospaceafter"/>
              <w:jc w:val="right"/>
            </w:pPr>
            <w:r>
              <w:t>68</w:t>
            </w:r>
            <w:r w:rsidR="00B9537A">
              <w:t>6</w:t>
            </w:r>
          </w:p>
        </w:tc>
      </w:tr>
      <w:tr w:rsidR="00084BE9" w14:paraId="541510EB" w14:textId="77777777" w:rsidTr="00F15F11">
        <w:trPr>
          <w:cnfStyle w:val="000000100000" w:firstRow="0" w:lastRow="0" w:firstColumn="0" w:lastColumn="0" w:oddVBand="0" w:evenVBand="0" w:oddHBand="1" w:evenHBand="0" w:firstRowFirstColumn="0" w:firstRowLastColumn="0" w:lastRowFirstColumn="0" w:lastRowLastColumn="0"/>
          <w:trHeight w:val="283"/>
        </w:trPr>
        <w:tc>
          <w:tcPr>
            <w:tcW w:w="6260" w:type="dxa"/>
          </w:tcPr>
          <w:p w14:paraId="36067E5D" w14:textId="340EFA74" w:rsidR="00084BE9" w:rsidRPr="002D6029" w:rsidRDefault="00866727" w:rsidP="00506E02">
            <w:pPr>
              <w:pStyle w:val="Tablebodytextnospaceafter"/>
              <w:rPr>
                <w:rStyle w:val="Italics"/>
              </w:rPr>
            </w:pPr>
            <w:r>
              <w:rPr>
                <w:rStyle w:val="Italics"/>
              </w:rPr>
              <w:t xml:space="preserve">  </w:t>
            </w:r>
            <w:r w:rsidR="00084BE9">
              <w:rPr>
                <w:rStyle w:val="Italics"/>
              </w:rPr>
              <w:t xml:space="preserve"> </w:t>
            </w:r>
            <w:r w:rsidR="00084BE9" w:rsidRPr="002D6029">
              <w:rPr>
                <w:rStyle w:val="Italics"/>
              </w:rPr>
              <w:t xml:space="preserve">District Health Boards </w:t>
            </w:r>
          </w:p>
        </w:tc>
        <w:tc>
          <w:tcPr>
            <w:tcW w:w="1504" w:type="dxa"/>
          </w:tcPr>
          <w:p w14:paraId="322A8EA7" w14:textId="77777777" w:rsidR="00084BE9" w:rsidRPr="00463F5E" w:rsidRDefault="00084BE9" w:rsidP="00506E02">
            <w:pPr>
              <w:pStyle w:val="Tablebodytextnospaceafter"/>
              <w:rPr>
                <w:rStyle w:val="Italics"/>
              </w:rPr>
            </w:pPr>
            <w:r>
              <w:rPr>
                <w:rStyle w:val="Italics"/>
              </w:rPr>
              <w:t>64</w:t>
            </w:r>
          </w:p>
        </w:tc>
        <w:tc>
          <w:tcPr>
            <w:tcW w:w="1504" w:type="dxa"/>
          </w:tcPr>
          <w:p w14:paraId="25AF607B" w14:textId="77777777" w:rsidR="00084BE9" w:rsidRDefault="004F6659" w:rsidP="00506E02">
            <w:pPr>
              <w:pStyle w:val="Tablebodytextnospaceafter"/>
              <w:rPr>
                <w:rStyle w:val="Italics"/>
              </w:rPr>
            </w:pPr>
            <w:r>
              <w:rPr>
                <w:rStyle w:val="Italics"/>
              </w:rPr>
              <w:t>96</w:t>
            </w:r>
          </w:p>
        </w:tc>
      </w:tr>
      <w:tr w:rsidR="00084BE9" w14:paraId="04BF4CDE" w14:textId="77777777" w:rsidTr="00F15F11">
        <w:trPr>
          <w:cnfStyle w:val="000000010000" w:firstRow="0" w:lastRow="0" w:firstColumn="0" w:lastColumn="0" w:oddVBand="0" w:evenVBand="0" w:oddHBand="0" w:evenHBand="1" w:firstRowFirstColumn="0" w:firstRowLastColumn="0" w:lastRowFirstColumn="0" w:lastRowLastColumn="0"/>
          <w:trHeight w:val="283"/>
        </w:trPr>
        <w:tc>
          <w:tcPr>
            <w:tcW w:w="6260" w:type="dxa"/>
          </w:tcPr>
          <w:p w14:paraId="4736F717" w14:textId="5E6C4AF7" w:rsidR="00084BE9" w:rsidRPr="002D6029" w:rsidRDefault="00866727" w:rsidP="00506E02">
            <w:pPr>
              <w:pStyle w:val="Tablebodytextnospaceafter"/>
              <w:rPr>
                <w:rStyle w:val="Italics"/>
              </w:rPr>
            </w:pPr>
            <w:r>
              <w:rPr>
                <w:rStyle w:val="Italics"/>
              </w:rPr>
              <w:t xml:space="preserve">   </w:t>
            </w:r>
            <w:r w:rsidR="00084BE9" w:rsidRPr="002D6029">
              <w:rPr>
                <w:rStyle w:val="Italics"/>
              </w:rPr>
              <w:t xml:space="preserve">Boards of Trustees (schools) </w:t>
            </w:r>
          </w:p>
        </w:tc>
        <w:tc>
          <w:tcPr>
            <w:tcW w:w="1504" w:type="dxa"/>
          </w:tcPr>
          <w:p w14:paraId="22B20087" w14:textId="77777777" w:rsidR="00084BE9" w:rsidRPr="00463F5E" w:rsidRDefault="00084BE9" w:rsidP="00506E02">
            <w:pPr>
              <w:pStyle w:val="Tablebodytextnospaceafter"/>
              <w:rPr>
                <w:rStyle w:val="Italics"/>
              </w:rPr>
            </w:pPr>
            <w:r>
              <w:rPr>
                <w:rStyle w:val="Italics"/>
              </w:rPr>
              <w:t>524</w:t>
            </w:r>
          </w:p>
        </w:tc>
        <w:tc>
          <w:tcPr>
            <w:tcW w:w="1504" w:type="dxa"/>
          </w:tcPr>
          <w:p w14:paraId="21CB0659" w14:textId="77777777" w:rsidR="00084BE9" w:rsidRDefault="00B9537A" w:rsidP="00506E02">
            <w:pPr>
              <w:pStyle w:val="Tablebodytextnospaceafter"/>
              <w:rPr>
                <w:rStyle w:val="Italics"/>
              </w:rPr>
            </w:pPr>
            <w:r>
              <w:rPr>
                <w:rStyle w:val="Italics"/>
              </w:rPr>
              <w:t>43</w:t>
            </w:r>
          </w:p>
        </w:tc>
      </w:tr>
      <w:tr w:rsidR="00084BE9" w14:paraId="7FD18E74" w14:textId="77777777" w:rsidTr="00F15F11">
        <w:trPr>
          <w:cnfStyle w:val="000000100000" w:firstRow="0" w:lastRow="0" w:firstColumn="0" w:lastColumn="0" w:oddVBand="0" w:evenVBand="0" w:oddHBand="1" w:evenHBand="0" w:firstRowFirstColumn="0" w:firstRowLastColumn="0" w:lastRowFirstColumn="0" w:lastRowLastColumn="0"/>
          <w:trHeight w:val="283"/>
        </w:trPr>
        <w:tc>
          <w:tcPr>
            <w:tcW w:w="6260" w:type="dxa"/>
            <w:tcBorders>
              <w:bottom w:val="single" w:sz="4" w:space="0" w:color="FFFFFF" w:themeColor="background1"/>
            </w:tcBorders>
          </w:tcPr>
          <w:p w14:paraId="39F48D88" w14:textId="30EDD7E4" w:rsidR="00084BE9" w:rsidRPr="002D6029" w:rsidRDefault="00866727" w:rsidP="00506E02">
            <w:pPr>
              <w:pStyle w:val="Tablebodytextnospaceafter"/>
              <w:rPr>
                <w:rStyle w:val="Italics"/>
              </w:rPr>
            </w:pPr>
            <w:r>
              <w:rPr>
                <w:rStyle w:val="Italics"/>
              </w:rPr>
              <w:t xml:space="preserve">  </w:t>
            </w:r>
            <w:r w:rsidR="00084BE9">
              <w:rPr>
                <w:rStyle w:val="Italics"/>
              </w:rPr>
              <w:t xml:space="preserve"> </w:t>
            </w:r>
            <w:r w:rsidR="00084BE9" w:rsidRPr="002D6029">
              <w:rPr>
                <w:rStyle w:val="Italics"/>
              </w:rPr>
              <w:t xml:space="preserve">Universities </w:t>
            </w:r>
          </w:p>
        </w:tc>
        <w:tc>
          <w:tcPr>
            <w:tcW w:w="1504" w:type="dxa"/>
          </w:tcPr>
          <w:p w14:paraId="75E66CAD" w14:textId="77777777" w:rsidR="00084BE9" w:rsidRPr="00463F5E" w:rsidRDefault="00084BE9" w:rsidP="00506E02">
            <w:pPr>
              <w:pStyle w:val="Tablebodytextnospaceafter"/>
              <w:rPr>
                <w:rStyle w:val="Italics"/>
              </w:rPr>
            </w:pPr>
            <w:r>
              <w:rPr>
                <w:rStyle w:val="Italics"/>
              </w:rPr>
              <w:t>38</w:t>
            </w:r>
          </w:p>
        </w:tc>
        <w:tc>
          <w:tcPr>
            <w:tcW w:w="1504" w:type="dxa"/>
          </w:tcPr>
          <w:p w14:paraId="23E4139F" w14:textId="77777777" w:rsidR="00084BE9" w:rsidRDefault="004F6659" w:rsidP="00506E02">
            <w:pPr>
              <w:pStyle w:val="Tablebodytextnospaceafter"/>
              <w:rPr>
                <w:rStyle w:val="Italics"/>
              </w:rPr>
            </w:pPr>
            <w:r>
              <w:rPr>
                <w:rStyle w:val="Italics"/>
              </w:rPr>
              <w:t>45</w:t>
            </w:r>
          </w:p>
        </w:tc>
      </w:tr>
      <w:tr w:rsidR="00084BE9" w14:paraId="7DF39A50" w14:textId="77777777" w:rsidTr="00F15F11">
        <w:trPr>
          <w:cnfStyle w:val="000000010000" w:firstRow="0" w:lastRow="0" w:firstColumn="0" w:lastColumn="0" w:oddVBand="0" w:evenVBand="0" w:oddHBand="0" w:evenHBand="1" w:firstRowFirstColumn="0" w:firstRowLastColumn="0" w:lastRowFirstColumn="0" w:lastRowLastColumn="0"/>
          <w:trHeight w:val="60"/>
        </w:trPr>
        <w:tc>
          <w:tcPr>
            <w:tcW w:w="6260" w:type="dxa"/>
            <w:tcBorders>
              <w:top w:val="single" w:sz="4" w:space="0" w:color="FFFFFF" w:themeColor="background1"/>
            </w:tcBorders>
          </w:tcPr>
          <w:p w14:paraId="2552F439" w14:textId="77777777" w:rsidR="00084BE9" w:rsidRPr="00BE4BB3" w:rsidRDefault="00084BE9" w:rsidP="00506E02">
            <w:pPr>
              <w:pStyle w:val="Tablebodytextnospaceafter"/>
            </w:pPr>
            <w:r>
              <w:t>Ministers</w:t>
            </w:r>
          </w:p>
        </w:tc>
        <w:tc>
          <w:tcPr>
            <w:tcW w:w="1504" w:type="dxa"/>
          </w:tcPr>
          <w:p w14:paraId="7A7000C0" w14:textId="77777777" w:rsidR="00084BE9" w:rsidRDefault="00084BE9" w:rsidP="00506E02">
            <w:pPr>
              <w:pStyle w:val="Tablebodytextnospaceafter"/>
              <w:jc w:val="right"/>
            </w:pPr>
            <w:r>
              <w:t>180</w:t>
            </w:r>
          </w:p>
        </w:tc>
        <w:tc>
          <w:tcPr>
            <w:tcW w:w="1504" w:type="dxa"/>
          </w:tcPr>
          <w:p w14:paraId="35D9C1FB" w14:textId="77777777" w:rsidR="00084BE9" w:rsidRDefault="004F6659" w:rsidP="00506E02">
            <w:pPr>
              <w:pStyle w:val="Tablebodytextnospaceafter"/>
              <w:jc w:val="right"/>
            </w:pPr>
            <w:r>
              <w:t>133</w:t>
            </w:r>
          </w:p>
        </w:tc>
      </w:tr>
      <w:tr w:rsidR="00084BE9" w14:paraId="11D21060" w14:textId="77777777" w:rsidTr="00F15F11">
        <w:trPr>
          <w:cnfStyle w:val="000000100000" w:firstRow="0" w:lastRow="0" w:firstColumn="0" w:lastColumn="0" w:oddVBand="0" w:evenVBand="0" w:oddHBand="1" w:evenHBand="0" w:firstRowFirstColumn="0" w:firstRowLastColumn="0" w:lastRowFirstColumn="0" w:lastRowLastColumn="0"/>
          <w:trHeight w:val="60"/>
        </w:trPr>
        <w:tc>
          <w:tcPr>
            <w:tcW w:w="6260" w:type="dxa"/>
          </w:tcPr>
          <w:p w14:paraId="0573F0FE" w14:textId="77777777" w:rsidR="00084BE9" w:rsidRPr="00E02014" w:rsidRDefault="00B9537A" w:rsidP="00506E02">
            <w:pPr>
              <w:pStyle w:val="Tablebodytextnospaceafter"/>
            </w:pPr>
            <w:r w:rsidRPr="00E02014">
              <w:t>Not specified</w:t>
            </w:r>
          </w:p>
        </w:tc>
        <w:tc>
          <w:tcPr>
            <w:tcW w:w="1504" w:type="dxa"/>
          </w:tcPr>
          <w:p w14:paraId="4BF0F28D" w14:textId="77777777" w:rsidR="00084BE9" w:rsidRDefault="00B9537A" w:rsidP="00506E02">
            <w:pPr>
              <w:pStyle w:val="Tablebodytextnospaceafter"/>
              <w:jc w:val="right"/>
            </w:pPr>
            <w:r>
              <w:t>12</w:t>
            </w:r>
          </w:p>
        </w:tc>
        <w:tc>
          <w:tcPr>
            <w:tcW w:w="1504" w:type="dxa"/>
          </w:tcPr>
          <w:p w14:paraId="7595E07D" w14:textId="77777777" w:rsidR="00084BE9" w:rsidRDefault="00B9537A" w:rsidP="00506E02">
            <w:pPr>
              <w:pStyle w:val="Tablebodytextnospaceafter"/>
              <w:jc w:val="right"/>
            </w:pPr>
            <w:r>
              <w:t>5</w:t>
            </w:r>
          </w:p>
        </w:tc>
      </w:tr>
      <w:tr w:rsidR="00084BE9" w14:paraId="512723BA" w14:textId="77777777" w:rsidTr="00F15F11">
        <w:trPr>
          <w:cnfStyle w:val="000000010000" w:firstRow="0" w:lastRow="0" w:firstColumn="0" w:lastColumn="0" w:oddVBand="0" w:evenVBand="0" w:oddHBand="0" w:evenHBand="1" w:firstRowFirstColumn="0" w:firstRowLastColumn="0" w:lastRowFirstColumn="0" w:lastRowLastColumn="0"/>
          <w:trHeight w:val="283"/>
        </w:trPr>
        <w:tc>
          <w:tcPr>
            <w:tcW w:w="6260" w:type="dxa"/>
            <w:shd w:val="clear" w:color="auto" w:fill="BFBFBF"/>
          </w:tcPr>
          <w:p w14:paraId="42CAFB2E" w14:textId="77777777" w:rsidR="00084BE9" w:rsidRPr="00463F5E" w:rsidRDefault="00084BE9" w:rsidP="00506E02">
            <w:pPr>
              <w:pStyle w:val="Tablebodytextnospaceafter"/>
              <w:rPr>
                <w:rStyle w:val="Emphasis"/>
              </w:rPr>
            </w:pPr>
            <w:r w:rsidRPr="00463F5E">
              <w:rPr>
                <w:rStyle w:val="Emphasis"/>
              </w:rPr>
              <w:t>Total</w:t>
            </w:r>
          </w:p>
        </w:tc>
        <w:tc>
          <w:tcPr>
            <w:tcW w:w="1504" w:type="dxa"/>
            <w:shd w:val="clear" w:color="auto" w:fill="BFBFBF"/>
          </w:tcPr>
          <w:p w14:paraId="0012F86B" w14:textId="77777777" w:rsidR="00084BE9" w:rsidRPr="00463F5E" w:rsidRDefault="00084BE9" w:rsidP="00506E02">
            <w:pPr>
              <w:pStyle w:val="Tablebodytextnospaceafter"/>
              <w:jc w:val="right"/>
              <w:rPr>
                <w:rStyle w:val="Emphasis"/>
              </w:rPr>
            </w:pPr>
            <w:r w:rsidRPr="00760F69">
              <w:rPr>
                <w:rStyle w:val="Emphasis"/>
              </w:rPr>
              <w:t>1,901</w:t>
            </w:r>
          </w:p>
        </w:tc>
        <w:tc>
          <w:tcPr>
            <w:tcW w:w="1504" w:type="dxa"/>
            <w:shd w:val="clear" w:color="auto" w:fill="BFBFBF"/>
          </w:tcPr>
          <w:p w14:paraId="72D0D924" w14:textId="77777777" w:rsidR="00084BE9" w:rsidRPr="00760F69" w:rsidRDefault="004F6659" w:rsidP="00B9537A">
            <w:pPr>
              <w:pStyle w:val="Tablebodytextnospaceafter"/>
              <w:jc w:val="right"/>
              <w:rPr>
                <w:rStyle w:val="Emphasis"/>
              </w:rPr>
            </w:pPr>
            <w:r>
              <w:rPr>
                <w:rStyle w:val="Emphasis"/>
              </w:rPr>
              <w:t>1,3</w:t>
            </w:r>
            <w:r w:rsidR="00B9537A">
              <w:rPr>
                <w:rStyle w:val="Emphasis"/>
              </w:rPr>
              <w:t>29</w:t>
            </w:r>
          </w:p>
        </w:tc>
      </w:tr>
    </w:tbl>
    <w:p w14:paraId="6592828A" w14:textId="7CC471CD" w:rsidR="00DF1795" w:rsidRDefault="005B795D" w:rsidP="00DF1795">
      <w:pPr>
        <w:pStyle w:val="BodyText"/>
      </w:pPr>
      <w:hyperlink w:anchor="Contents" w:history="1">
        <w:r w:rsidR="00DF1795" w:rsidRPr="00F5248A">
          <w:rPr>
            <w:rStyle w:val="Hyperlink"/>
          </w:rPr>
          <w:t>Back to contents</w:t>
        </w:r>
      </w:hyperlink>
    </w:p>
    <w:p w14:paraId="40A6DE85" w14:textId="77777777" w:rsidR="00DF1795" w:rsidRPr="00BE4BB3" w:rsidRDefault="00DF1795" w:rsidP="00DF1795">
      <w:pPr>
        <w:pStyle w:val="BodyText"/>
      </w:pPr>
    </w:p>
    <w:tbl>
      <w:tblPr>
        <w:tblStyle w:val="TableGridAnnualReport"/>
        <w:tblW w:w="9251" w:type="dxa"/>
        <w:tblInd w:w="20" w:type="dxa"/>
        <w:tblLayout w:type="fixed"/>
        <w:tblLook w:val="0420" w:firstRow="1" w:lastRow="0" w:firstColumn="0" w:lastColumn="0" w:noHBand="0" w:noVBand="1"/>
        <w:tblCaption w:val="Table for formatting purposes"/>
      </w:tblPr>
      <w:tblGrid>
        <w:gridCol w:w="6227"/>
        <w:gridCol w:w="1512"/>
        <w:gridCol w:w="1512"/>
      </w:tblGrid>
      <w:tr w:rsidR="00084BE9" w14:paraId="71846191" w14:textId="77777777" w:rsidTr="00084BE9">
        <w:trPr>
          <w:cnfStyle w:val="100000000000" w:firstRow="1" w:lastRow="0" w:firstColumn="0" w:lastColumn="0" w:oddVBand="0" w:evenVBand="0" w:oddHBand="0" w:evenHBand="0" w:firstRowFirstColumn="0" w:firstRowLastColumn="0" w:lastRowFirstColumn="0" w:lastRowLastColumn="0"/>
          <w:trHeight w:val="283"/>
        </w:trPr>
        <w:tc>
          <w:tcPr>
            <w:tcW w:w="6227" w:type="dxa"/>
          </w:tcPr>
          <w:p w14:paraId="5CB36DDB" w14:textId="77777777" w:rsidR="00084BE9" w:rsidRPr="00BC7EEC" w:rsidRDefault="001C7062" w:rsidP="00F15F11">
            <w:pPr>
              <w:pStyle w:val="Tableheadingrow1"/>
            </w:pPr>
            <w:r>
              <w:t>1</w:t>
            </w:r>
            <w:r w:rsidR="00F15F11">
              <w:t>5</w:t>
            </w:r>
            <w:r>
              <w:t xml:space="preserve">. </w:t>
            </w:r>
            <w:r w:rsidR="00084BE9">
              <w:t>OIA complaints received – greater than or equal to 15 complaints</w:t>
            </w:r>
          </w:p>
        </w:tc>
        <w:tc>
          <w:tcPr>
            <w:tcW w:w="1512" w:type="dxa"/>
          </w:tcPr>
          <w:p w14:paraId="6A8A46B8" w14:textId="77777777" w:rsidR="00084BE9" w:rsidRDefault="00084BE9" w:rsidP="00506E02">
            <w:pPr>
              <w:pStyle w:val="Tableheadingrow1"/>
              <w:jc w:val="right"/>
            </w:pPr>
            <w:r>
              <w:t>2018/19</w:t>
            </w:r>
          </w:p>
        </w:tc>
        <w:tc>
          <w:tcPr>
            <w:tcW w:w="1512" w:type="dxa"/>
          </w:tcPr>
          <w:p w14:paraId="55C7EAB7" w14:textId="77777777" w:rsidR="00084BE9" w:rsidRDefault="00C510E9" w:rsidP="00506E02">
            <w:pPr>
              <w:pStyle w:val="Tableheadingrow1"/>
              <w:jc w:val="right"/>
            </w:pPr>
            <w:r>
              <w:t>2019/20</w:t>
            </w:r>
          </w:p>
        </w:tc>
      </w:tr>
      <w:tr w:rsidR="00084BE9" w14:paraId="11B124C2" w14:textId="77777777" w:rsidTr="00084BE9">
        <w:trPr>
          <w:cnfStyle w:val="000000100000" w:firstRow="0" w:lastRow="0" w:firstColumn="0" w:lastColumn="0" w:oddVBand="0" w:evenVBand="0" w:oddHBand="1" w:evenHBand="0" w:firstRowFirstColumn="0" w:firstRowLastColumn="0" w:lastRowFirstColumn="0" w:lastRowLastColumn="0"/>
          <w:trHeight w:val="283"/>
        </w:trPr>
        <w:tc>
          <w:tcPr>
            <w:tcW w:w="6227" w:type="dxa"/>
            <w:shd w:val="clear" w:color="auto" w:fill="BFBFBF"/>
          </w:tcPr>
          <w:p w14:paraId="7E9FF7E0" w14:textId="77777777" w:rsidR="00084BE9" w:rsidRPr="005D63B3" w:rsidRDefault="00084BE9" w:rsidP="00506E02">
            <w:pPr>
              <w:pStyle w:val="Tablebodytextnospaceafter"/>
              <w:rPr>
                <w:rStyle w:val="Emphasis"/>
              </w:rPr>
            </w:pPr>
            <w:r w:rsidRPr="005D63B3">
              <w:rPr>
                <w:rStyle w:val="Emphasis"/>
              </w:rPr>
              <w:t xml:space="preserve">Government departments </w:t>
            </w:r>
          </w:p>
        </w:tc>
        <w:tc>
          <w:tcPr>
            <w:tcW w:w="1512" w:type="dxa"/>
            <w:shd w:val="clear" w:color="auto" w:fill="BFBFBF"/>
          </w:tcPr>
          <w:p w14:paraId="59F5447C" w14:textId="77777777" w:rsidR="00084BE9" w:rsidRPr="005D63B3" w:rsidRDefault="00084BE9" w:rsidP="00506E02">
            <w:pPr>
              <w:pStyle w:val="Tablebodytextnospaceafter"/>
              <w:rPr>
                <w:rStyle w:val="Emphasis"/>
              </w:rPr>
            </w:pPr>
          </w:p>
        </w:tc>
        <w:tc>
          <w:tcPr>
            <w:tcW w:w="1512" w:type="dxa"/>
            <w:shd w:val="clear" w:color="auto" w:fill="BFBFBF"/>
          </w:tcPr>
          <w:p w14:paraId="3151297B" w14:textId="77777777" w:rsidR="00084BE9" w:rsidRPr="005D63B3" w:rsidRDefault="00084BE9" w:rsidP="00506E02">
            <w:pPr>
              <w:pStyle w:val="Tablebodytextnospaceafter"/>
              <w:rPr>
                <w:rStyle w:val="Emphasis"/>
              </w:rPr>
            </w:pPr>
          </w:p>
        </w:tc>
      </w:tr>
      <w:tr w:rsidR="000222B5" w14:paraId="5788F4EC" w14:textId="77777777" w:rsidTr="00084BE9">
        <w:trPr>
          <w:cnfStyle w:val="000000010000" w:firstRow="0" w:lastRow="0" w:firstColumn="0" w:lastColumn="0" w:oddVBand="0" w:evenVBand="0" w:oddHBand="0" w:evenHBand="1" w:firstRowFirstColumn="0" w:firstRowLastColumn="0" w:lastRowFirstColumn="0" w:lastRowLastColumn="0"/>
          <w:trHeight w:val="283"/>
        </w:trPr>
        <w:tc>
          <w:tcPr>
            <w:tcW w:w="6227" w:type="dxa"/>
          </w:tcPr>
          <w:p w14:paraId="53DBEE7B" w14:textId="77777777" w:rsidR="000222B5" w:rsidRPr="00BE4BB3" w:rsidRDefault="000222B5" w:rsidP="00506E02">
            <w:pPr>
              <w:pStyle w:val="Tablebodytextnospaceafter"/>
            </w:pPr>
            <w:r w:rsidRPr="00BE4BB3">
              <w:t xml:space="preserve">Department of Corrections </w:t>
            </w:r>
          </w:p>
        </w:tc>
        <w:tc>
          <w:tcPr>
            <w:tcW w:w="1512" w:type="dxa"/>
          </w:tcPr>
          <w:p w14:paraId="3758D3E1" w14:textId="77777777" w:rsidR="000222B5" w:rsidRDefault="000222B5" w:rsidP="00506E02">
            <w:pPr>
              <w:pStyle w:val="Tablebodytextnospaceafter"/>
              <w:jc w:val="right"/>
            </w:pPr>
            <w:r>
              <w:t>66</w:t>
            </w:r>
          </w:p>
        </w:tc>
        <w:tc>
          <w:tcPr>
            <w:tcW w:w="1512" w:type="dxa"/>
          </w:tcPr>
          <w:p w14:paraId="65C5277E" w14:textId="77777777" w:rsidR="000222B5" w:rsidRDefault="000222B5" w:rsidP="00506E02">
            <w:pPr>
              <w:pStyle w:val="Tablebodytextnospaceafter"/>
              <w:jc w:val="right"/>
            </w:pPr>
            <w:r>
              <w:t>76</w:t>
            </w:r>
          </w:p>
        </w:tc>
      </w:tr>
      <w:tr w:rsidR="000222B5" w14:paraId="78026F59" w14:textId="77777777" w:rsidTr="00084BE9">
        <w:trPr>
          <w:cnfStyle w:val="000000100000" w:firstRow="0" w:lastRow="0" w:firstColumn="0" w:lastColumn="0" w:oddVBand="0" w:evenVBand="0" w:oddHBand="1" w:evenHBand="0" w:firstRowFirstColumn="0" w:firstRowLastColumn="0" w:lastRowFirstColumn="0" w:lastRowLastColumn="0"/>
          <w:trHeight w:val="283"/>
        </w:trPr>
        <w:tc>
          <w:tcPr>
            <w:tcW w:w="6227" w:type="dxa"/>
          </w:tcPr>
          <w:p w14:paraId="3C28EE02" w14:textId="77777777" w:rsidR="000222B5" w:rsidRPr="00BE4BB3" w:rsidRDefault="000222B5" w:rsidP="00506E02">
            <w:pPr>
              <w:pStyle w:val="Tablebodytextnospaceafter"/>
            </w:pPr>
            <w:r w:rsidRPr="00BE4BB3">
              <w:t>Ministry of Health</w:t>
            </w:r>
          </w:p>
        </w:tc>
        <w:tc>
          <w:tcPr>
            <w:tcW w:w="1512" w:type="dxa"/>
          </w:tcPr>
          <w:p w14:paraId="093F8844" w14:textId="77777777" w:rsidR="000222B5" w:rsidRDefault="000222B5" w:rsidP="00506E02">
            <w:pPr>
              <w:pStyle w:val="Tablebodytextnospaceafter"/>
              <w:jc w:val="right"/>
            </w:pPr>
            <w:r>
              <w:t>57</w:t>
            </w:r>
          </w:p>
        </w:tc>
        <w:tc>
          <w:tcPr>
            <w:tcW w:w="1512" w:type="dxa"/>
          </w:tcPr>
          <w:p w14:paraId="655B3B65" w14:textId="77777777" w:rsidR="000222B5" w:rsidRDefault="000222B5" w:rsidP="00506E02">
            <w:pPr>
              <w:pStyle w:val="Tablebodytextnospaceafter"/>
              <w:jc w:val="right"/>
            </w:pPr>
            <w:r>
              <w:t>69</w:t>
            </w:r>
          </w:p>
        </w:tc>
      </w:tr>
      <w:tr w:rsidR="000222B5" w14:paraId="48E32270" w14:textId="77777777" w:rsidTr="00084BE9">
        <w:trPr>
          <w:cnfStyle w:val="000000010000" w:firstRow="0" w:lastRow="0" w:firstColumn="0" w:lastColumn="0" w:oddVBand="0" w:evenVBand="0" w:oddHBand="0" w:evenHBand="1" w:firstRowFirstColumn="0" w:firstRowLastColumn="0" w:lastRowFirstColumn="0" w:lastRowLastColumn="0"/>
          <w:trHeight w:val="283"/>
        </w:trPr>
        <w:tc>
          <w:tcPr>
            <w:tcW w:w="6227" w:type="dxa"/>
            <w:tcBorders>
              <w:bottom w:val="single" w:sz="4" w:space="0" w:color="FFFFFF" w:themeColor="background1"/>
            </w:tcBorders>
          </w:tcPr>
          <w:p w14:paraId="1076AB7C" w14:textId="77777777" w:rsidR="000222B5" w:rsidRPr="00BE4BB3" w:rsidRDefault="000222B5" w:rsidP="00506E02">
            <w:pPr>
              <w:pStyle w:val="Tablebodytextnospaceafter"/>
            </w:pPr>
            <w:r>
              <w:t>Ministry of Business, Innovation and Employment</w:t>
            </w:r>
          </w:p>
        </w:tc>
        <w:tc>
          <w:tcPr>
            <w:tcW w:w="1512" w:type="dxa"/>
          </w:tcPr>
          <w:p w14:paraId="339D7B28" w14:textId="77777777" w:rsidR="000222B5" w:rsidRDefault="000222B5" w:rsidP="00506E02">
            <w:pPr>
              <w:pStyle w:val="Tablebodytextnospaceafter"/>
              <w:jc w:val="right"/>
            </w:pPr>
            <w:r>
              <w:t>84</w:t>
            </w:r>
          </w:p>
        </w:tc>
        <w:tc>
          <w:tcPr>
            <w:tcW w:w="1512" w:type="dxa"/>
          </w:tcPr>
          <w:p w14:paraId="3B8A6F78" w14:textId="77777777" w:rsidR="000222B5" w:rsidRDefault="000222B5" w:rsidP="00B9537A">
            <w:pPr>
              <w:pStyle w:val="Tablebodytextnospaceafter"/>
              <w:jc w:val="right"/>
            </w:pPr>
            <w:r>
              <w:t>4</w:t>
            </w:r>
            <w:r w:rsidR="00B9537A">
              <w:t>8</w:t>
            </w:r>
          </w:p>
        </w:tc>
      </w:tr>
      <w:tr w:rsidR="000222B5" w14:paraId="2229ACCD" w14:textId="77777777" w:rsidTr="00084BE9">
        <w:trPr>
          <w:cnfStyle w:val="000000100000" w:firstRow="0" w:lastRow="0" w:firstColumn="0" w:lastColumn="0" w:oddVBand="0" w:evenVBand="0" w:oddHBand="1" w:evenHBand="0" w:firstRowFirstColumn="0" w:firstRowLastColumn="0" w:lastRowFirstColumn="0" w:lastRowLastColumn="0"/>
          <w:trHeight w:val="283"/>
        </w:trPr>
        <w:tc>
          <w:tcPr>
            <w:tcW w:w="6227" w:type="dxa"/>
            <w:tcBorders>
              <w:top w:val="single" w:sz="4" w:space="0" w:color="FFFFFF" w:themeColor="background1"/>
            </w:tcBorders>
          </w:tcPr>
          <w:p w14:paraId="4CAD0657" w14:textId="77777777" w:rsidR="000222B5" w:rsidRDefault="000222B5" w:rsidP="00506E02">
            <w:pPr>
              <w:pStyle w:val="Tablebodytextnospaceafter"/>
            </w:pPr>
            <w:r>
              <w:t>Ministry for Primary Industries</w:t>
            </w:r>
          </w:p>
        </w:tc>
        <w:tc>
          <w:tcPr>
            <w:tcW w:w="1512" w:type="dxa"/>
          </w:tcPr>
          <w:p w14:paraId="24D927C6" w14:textId="77777777" w:rsidR="000222B5" w:rsidRDefault="000222B5" w:rsidP="00506E02">
            <w:pPr>
              <w:pStyle w:val="Tablebodytextnospaceafter"/>
              <w:jc w:val="right"/>
            </w:pPr>
            <w:r>
              <w:t>45</w:t>
            </w:r>
          </w:p>
        </w:tc>
        <w:tc>
          <w:tcPr>
            <w:tcW w:w="1512" w:type="dxa"/>
          </w:tcPr>
          <w:p w14:paraId="39D7AD8C" w14:textId="77777777" w:rsidR="000222B5" w:rsidRDefault="000222B5" w:rsidP="00506E02">
            <w:pPr>
              <w:pStyle w:val="Tablebodytextnospaceafter"/>
              <w:jc w:val="right"/>
            </w:pPr>
            <w:r>
              <w:t>48</w:t>
            </w:r>
          </w:p>
        </w:tc>
      </w:tr>
      <w:tr w:rsidR="000222B5" w14:paraId="51940A68" w14:textId="77777777" w:rsidTr="00084BE9">
        <w:trPr>
          <w:cnfStyle w:val="000000010000" w:firstRow="0" w:lastRow="0" w:firstColumn="0" w:lastColumn="0" w:oddVBand="0" w:evenVBand="0" w:oddHBand="0" w:evenHBand="1" w:firstRowFirstColumn="0" w:firstRowLastColumn="0" w:lastRowFirstColumn="0" w:lastRowLastColumn="0"/>
          <w:trHeight w:val="283"/>
        </w:trPr>
        <w:tc>
          <w:tcPr>
            <w:tcW w:w="6227" w:type="dxa"/>
          </w:tcPr>
          <w:p w14:paraId="33D6FF41" w14:textId="77777777" w:rsidR="000222B5" w:rsidRPr="00BE4BB3" w:rsidRDefault="000222B5" w:rsidP="00506E02">
            <w:pPr>
              <w:pStyle w:val="Tablebodytextnospaceafter"/>
            </w:pPr>
            <w:r w:rsidRPr="00BE4BB3">
              <w:t>Ministry of Justice</w:t>
            </w:r>
          </w:p>
        </w:tc>
        <w:tc>
          <w:tcPr>
            <w:tcW w:w="1512" w:type="dxa"/>
          </w:tcPr>
          <w:p w14:paraId="5A0B1EBA" w14:textId="77777777" w:rsidR="000222B5" w:rsidRDefault="000222B5" w:rsidP="00506E02">
            <w:pPr>
              <w:pStyle w:val="Tablebodytextnospaceafter"/>
              <w:jc w:val="right"/>
            </w:pPr>
            <w:r>
              <w:t>40</w:t>
            </w:r>
          </w:p>
        </w:tc>
        <w:tc>
          <w:tcPr>
            <w:tcW w:w="1512" w:type="dxa"/>
          </w:tcPr>
          <w:p w14:paraId="77A6B5A9" w14:textId="77777777" w:rsidR="000222B5" w:rsidRDefault="000222B5" w:rsidP="00506E02">
            <w:pPr>
              <w:pStyle w:val="Tablebodytextnospaceafter"/>
              <w:jc w:val="right"/>
            </w:pPr>
            <w:r>
              <w:t>41</w:t>
            </w:r>
          </w:p>
        </w:tc>
      </w:tr>
      <w:tr w:rsidR="000222B5" w14:paraId="03FC94B5" w14:textId="77777777" w:rsidTr="00084BE9">
        <w:trPr>
          <w:cnfStyle w:val="000000100000" w:firstRow="0" w:lastRow="0" w:firstColumn="0" w:lastColumn="0" w:oddVBand="0" w:evenVBand="0" w:oddHBand="1" w:evenHBand="0" w:firstRowFirstColumn="0" w:firstRowLastColumn="0" w:lastRowFirstColumn="0" w:lastRowLastColumn="0"/>
          <w:trHeight w:val="283"/>
        </w:trPr>
        <w:tc>
          <w:tcPr>
            <w:tcW w:w="6227" w:type="dxa"/>
          </w:tcPr>
          <w:p w14:paraId="376014EB" w14:textId="77777777" w:rsidR="000222B5" w:rsidRPr="00BE4BB3" w:rsidRDefault="000222B5" w:rsidP="00506E02">
            <w:pPr>
              <w:pStyle w:val="Tablebodytextnospaceafter"/>
            </w:pPr>
            <w:r w:rsidRPr="00BE4BB3">
              <w:t>Ministry of Social Development</w:t>
            </w:r>
          </w:p>
        </w:tc>
        <w:tc>
          <w:tcPr>
            <w:tcW w:w="1512" w:type="dxa"/>
          </w:tcPr>
          <w:p w14:paraId="7C0F4CBD" w14:textId="77777777" w:rsidR="000222B5" w:rsidRDefault="000222B5" w:rsidP="00506E02">
            <w:pPr>
              <w:pStyle w:val="Tablebodytextnospaceafter"/>
              <w:jc w:val="right"/>
            </w:pPr>
            <w:r>
              <w:t>31</w:t>
            </w:r>
          </w:p>
        </w:tc>
        <w:tc>
          <w:tcPr>
            <w:tcW w:w="1512" w:type="dxa"/>
          </w:tcPr>
          <w:p w14:paraId="71FFF8E6" w14:textId="77777777" w:rsidR="000222B5" w:rsidRDefault="000222B5" w:rsidP="00506E02">
            <w:pPr>
              <w:pStyle w:val="Tablebodytextnospaceafter"/>
              <w:jc w:val="right"/>
            </w:pPr>
            <w:r>
              <w:t>39</w:t>
            </w:r>
          </w:p>
        </w:tc>
      </w:tr>
      <w:tr w:rsidR="000222B5" w14:paraId="416090A3" w14:textId="77777777" w:rsidTr="00084BE9">
        <w:trPr>
          <w:cnfStyle w:val="000000010000" w:firstRow="0" w:lastRow="0" w:firstColumn="0" w:lastColumn="0" w:oddVBand="0" w:evenVBand="0" w:oddHBand="0" w:evenHBand="1" w:firstRowFirstColumn="0" w:firstRowLastColumn="0" w:lastRowFirstColumn="0" w:lastRowLastColumn="0"/>
          <w:trHeight w:val="283"/>
        </w:trPr>
        <w:tc>
          <w:tcPr>
            <w:tcW w:w="6227" w:type="dxa"/>
          </w:tcPr>
          <w:p w14:paraId="0BE18EB1" w14:textId="77777777" w:rsidR="000222B5" w:rsidRPr="00BE4BB3" w:rsidRDefault="000222B5" w:rsidP="00506E02">
            <w:pPr>
              <w:pStyle w:val="Tablebodytextnospaceafter"/>
            </w:pPr>
            <w:r w:rsidRPr="00BE4BB3">
              <w:t xml:space="preserve">Ministry of Education </w:t>
            </w:r>
          </w:p>
        </w:tc>
        <w:tc>
          <w:tcPr>
            <w:tcW w:w="1512" w:type="dxa"/>
          </w:tcPr>
          <w:p w14:paraId="672BD2D9" w14:textId="77777777" w:rsidR="000222B5" w:rsidRDefault="000222B5" w:rsidP="00506E02">
            <w:pPr>
              <w:pStyle w:val="Tablebodytextnospaceafter"/>
              <w:jc w:val="right"/>
            </w:pPr>
            <w:r>
              <w:t>29</w:t>
            </w:r>
          </w:p>
        </w:tc>
        <w:tc>
          <w:tcPr>
            <w:tcW w:w="1512" w:type="dxa"/>
          </w:tcPr>
          <w:p w14:paraId="1744B1AA" w14:textId="77777777" w:rsidR="000222B5" w:rsidRDefault="000222B5" w:rsidP="00506E02">
            <w:pPr>
              <w:pStyle w:val="Tablebodytextnospaceafter"/>
              <w:jc w:val="right"/>
            </w:pPr>
            <w:r>
              <w:t>36</w:t>
            </w:r>
          </w:p>
        </w:tc>
      </w:tr>
      <w:tr w:rsidR="000222B5" w14:paraId="14A1C904" w14:textId="77777777" w:rsidTr="00084BE9">
        <w:trPr>
          <w:cnfStyle w:val="000000100000" w:firstRow="0" w:lastRow="0" w:firstColumn="0" w:lastColumn="0" w:oddVBand="0" w:evenVBand="0" w:oddHBand="1" w:evenHBand="0" w:firstRowFirstColumn="0" w:firstRowLastColumn="0" w:lastRowFirstColumn="0" w:lastRowLastColumn="0"/>
          <w:trHeight w:val="283"/>
        </w:trPr>
        <w:tc>
          <w:tcPr>
            <w:tcW w:w="6227" w:type="dxa"/>
            <w:tcBorders>
              <w:top w:val="single" w:sz="4" w:space="0" w:color="FFFFFF" w:themeColor="background1"/>
            </w:tcBorders>
          </w:tcPr>
          <w:p w14:paraId="30999ACD" w14:textId="77777777" w:rsidR="000222B5" w:rsidRPr="00BE4BB3" w:rsidRDefault="000222B5" w:rsidP="00506E02">
            <w:pPr>
              <w:pStyle w:val="Tablebodytextnospaceafter"/>
            </w:pPr>
            <w:r>
              <w:t xml:space="preserve">Department of Conservation </w:t>
            </w:r>
          </w:p>
        </w:tc>
        <w:tc>
          <w:tcPr>
            <w:tcW w:w="1512" w:type="dxa"/>
          </w:tcPr>
          <w:p w14:paraId="0FD47F4B" w14:textId="77777777" w:rsidR="000222B5" w:rsidRDefault="000222B5" w:rsidP="00506E02">
            <w:pPr>
              <w:pStyle w:val="Tablebodytextnospaceafter"/>
              <w:jc w:val="right"/>
            </w:pPr>
            <w:r>
              <w:t>35</w:t>
            </w:r>
          </w:p>
        </w:tc>
        <w:tc>
          <w:tcPr>
            <w:tcW w:w="1512" w:type="dxa"/>
          </w:tcPr>
          <w:p w14:paraId="66242B66" w14:textId="77777777" w:rsidR="000222B5" w:rsidRDefault="000222B5" w:rsidP="00506E02">
            <w:pPr>
              <w:pStyle w:val="Tablebodytextnospaceafter"/>
              <w:jc w:val="right"/>
            </w:pPr>
            <w:r>
              <w:t>24</w:t>
            </w:r>
          </w:p>
        </w:tc>
      </w:tr>
      <w:tr w:rsidR="000222B5" w14:paraId="2A36A9B6" w14:textId="77777777" w:rsidTr="00084BE9">
        <w:trPr>
          <w:cnfStyle w:val="000000010000" w:firstRow="0" w:lastRow="0" w:firstColumn="0" w:lastColumn="0" w:oddVBand="0" w:evenVBand="0" w:oddHBand="0" w:evenHBand="1" w:firstRowFirstColumn="0" w:firstRowLastColumn="0" w:lastRowFirstColumn="0" w:lastRowLastColumn="0"/>
          <w:trHeight w:val="283"/>
        </w:trPr>
        <w:tc>
          <w:tcPr>
            <w:tcW w:w="6227" w:type="dxa"/>
            <w:tcBorders>
              <w:top w:val="single" w:sz="4" w:space="0" w:color="FFFFFF" w:themeColor="background1"/>
            </w:tcBorders>
          </w:tcPr>
          <w:p w14:paraId="1DA95394" w14:textId="77777777" w:rsidR="000222B5" w:rsidRDefault="000222B5" w:rsidP="00506E02">
            <w:pPr>
              <w:pStyle w:val="Tablebodytextnospaceafter"/>
            </w:pPr>
            <w:r>
              <w:t>Department of Internal Affairs</w:t>
            </w:r>
          </w:p>
        </w:tc>
        <w:tc>
          <w:tcPr>
            <w:tcW w:w="1512" w:type="dxa"/>
          </w:tcPr>
          <w:p w14:paraId="03F8264B" w14:textId="77777777" w:rsidR="000222B5" w:rsidRDefault="00C3044E" w:rsidP="00506E02">
            <w:pPr>
              <w:pStyle w:val="Tablebodytextnospaceafter"/>
              <w:jc w:val="right"/>
            </w:pPr>
            <w:r>
              <w:t>10</w:t>
            </w:r>
          </w:p>
        </w:tc>
        <w:tc>
          <w:tcPr>
            <w:tcW w:w="1512" w:type="dxa"/>
          </w:tcPr>
          <w:p w14:paraId="61E1B055" w14:textId="77777777" w:rsidR="000222B5" w:rsidRDefault="000222B5" w:rsidP="00506E02">
            <w:pPr>
              <w:pStyle w:val="Tablebodytextnospaceafter"/>
              <w:jc w:val="right"/>
            </w:pPr>
            <w:r>
              <w:t>19</w:t>
            </w:r>
          </w:p>
        </w:tc>
      </w:tr>
      <w:tr w:rsidR="000222B5" w14:paraId="1175343E" w14:textId="77777777" w:rsidTr="00084BE9">
        <w:trPr>
          <w:cnfStyle w:val="000000100000" w:firstRow="0" w:lastRow="0" w:firstColumn="0" w:lastColumn="0" w:oddVBand="0" w:evenVBand="0" w:oddHBand="1" w:evenHBand="0" w:firstRowFirstColumn="0" w:firstRowLastColumn="0" w:lastRowFirstColumn="0" w:lastRowLastColumn="0"/>
          <w:trHeight w:val="283"/>
        </w:trPr>
        <w:tc>
          <w:tcPr>
            <w:tcW w:w="6227" w:type="dxa"/>
          </w:tcPr>
          <w:p w14:paraId="0E197620" w14:textId="3C18FB66" w:rsidR="000222B5" w:rsidRDefault="000222B5" w:rsidP="00D13E44">
            <w:pPr>
              <w:pStyle w:val="Tablebodytextnospaceafter"/>
            </w:pPr>
            <w:r>
              <w:t>Oranga Tamariki</w:t>
            </w:r>
            <w:r w:rsidR="00D13E44">
              <w:t>—</w:t>
            </w:r>
            <w:r>
              <w:t>Ministry for Children</w:t>
            </w:r>
          </w:p>
        </w:tc>
        <w:tc>
          <w:tcPr>
            <w:tcW w:w="1512" w:type="dxa"/>
          </w:tcPr>
          <w:p w14:paraId="01D55649" w14:textId="77777777" w:rsidR="000222B5" w:rsidRDefault="000222B5" w:rsidP="00506E02">
            <w:pPr>
              <w:pStyle w:val="Tablebodytextnospaceafter"/>
              <w:jc w:val="right"/>
            </w:pPr>
            <w:r>
              <w:t>24</w:t>
            </w:r>
          </w:p>
        </w:tc>
        <w:tc>
          <w:tcPr>
            <w:tcW w:w="1512" w:type="dxa"/>
          </w:tcPr>
          <w:p w14:paraId="705BEBE2" w14:textId="77777777" w:rsidR="000222B5" w:rsidRDefault="000222B5" w:rsidP="00506E02">
            <w:pPr>
              <w:pStyle w:val="Tablebodytextnospaceafter"/>
              <w:jc w:val="right"/>
            </w:pPr>
            <w:r>
              <w:t>17</w:t>
            </w:r>
          </w:p>
        </w:tc>
      </w:tr>
      <w:tr w:rsidR="00084BE9" w14:paraId="0340702F" w14:textId="77777777" w:rsidTr="00084BE9">
        <w:trPr>
          <w:cnfStyle w:val="000000010000" w:firstRow="0" w:lastRow="0" w:firstColumn="0" w:lastColumn="0" w:oddVBand="0" w:evenVBand="0" w:oddHBand="0" w:evenHBand="1" w:firstRowFirstColumn="0" w:firstRowLastColumn="0" w:lastRowFirstColumn="0" w:lastRowLastColumn="0"/>
          <w:trHeight w:val="283"/>
        </w:trPr>
        <w:tc>
          <w:tcPr>
            <w:tcW w:w="6227" w:type="dxa"/>
            <w:shd w:val="clear" w:color="auto" w:fill="BFBFBF"/>
          </w:tcPr>
          <w:p w14:paraId="5861F1BC" w14:textId="77777777" w:rsidR="00084BE9" w:rsidRPr="005D63B3" w:rsidRDefault="00084BE9" w:rsidP="00506E02">
            <w:pPr>
              <w:pStyle w:val="Tablebodytextnospaceafter"/>
              <w:rPr>
                <w:rStyle w:val="Emphasis"/>
              </w:rPr>
            </w:pPr>
            <w:r w:rsidRPr="005D63B3">
              <w:rPr>
                <w:rStyle w:val="Emphasis"/>
              </w:rPr>
              <w:t xml:space="preserve">Other organisations state sector </w:t>
            </w:r>
          </w:p>
        </w:tc>
        <w:tc>
          <w:tcPr>
            <w:tcW w:w="1512" w:type="dxa"/>
            <w:shd w:val="clear" w:color="auto" w:fill="BFBFBF"/>
          </w:tcPr>
          <w:p w14:paraId="40839084" w14:textId="77777777" w:rsidR="00084BE9" w:rsidRPr="005D63B3" w:rsidRDefault="00084BE9" w:rsidP="00506E02">
            <w:pPr>
              <w:pStyle w:val="Tablebodytextnospaceafter"/>
              <w:rPr>
                <w:rStyle w:val="Emphasis"/>
              </w:rPr>
            </w:pPr>
          </w:p>
        </w:tc>
        <w:tc>
          <w:tcPr>
            <w:tcW w:w="1512" w:type="dxa"/>
            <w:shd w:val="clear" w:color="auto" w:fill="BFBFBF"/>
          </w:tcPr>
          <w:p w14:paraId="124BDBEB" w14:textId="77777777" w:rsidR="00084BE9" w:rsidRPr="005D63B3" w:rsidRDefault="00084BE9" w:rsidP="00506E02">
            <w:pPr>
              <w:pStyle w:val="Tablebodytextnospaceafter"/>
              <w:rPr>
                <w:rStyle w:val="Emphasis"/>
              </w:rPr>
            </w:pPr>
          </w:p>
        </w:tc>
      </w:tr>
      <w:tr w:rsidR="00084BE9" w14:paraId="6504098D" w14:textId="77777777" w:rsidTr="00084BE9">
        <w:trPr>
          <w:cnfStyle w:val="000000100000" w:firstRow="0" w:lastRow="0" w:firstColumn="0" w:lastColumn="0" w:oddVBand="0" w:evenVBand="0" w:oddHBand="1" w:evenHBand="0" w:firstRowFirstColumn="0" w:firstRowLastColumn="0" w:lastRowFirstColumn="0" w:lastRowLastColumn="0"/>
          <w:trHeight w:val="283"/>
        </w:trPr>
        <w:tc>
          <w:tcPr>
            <w:tcW w:w="6227" w:type="dxa"/>
          </w:tcPr>
          <w:p w14:paraId="5A1C7C30" w14:textId="77777777" w:rsidR="00084BE9" w:rsidRPr="00BE4BB3" w:rsidRDefault="00084BE9" w:rsidP="00506E02">
            <w:pPr>
              <w:pStyle w:val="Tablebodytextnospaceafter"/>
            </w:pPr>
            <w:r>
              <w:t xml:space="preserve">New Zealand </w:t>
            </w:r>
            <w:r w:rsidRPr="00BE4BB3">
              <w:t>Police</w:t>
            </w:r>
          </w:p>
        </w:tc>
        <w:tc>
          <w:tcPr>
            <w:tcW w:w="1512" w:type="dxa"/>
          </w:tcPr>
          <w:p w14:paraId="11D5115D" w14:textId="77777777" w:rsidR="00084BE9" w:rsidRDefault="00084BE9" w:rsidP="00506E02">
            <w:pPr>
              <w:pStyle w:val="Tablebodytextnospaceafter"/>
              <w:jc w:val="right"/>
            </w:pPr>
            <w:r>
              <w:t>269</w:t>
            </w:r>
          </w:p>
        </w:tc>
        <w:tc>
          <w:tcPr>
            <w:tcW w:w="1512" w:type="dxa"/>
          </w:tcPr>
          <w:p w14:paraId="3607D1AF" w14:textId="77777777" w:rsidR="00084BE9" w:rsidRDefault="000222B5" w:rsidP="00501D00">
            <w:pPr>
              <w:pStyle w:val="Tablebodytextnospaceafter"/>
              <w:jc w:val="right"/>
            </w:pPr>
            <w:r>
              <w:t>27</w:t>
            </w:r>
            <w:r w:rsidR="00501D00">
              <w:t>2</w:t>
            </w:r>
          </w:p>
        </w:tc>
      </w:tr>
      <w:tr w:rsidR="00084BE9" w14:paraId="0FA9EE42" w14:textId="77777777" w:rsidTr="00084BE9">
        <w:trPr>
          <w:cnfStyle w:val="000000010000" w:firstRow="0" w:lastRow="0" w:firstColumn="0" w:lastColumn="0" w:oddVBand="0" w:evenVBand="0" w:oddHBand="0" w:evenHBand="1" w:firstRowFirstColumn="0" w:firstRowLastColumn="0" w:lastRowFirstColumn="0" w:lastRowLastColumn="0"/>
          <w:trHeight w:val="283"/>
        </w:trPr>
        <w:tc>
          <w:tcPr>
            <w:tcW w:w="6227" w:type="dxa"/>
          </w:tcPr>
          <w:p w14:paraId="66EF6466" w14:textId="77777777" w:rsidR="00084BE9" w:rsidRPr="00BE4BB3" w:rsidRDefault="00084BE9" w:rsidP="00506E02">
            <w:pPr>
              <w:pStyle w:val="Tablebodytextnospaceafter"/>
            </w:pPr>
            <w:r>
              <w:t>New Zealand Transport Agency</w:t>
            </w:r>
          </w:p>
        </w:tc>
        <w:tc>
          <w:tcPr>
            <w:tcW w:w="1512" w:type="dxa"/>
          </w:tcPr>
          <w:p w14:paraId="08EB98C4" w14:textId="77777777" w:rsidR="00084BE9" w:rsidRDefault="00084BE9" w:rsidP="00506E02">
            <w:pPr>
              <w:pStyle w:val="Tablebodytextnospaceafter"/>
              <w:jc w:val="right"/>
            </w:pPr>
            <w:r>
              <w:t>44</w:t>
            </w:r>
          </w:p>
        </w:tc>
        <w:tc>
          <w:tcPr>
            <w:tcW w:w="1512" w:type="dxa"/>
          </w:tcPr>
          <w:p w14:paraId="51504668" w14:textId="77777777" w:rsidR="00084BE9" w:rsidRDefault="000222B5" w:rsidP="00506E02">
            <w:pPr>
              <w:pStyle w:val="Tablebodytextnospaceafter"/>
              <w:jc w:val="right"/>
            </w:pPr>
            <w:r>
              <w:t>33</w:t>
            </w:r>
          </w:p>
        </w:tc>
      </w:tr>
      <w:tr w:rsidR="00084BE9" w14:paraId="6D07FA6C" w14:textId="77777777" w:rsidTr="00084BE9">
        <w:trPr>
          <w:cnfStyle w:val="000000100000" w:firstRow="0" w:lastRow="0" w:firstColumn="0" w:lastColumn="0" w:oddVBand="0" w:evenVBand="0" w:oddHBand="1" w:evenHBand="0" w:firstRowFirstColumn="0" w:firstRowLastColumn="0" w:lastRowFirstColumn="0" w:lastRowLastColumn="0"/>
          <w:trHeight w:val="283"/>
        </w:trPr>
        <w:tc>
          <w:tcPr>
            <w:tcW w:w="6227" w:type="dxa"/>
          </w:tcPr>
          <w:p w14:paraId="052611BA" w14:textId="77777777" w:rsidR="00084BE9" w:rsidRDefault="00084BE9" w:rsidP="00506E02">
            <w:pPr>
              <w:pStyle w:val="Tablebodytextnospaceafter"/>
            </w:pPr>
            <w:r>
              <w:t xml:space="preserve">WorkSafe New Zealand </w:t>
            </w:r>
          </w:p>
        </w:tc>
        <w:tc>
          <w:tcPr>
            <w:tcW w:w="1512" w:type="dxa"/>
          </w:tcPr>
          <w:p w14:paraId="2082C571" w14:textId="77777777" w:rsidR="00084BE9" w:rsidRDefault="00084BE9" w:rsidP="00506E02">
            <w:pPr>
              <w:pStyle w:val="Tablebodytextnospaceafter"/>
              <w:jc w:val="right"/>
            </w:pPr>
            <w:r>
              <w:t>25</w:t>
            </w:r>
          </w:p>
        </w:tc>
        <w:tc>
          <w:tcPr>
            <w:tcW w:w="1512" w:type="dxa"/>
          </w:tcPr>
          <w:p w14:paraId="53DD54B8" w14:textId="77777777" w:rsidR="00084BE9" w:rsidRDefault="000222B5" w:rsidP="00506E02">
            <w:pPr>
              <w:pStyle w:val="Tablebodytextnospaceafter"/>
              <w:jc w:val="right"/>
            </w:pPr>
            <w:r>
              <w:t>25</w:t>
            </w:r>
          </w:p>
        </w:tc>
      </w:tr>
      <w:tr w:rsidR="000222B5" w14:paraId="08B3948B" w14:textId="77777777" w:rsidTr="00084BE9">
        <w:trPr>
          <w:cnfStyle w:val="000000010000" w:firstRow="0" w:lastRow="0" w:firstColumn="0" w:lastColumn="0" w:oddVBand="0" w:evenVBand="0" w:oddHBand="0" w:evenHBand="1" w:firstRowFirstColumn="0" w:firstRowLastColumn="0" w:lastRowFirstColumn="0" w:lastRowLastColumn="0"/>
          <w:trHeight w:val="283"/>
        </w:trPr>
        <w:tc>
          <w:tcPr>
            <w:tcW w:w="6227" w:type="dxa"/>
          </w:tcPr>
          <w:p w14:paraId="661EEA6F" w14:textId="77777777" w:rsidR="000222B5" w:rsidRDefault="000222B5" w:rsidP="00506E02">
            <w:pPr>
              <w:pStyle w:val="Tablebodytextnospaceafter"/>
            </w:pPr>
            <w:r>
              <w:t>Waikato District Health Board</w:t>
            </w:r>
          </w:p>
        </w:tc>
        <w:tc>
          <w:tcPr>
            <w:tcW w:w="1512" w:type="dxa"/>
          </w:tcPr>
          <w:p w14:paraId="4B147F10" w14:textId="77777777" w:rsidR="000222B5" w:rsidRDefault="00C3044E" w:rsidP="00506E02">
            <w:pPr>
              <w:pStyle w:val="Tablebodytextnospaceafter"/>
              <w:jc w:val="right"/>
            </w:pPr>
            <w:r>
              <w:t>4</w:t>
            </w:r>
          </w:p>
        </w:tc>
        <w:tc>
          <w:tcPr>
            <w:tcW w:w="1512" w:type="dxa"/>
          </w:tcPr>
          <w:p w14:paraId="6C5B6160" w14:textId="77777777" w:rsidR="000222B5" w:rsidRDefault="000222B5" w:rsidP="00506E02">
            <w:pPr>
              <w:pStyle w:val="Tablebodytextnospaceafter"/>
              <w:jc w:val="right"/>
            </w:pPr>
            <w:r>
              <w:t>22</w:t>
            </w:r>
          </w:p>
        </w:tc>
      </w:tr>
      <w:tr w:rsidR="000222B5" w14:paraId="736CCC67" w14:textId="77777777" w:rsidTr="00084BE9">
        <w:trPr>
          <w:cnfStyle w:val="000000100000" w:firstRow="0" w:lastRow="0" w:firstColumn="0" w:lastColumn="0" w:oddVBand="0" w:evenVBand="0" w:oddHBand="1" w:evenHBand="0" w:firstRowFirstColumn="0" w:firstRowLastColumn="0" w:lastRowFirstColumn="0" w:lastRowLastColumn="0"/>
          <w:trHeight w:val="283"/>
        </w:trPr>
        <w:tc>
          <w:tcPr>
            <w:tcW w:w="6227" w:type="dxa"/>
          </w:tcPr>
          <w:p w14:paraId="6C5644ED" w14:textId="77777777" w:rsidR="000222B5" w:rsidRDefault="000222B5" w:rsidP="00506E02">
            <w:pPr>
              <w:pStyle w:val="Tablebodytextnospaceafter"/>
            </w:pPr>
            <w:r>
              <w:t>Health and Disability Commissioner</w:t>
            </w:r>
          </w:p>
        </w:tc>
        <w:tc>
          <w:tcPr>
            <w:tcW w:w="1512" w:type="dxa"/>
          </w:tcPr>
          <w:p w14:paraId="449F2D49" w14:textId="77777777" w:rsidR="000222B5" w:rsidRDefault="00C3044E" w:rsidP="00506E02">
            <w:pPr>
              <w:pStyle w:val="Tablebodytextnospaceafter"/>
              <w:jc w:val="right"/>
            </w:pPr>
            <w:r>
              <w:t>6</w:t>
            </w:r>
          </w:p>
        </w:tc>
        <w:tc>
          <w:tcPr>
            <w:tcW w:w="1512" w:type="dxa"/>
          </w:tcPr>
          <w:p w14:paraId="299926A8" w14:textId="77777777" w:rsidR="000222B5" w:rsidRDefault="000222B5" w:rsidP="00506E02">
            <w:pPr>
              <w:pStyle w:val="Tablebodytextnospaceafter"/>
              <w:jc w:val="right"/>
            </w:pPr>
            <w:r>
              <w:t>16</w:t>
            </w:r>
          </w:p>
        </w:tc>
      </w:tr>
    </w:tbl>
    <w:p w14:paraId="2FEA6F4C" w14:textId="174EC647" w:rsidR="00DF1795" w:rsidRDefault="005B795D" w:rsidP="00DF1795">
      <w:pPr>
        <w:pStyle w:val="BodyText"/>
        <w:rPr>
          <w:rStyle w:val="Hyperlink"/>
        </w:rPr>
      </w:pPr>
      <w:hyperlink w:anchor="Contents" w:history="1">
        <w:r w:rsidR="00DF1795" w:rsidRPr="00F5248A">
          <w:rPr>
            <w:rStyle w:val="Hyperlink"/>
          </w:rPr>
          <w:t>Back to contents</w:t>
        </w:r>
      </w:hyperlink>
    </w:p>
    <w:p w14:paraId="4FBC9565" w14:textId="77777777" w:rsidR="00F15F11" w:rsidRDefault="00F15F11" w:rsidP="00DF1795">
      <w:pPr>
        <w:pStyle w:val="BodyText"/>
      </w:pPr>
    </w:p>
    <w:tbl>
      <w:tblPr>
        <w:tblStyle w:val="TableGridAnnualReport"/>
        <w:tblW w:w="9261" w:type="dxa"/>
        <w:tblInd w:w="20" w:type="dxa"/>
        <w:tblLayout w:type="fixed"/>
        <w:tblLook w:val="0420" w:firstRow="1" w:lastRow="0" w:firstColumn="0" w:lastColumn="0" w:noHBand="0" w:noVBand="1"/>
        <w:tblCaption w:val="Table for formatting purposes"/>
      </w:tblPr>
      <w:tblGrid>
        <w:gridCol w:w="6217"/>
        <w:gridCol w:w="1522"/>
        <w:gridCol w:w="1522"/>
      </w:tblGrid>
      <w:tr w:rsidR="00C510E9" w14:paraId="5CBC07F0" w14:textId="77777777" w:rsidTr="00C510E9">
        <w:trPr>
          <w:cnfStyle w:val="100000000000" w:firstRow="1" w:lastRow="0" w:firstColumn="0" w:lastColumn="0" w:oddVBand="0" w:evenVBand="0" w:oddHBand="0" w:evenHBand="0" w:firstRowFirstColumn="0" w:firstRowLastColumn="0" w:lastRowFirstColumn="0" w:lastRowLastColumn="0"/>
          <w:trHeight w:val="60"/>
        </w:trPr>
        <w:tc>
          <w:tcPr>
            <w:tcW w:w="6217" w:type="dxa"/>
          </w:tcPr>
          <w:p w14:paraId="10BC14EB" w14:textId="77777777" w:rsidR="00C510E9" w:rsidRPr="00BE4BB3" w:rsidRDefault="001C7062" w:rsidP="00F15F11">
            <w:pPr>
              <w:pStyle w:val="Tableheadingrow1"/>
            </w:pPr>
            <w:r>
              <w:t>1</w:t>
            </w:r>
            <w:r w:rsidR="00F15F11">
              <w:t>6</w:t>
            </w:r>
            <w:r>
              <w:t xml:space="preserve">. </w:t>
            </w:r>
            <w:r w:rsidR="00C510E9" w:rsidRPr="00BE4BB3">
              <w:t>Ho</w:t>
            </w:r>
            <w:r w:rsidR="00C510E9">
              <w:t>w OIA complaints were dealt with</w:t>
            </w:r>
          </w:p>
        </w:tc>
        <w:tc>
          <w:tcPr>
            <w:tcW w:w="1522" w:type="dxa"/>
          </w:tcPr>
          <w:p w14:paraId="1A7B2AF4" w14:textId="77777777" w:rsidR="00C510E9" w:rsidRDefault="00C510E9" w:rsidP="00506E02">
            <w:pPr>
              <w:pStyle w:val="Tableheadingrow1"/>
              <w:jc w:val="right"/>
            </w:pPr>
            <w:r>
              <w:t>2018/19</w:t>
            </w:r>
          </w:p>
        </w:tc>
        <w:tc>
          <w:tcPr>
            <w:tcW w:w="1522" w:type="dxa"/>
          </w:tcPr>
          <w:p w14:paraId="022B933C" w14:textId="77777777" w:rsidR="00C510E9" w:rsidRDefault="00C510E9" w:rsidP="00506E02">
            <w:pPr>
              <w:pStyle w:val="Tableheadingrow1"/>
              <w:jc w:val="right"/>
            </w:pPr>
            <w:r>
              <w:t>2019/20</w:t>
            </w:r>
          </w:p>
        </w:tc>
      </w:tr>
      <w:tr w:rsidR="00C510E9" w14:paraId="58E1DFD6" w14:textId="77777777" w:rsidTr="00C510E9">
        <w:trPr>
          <w:cnfStyle w:val="000000100000" w:firstRow="0" w:lastRow="0" w:firstColumn="0" w:lastColumn="0" w:oddVBand="0" w:evenVBand="0" w:oddHBand="1" w:evenHBand="0" w:firstRowFirstColumn="0" w:firstRowLastColumn="0" w:lastRowFirstColumn="0" w:lastRowLastColumn="0"/>
          <w:trHeight w:val="60"/>
        </w:trPr>
        <w:tc>
          <w:tcPr>
            <w:tcW w:w="6217" w:type="dxa"/>
            <w:shd w:val="clear" w:color="auto" w:fill="BFBFBF"/>
          </w:tcPr>
          <w:p w14:paraId="3489634C" w14:textId="77777777" w:rsidR="00C510E9" w:rsidRPr="00111CBC" w:rsidRDefault="00C510E9" w:rsidP="00506E02">
            <w:pPr>
              <w:pStyle w:val="Tablebodytextnospaceafter"/>
              <w:rPr>
                <w:rStyle w:val="Emphasis"/>
                <w:bCs w:val="0"/>
                <w:iCs w:val="0"/>
              </w:rPr>
            </w:pPr>
            <w:r w:rsidRPr="00111CBC">
              <w:rPr>
                <w:rStyle w:val="Emphasis"/>
                <w:bCs w:val="0"/>
                <w:iCs w:val="0"/>
              </w:rPr>
              <w:t>Outside jurisdiction</w:t>
            </w:r>
          </w:p>
        </w:tc>
        <w:tc>
          <w:tcPr>
            <w:tcW w:w="1522" w:type="dxa"/>
            <w:shd w:val="clear" w:color="auto" w:fill="BFBFBF"/>
          </w:tcPr>
          <w:p w14:paraId="15B334AD" w14:textId="77777777" w:rsidR="00C510E9" w:rsidRPr="00111CBC" w:rsidRDefault="00C510E9" w:rsidP="00506E02">
            <w:pPr>
              <w:pStyle w:val="Tablebodytextnospaceafter"/>
              <w:rPr>
                <w:rStyle w:val="Emphasis"/>
                <w:bCs w:val="0"/>
                <w:iCs w:val="0"/>
              </w:rPr>
            </w:pPr>
          </w:p>
        </w:tc>
        <w:tc>
          <w:tcPr>
            <w:tcW w:w="1522" w:type="dxa"/>
            <w:shd w:val="clear" w:color="auto" w:fill="BFBFBF"/>
          </w:tcPr>
          <w:p w14:paraId="16F89110" w14:textId="77777777" w:rsidR="00C510E9" w:rsidRPr="00111CBC" w:rsidRDefault="00C510E9" w:rsidP="00506E02">
            <w:pPr>
              <w:pStyle w:val="Tablebodytextnospaceafter"/>
              <w:rPr>
                <w:rStyle w:val="Emphasis"/>
                <w:bCs w:val="0"/>
                <w:iCs w:val="0"/>
              </w:rPr>
            </w:pPr>
          </w:p>
        </w:tc>
      </w:tr>
      <w:tr w:rsidR="00C510E9" w14:paraId="39F397AE" w14:textId="77777777" w:rsidTr="00C510E9">
        <w:trPr>
          <w:cnfStyle w:val="000000010000" w:firstRow="0" w:lastRow="0" w:firstColumn="0" w:lastColumn="0" w:oddVBand="0" w:evenVBand="0" w:oddHBand="0" w:evenHBand="1" w:firstRowFirstColumn="0" w:firstRowLastColumn="0" w:lastRowFirstColumn="0" w:lastRowLastColumn="0"/>
          <w:trHeight w:val="60"/>
        </w:trPr>
        <w:tc>
          <w:tcPr>
            <w:tcW w:w="6217" w:type="dxa"/>
            <w:tcBorders>
              <w:top w:val="single" w:sz="4" w:space="0" w:color="FFFFFF"/>
            </w:tcBorders>
          </w:tcPr>
          <w:p w14:paraId="6C550A74" w14:textId="77777777" w:rsidR="00C510E9" w:rsidRPr="00BE4BB3" w:rsidRDefault="00C510E9" w:rsidP="00506E02">
            <w:pPr>
              <w:pStyle w:val="Tablebodytextnospaceafter"/>
            </w:pPr>
            <w:r>
              <w:t>A</w:t>
            </w:r>
            <w:r w:rsidRPr="00BE4BB3">
              <w:t xml:space="preserve">gency not listed in schedule </w:t>
            </w:r>
          </w:p>
        </w:tc>
        <w:tc>
          <w:tcPr>
            <w:tcW w:w="1522" w:type="dxa"/>
          </w:tcPr>
          <w:p w14:paraId="157EEBB2" w14:textId="77777777" w:rsidR="00C510E9" w:rsidRDefault="00C510E9" w:rsidP="00506E02">
            <w:pPr>
              <w:pStyle w:val="Tablebodytextnospaceafter"/>
            </w:pPr>
            <w:r>
              <w:t>16</w:t>
            </w:r>
          </w:p>
        </w:tc>
        <w:tc>
          <w:tcPr>
            <w:tcW w:w="1522" w:type="dxa"/>
          </w:tcPr>
          <w:p w14:paraId="4124C057" w14:textId="77777777" w:rsidR="00C510E9" w:rsidRDefault="00C510E9" w:rsidP="00506E02">
            <w:pPr>
              <w:pStyle w:val="Tablebodytextnospaceafter"/>
            </w:pPr>
            <w:r>
              <w:t>9</w:t>
            </w:r>
          </w:p>
        </w:tc>
      </w:tr>
      <w:tr w:rsidR="00C510E9" w14:paraId="3D9B87D6" w14:textId="77777777" w:rsidTr="00C510E9">
        <w:trPr>
          <w:cnfStyle w:val="000000100000" w:firstRow="0" w:lastRow="0" w:firstColumn="0" w:lastColumn="0" w:oddVBand="0" w:evenVBand="0" w:oddHBand="1" w:evenHBand="0" w:firstRowFirstColumn="0" w:firstRowLastColumn="0" w:lastRowFirstColumn="0" w:lastRowLastColumn="0"/>
          <w:trHeight w:val="60"/>
        </w:trPr>
        <w:tc>
          <w:tcPr>
            <w:tcW w:w="6217" w:type="dxa"/>
          </w:tcPr>
          <w:p w14:paraId="510ED264" w14:textId="77777777" w:rsidR="00C510E9" w:rsidRPr="00BE4BB3" w:rsidRDefault="00C510E9" w:rsidP="00506E02">
            <w:pPr>
              <w:pStyle w:val="Tablebodytextnospaceafter"/>
            </w:pPr>
            <w:r>
              <w:t>S</w:t>
            </w:r>
            <w:r w:rsidRPr="00BE4BB3">
              <w:t>cheduled agency otherwise outside jurisdiction</w:t>
            </w:r>
          </w:p>
        </w:tc>
        <w:tc>
          <w:tcPr>
            <w:tcW w:w="1522" w:type="dxa"/>
          </w:tcPr>
          <w:p w14:paraId="40AA1A8C" w14:textId="77777777" w:rsidR="00C510E9" w:rsidRDefault="00C510E9" w:rsidP="00506E02">
            <w:pPr>
              <w:pStyle w:val="Tablebodytextnospaceafter"/>
            </w:pPr>
            <w:r>
              <w:t>42</w:t>
            </w:r>
          </w:p>
        </w:tc>
        <w:tc>
          <w:tcPr>
            <w:tcW w:w="1522" w:type="dxa"/>
          </w:tcPr>
          <w:p w14:paraId="58C94CFE" w14:textId="77777777" w:rsidR="00C510E9" w:rsidRDefault="00C510E9" w:rsidP="00506E02">
            <w:pPr>
              <w:pStyle w:val="Tablebodytextnospaceafter"/>
            </w:pPr>
            <w:r>
              <w:t>30</w:t>
            </w:r>
          </w:p>
        </w:tc>
      </w:tr>
      <w:tr w:rsidR="00C510E9" w14:paraId="21D5D0DD" w14:textId="77777777" w:rsidTr="00C510E9">
        <w:trPr>
          <w:cnfStyle w:val="000000010000" w:firstRow="0" w:lastRow="0" w:firstColumn="0" w:lastColumn="0" w:oddVBand="0" w:evenVBand="0" w:oddHBand="0" w:evenHBand="1" w:firstRowFirstColumn="0" w:firstRowLastColumn="0" w:lastRowFirstColumn="0" w:lastRowLastColumn="0"/>
          <w:trHeight w:val="60"/>
        </w:trPr>
        <w:tc>
          <w:tcPr>
            <w:tcW w:w="6217" w:type="dxa"/>
          </w:tcPr>
          <w:p w14:paraId="12B6F53C" w14:textId="77777777" w:rsidR="00C510E9" w:rsidRPr="00F72E52" w:rsidRDefault="00C510E9" w:rsidP="00506E02">
            <w:pPr>
              <w:pStyle w:val="Tablebodytextnospaceafter"/>
              <w:rPr>
                <w:rStyle w:val="EmphasisItalics"/>
              </w:rPr>
            </w:pPr>
            <w:r w:rsidRPr="00F72E52">
              <w:rPr>
                <w:rStyle w:val="EmphasisItalics"/>
              </w:rPr>
              <w:t>Subtotal</w:t>
            </w:r>
          </w:p>
        </w:tc>
        <w:tc>
          <w:tcPr>
            <w:tcW w:w="1522" w:type="dxa"/>
          </w:tcPr>
          <w:p w14:paraId="0FEAC622" w14:textId="77777777" w:rsidR="00C510E9" w:rsidRPr="00F72E52" w:rsidRDefault="00C510E9" w:rsidP="00506E02">
            <w:pPr>
              <w:pStyle w:val="Tablebodytextnospaceafter"/>
              <w:jc w:val="right"/>
              <w:rPr>
                <w:rStyle w:val="EmphasisItalics"/>
              </w:rPr>
            </w:pPr>
            <w:r>
              <w:rPr>
                <w:rStyle w:val="EmphasisItalics"/>
              </w:rPr>
              <w:t>58</w:t>
            </w:r>
          </w:p>
        </w:tc>
        <w:tc>
          <w:tcPr>
            <w:tcW w:w="1522" w:type="dxa"/>
          </w:tcPr>
          <w:p w14:paraId="3CBFB6D5" w14:textId="77777777" w:rsidR="00C510E9" w:rsidRDefault="00C806BC" w:rsidP="00506E02">
            <w:pPr>
              <w:pStyle w:val="Tablebodytextnospaceafter"/>
              <w:jc w:val="right"/>
              <w:rPr>
                <w:rStyle w:val="EmphasisItalics"/>
              </w:rPr>
            </w:pPr>
            <w:r>
              <w:rPr>
                <w:rStyle w:val="EmphasisItalics"/>
              </w:rPr>
              <w:t>39</w:t>
            </w:r>
          </w:p>
        </w:tc>
      </w:tr>
      <w:tr w:rsidR="00C510E9" w14:paraId="39703A03" w14:textId="77777777" w:rsidTr="00C510E9">
        <w:trPr>
          <w:cnfStyle w:val="000000100000" w:firstRow="0" w:lastRow="0" w:firstColumn="0" w:lastColumn="0" w:oddVBand="0" w:evenVBand="0" w:oddHBand="1" w:evenHBand="0" w:firstRowFirstColumn="0" w:firstRowLastColumn="0" w:lastRowFirstColumn="0" w:lastRowLastColumn="0"/>
          <w:trHeight w:val="60"/>
        </w:trPr>
        <w:tc>
          <w:tcPr>
            <w:tcW w:w="6217" w:type="dxa"/>
            <w:tcBorders>
              <w:bottom w:val="single" w:sz="4" w:space="0" w:color="FFFFFF" w:themeColor="background1"/>
              <w:right w:val="single" w:sz="4" w:space="0" w:color="FFFFFF" w:themeColor="background1"/>
            </w:tcBorders>
            <w:shd w:val="clear" w:color="auto" w:fill="BFBFBF"/>
          </w:tcPr>
          <w:p w14:paraId="22BA6CB4" w14:textId="77777777" w:rsidR="00C510E9" w:rsidRPr="00111CBC" w:rsidRDefault="00C510E9" w:rsidP="00506E02">
            <w:pPr>
              <w:pStyle w:val="Tablebodytextnospaceafter"/>
              <w:rPr>
                <w:rStyle w:val="Emphasis"/>
                <w:bCs w:val="0"/>
                <w:iCs w:val="0"/>
              </w:rPr>
            </w:pPr>
            <w:r w:rsidRPr="00111CBC">
              <w:rPr>
                <w:rStyle w:val="Emphasis"/>
                <w:bCs w:val="0"/>
                <w:iCs w:val="0"/>
              </w:rPr>
              <w:t>Referred</w:t>
            </w:r>
          </w:p>
        </w:tc>
        <w:tc>
          <w:tcPr>
            <w:tcW w:w="1522" w:type="dxa"/>
            <w:tcBorders>
              <w:bottom w:val="single" w:sz="4" w:space="0" w:color="FFFFFF" w:themeColor="background1"/>
              <w:right w:val="single" w:sz="4" w:space="0" w:color="FFFFFF" w:themeColor="background1"/>
            </w:tcBorders>
            <w:shd w:val="clear" w:color="auto" w:fill="BFBFBF"/>
          </w:tcPr>
          <w:p w14:paraId="64E8F4A1" w14:textId="77777777" w:rsidR="00C510E9" w:rsidRPr="00111CBC" w:rsidRDefault="00C510E9" w:rsidP="00506E02">
            <w:pPr>
              <w:pStyle w:val="Tablebodytextnospaceafter"/>
              <w:rPr>
                <w:rStyle w:val="Emphasis"/>
                <w:bCs w:val="0"/>
                <w:iCs w:val="0"/>
              </w:rPr>
            </w:pPr>
          </w:p>
        </w:tc>
        <w:tc>
          <w:tcPr>
            <w:tcW w:w="1522" w:type="dxa"/>
            <w:tcBorders>
              <w:bottom w:val="single" w:sz="4" w:space="0" w:color="FFFFFF" w:themeColor="background1"/>
              <w:right w:val="single" w:sz="4" w:space="0" w:color="FFFFFF" w:themeColor="background1"/>
            </w:tcBorders>
            <w:shd w:val="clear" w:color="auto" w:fill="BFBFBF"/>
          </w:tcPr>
          <w:p w14:paraId="57FDAA04" w14:textId="77777777" w:rsidR="00C510E9" w:rsidRPr="00111CBC" w:rsidRDefault="00C510E9" w:rsidP="00506E02">
            <w:pPr>
              <w:pStyle w:val="Tablebodytextnospaceafter"/>
              <w:rPr>
                <w:rStyle w:val="Emphasis"/>
                <w:bCs w:val="0"/>
                <w:iCs w:val="0"/>
              </w:rPr>
            </w:pPr>
          </w:p>
        </w:tc>
      </w:tr>
      <w:tr w:rsidR="00C510E9" w14:paraId="22D5FE2D" w14:textId="77777777" w:rsidTr="00C510E9">
        <w:trPr>
          <w:cnfStyle w:val="000000010000" w:firstRow="0" w:lastRow="0" w:firstColumn="0" w:lastColumn="0" w:oddVBand="0" w:evenVBand="0" w:oddHBand="0" w:evenHBand="1" w:firstRowFirstColumn="0" w:firstRowLastColumn="0" w:lastRowFirstColumn="0" w:lastRowLastColumn="0"/>
          <w:trHeight w:val="60"/>
        </w:trPr>
        <w:tc>
          <w:tcPr>
            <w:tcW w:w="6217" w:type="dxa"/>
            <w:tcBorders>
              <w:top w:val="single" w:sz="4" w:space="0" w:color="FFFFFF" w:themeColor="background1"/>
              <w:bottom w:val="single" w:sz="4" w:space="0" w:color="FFFFFF" w:themeColor="background1"/>
            </w:tcBorders>
          </w:tcPr>
          <w:p w14:paraId="216E67C6" w14:textId="77777777" w:rsidR="00C510E9" w:rsidRPr="00BE4BB3" w:rsidRDefault="00C510E9" w:rsidP="00506E02">
            <w:pPr>
              <w:pStyle w:val="Tablebodytextnospaceafter"/>
            </w:pPr>
            <w:r>
              <w:t>R</w:t>
            </w:r>
            <w:r w:rsidRPr="00BE4BB3">
              <w:t>eferred to Privacy Commissioner</w:t>
            </w:r>
          </w:p>
        </w:tc>
        <w:tc>
          <w:tcPr>
            <w:tcW w:w="1522" w:type="dxa"/>
            <w:tcBorders>
              <w:top w:val="single" w:sz="4" w:space="0" w:color="FFFFFF" w:themeColor="background1"/>
              <w:bottom w:val="single" w:sz="4" w:space="0" w:color="FFFFFF" w:themeColor="background1"/>
              <w:right w:val="single" w:sz="4" w:space="0" w:color="FFFFFF" w:themeColor="background1"/>
            </w:tcBorders>
          </w:tcPr>
          <w:p w14:paraId="238FD2E0" w14:textId="77777777" w:rsidR="00C510E9" w:rsidRDefault="00C510E9" w:rsidP="00506E02">
            <w:pPr>
              <w:pStyle w:val="Tablebodytextnospaceafter"/>
            </w:pPr>
            <w:r>
              <w:t>121</w:t>
            </w:r>
          </w:p>
        </w:tc>
        <w:tc>
          <w:tcPr>
            <w:tcW w:w="1522" w:type="dxa"/>
            <w:tcBorders>
              <w:top w:val="single" w:sz="4" w:space="0" w:color="FFFFFF" w:themeColor="background1"/>
              <w:bottom w:val="single" w:sz="4" w:space="0" w:color="FFFFFF" w:themeColor="background1"/>
              <w:right w:val="single" w:sz="4" w:space="0" w:color="FFFFFF" w:themeColor="background1"/>
            </w:tcBorders>
          </w:tcPr>
          <w:p w14:paraId="5F999AD6" w14:textId="77777777" w:rsidR="00C510E9" w:rsidRDefault="00C510E9" w:rsidP="00506E02">
            <w:pPr>
              <w:pStyle w:val="Tablebodytextnospaceafter"/>
            </w:pPr>
            <w:r>
              <w:t>77</w:t>
            </w:r>
          </w:p>
        </w:tc>
      </w:tr>
      <w:tr w:rsidR="00C510E9" w14:paraId="55831DDB" w14:textId="77777777" w:rsidTr="00C510E9">
        <w:trPr>
          <w:cnfStyle w:val="000000100000" w:firstRow="0" w:lastRow="0" w:firstColumn="0" w:lastColumn="0" w:oddVBand="0" w:evenVBand="0" w:oddHBand="1" w:evenHBand="0" w:firstRowFirstColumn="0" w:firstRowLastColumn="0" w:lastRowFirstColumn="0" w:lastRowLastColumn="0"/>
          <w:trHeight w:val="60"/>
        </w:trPr>
        <w:tc>
          <w:tcPr>
            <w:tcW w:w="6217" w:type="dxa"/>
            <w:tcBorders>
              <w:top w:val="single" w:sz="4" w:space="0" w:color="FFFFFF" w:themeColor="background1"/>
              <w:bottom w:val="single" w:sz="4" w:space="0" w:color="FFFFFF"/>
            </w:tcBorders>
          </w:tcPr>
          <w:p w14:paraId="0684D68C" w14:textId="77777777" w:rsidR="00C510E9" w:rsidRPr="00F72E52" w:rsidRDefault="00C510E9" w:rsidP="00506E02">
            <w:pPr>
              <w:pStyle w:val="Tablesinglespacedparagraph"/>
              <w:rPr>
                <w:rStyle w:val="EmphasisItalics"/>
              </w:rPr>
            </w:pPr>
            <w:r w:rsidRPr="00F72E52">
              <w:rPr>
                <w:rStyle w:val="EmphasisItalics"/>
              </w:rPr>
              <w:t>Subtotal</w:t>
            </w:r>
          </w:p>
        </w:tc>
        <w:tc>
          <w:tcPr>
            <w:tcW w:w="1522" w:type="dxa"/>
            <w:tcBorders>
              <w:top w:val="single" w:sz="4" w:space="0" w:color="FFFFFF" w:themeColor="background1"/>
              <w:right w:val="single" w:sz="4" w:space="0" w:color="FFFFFF" w:themeColor="background1"/>
            </w:tcBorders>
          </w:tcPr>
          <w:p w14:paraId="3127764D" w14:textId="77777777" w:rsidR="00C510E9" w:rsidRPr="00F72E52" w:rsidRDefault="00C510E9" w:rsidP="00506E02">
            <w:pPr>
              <w:pStyle w:val="Tablesinglespacedparagraph"/>
              <w:jc w:val="right"/>
              <w:rPr>
                <w:rStyle w:val="EmphasisItalics"/>
              </w:rPr>
            </w:pPr>
            <w:r>
              <w:rPr>
                <w:rStyle w:val="EmphasisItalics"/>
              </w:rPr>
              <w:t>121</w:t>
            </w:r>
          </w:p>
        </w:tc>
        <w:tc>
          <w:tcPr>
            <w:tcW w:w="1522" w:type="dxa"/>
            <w:tcBorders>
              <w:top w:val="single" w:sz="4" w:space="0" w:color="FFFFFF" w:themeColor="background1"/>
              <w:right w:val="single" w:sz="4" w:space="0" w:color="FFFFFF" w:themeColor="background1"/>
            </w:tcBorders>
          </w:tcPr>
          <w:p w14:paraId="51F23FB7" w14:textId="77777777" w:rsidR="00C510E9" w:rsidRDefault="00C806BC" w:rsidP="00506E02">
            <w:pPr>
              <w:pStyle w:val="Tablesinglespacedparagraph"/>
              <w:jc w:val="right"/>
              <w:rPr>
                <w:rStyle w:val="EmphasisItalics"/>
              </w:rPr>
            </w:pPr>
            <w:r>
              <w:rPr>
                <w:rStyle w:val="EmphasisItalics"/>
              </w:rPr>
              <w:t>77</w:t>
            </w:r>
          </w:p>
        </w:tc>
      </w:tr>
      <w:tr w:rsidR="00C510E9" w14:paraId="43285130" w14:textId="77777777" w:rsidTr="00C510E9">
        <w:trPr>
          <w:cnfStyle w:val="000000010000" w:firstRow="0" w:lastRow="0" w:firstColumn="0" w:lastColumn="0" w:oddVBand="0" w:evenVBand="0" w:oddHBand="0" w:evenHBand="1" w:firstRowFirstColumn="0" w:firstRowLastColumn="0" w:lastRowFirstColumn="0" w:lastRowLastColumn="0"/>
          <w:trHeight w:val="60"/>
        </w:trPr>
        <w:tc>
          <w:tcPr>
            <w:tcW w:w="6217" w:type="dxa"/>
            <w:shd w:val="clear" w:color="auto" w:fill="BFBFBF"/>
          </w:tcPr>
          <w:p w14:paraId="221D3440" w14:textId="77777777" w:rsidR="00C510E9" w:rsidRPr="00111CBC" w:rsidRDefault="00C510E9" w:rsidP="00506E02">
            <w:pPr>
              <w:pStyle w:val="Tablebodytextnospaceafter"/>
              <w:rPr>
                <w:rStyle w:val="Emphasis"/>
                <w:bCs w:val="0"/>
                <w:iCs w:val="0"/>
              </w:rPr>
            </w:pPr>
            <w:r w:rsidRPr="00111CBC">
              <w:rPr>
                <w:rStyle w:val="Emphasis"/>
                <w:bCs w:val="0"/>
                <w:iCs w:val="0"/>
              </w:rPr>
              <w:t>No investigation undertaken</w:t>
            </w:r>
          </w:p>
        </w:tc>
        <w:tc>
          <w:tcPr>
            <w:tcW w:w="1522" w:type="dxa"/>
            <w:shd w:val="clear" w:color="auto" w:fill="BFBFBF"/>
          </w:tcPr>
          <w:p w14:paraId="556A3EFC" w14:textId="77777777" w:rsidR="00C510E9" w:rsidRPr="00111CBC" w:rsidRDefault="00C510E9" w:rsidP="00506E02">
            <w:pPr>
              <w:pStyle w:val="Tablebodytextnospaceafter"/>
              <w:rPr>
                <w:rStyle w:val="Emphasis"/>
                <w:bCs w:val="0"/>
                <w:iCs w:val="0"/>
              </w:rPr>
            </w:pPr>
          </w:p>
        </w:tc>
        <w:tc>
          <w:tcPr>
            <w:tcW w:w="1522" w:type="dxa"/>
            <w:shd w:val="clear" w:color="auto" w:fill="BFBFBF"/>
          </w:tcPr>
          <w:p w14:paraId="67FF2B2D" w14:textId="77777777" w:rsidR="00C510E9" w:rsidRPr="00111CBC" w:rsidRDefault="00C510E9" w:rsidP="00506E02">
            <w:pPr>
              <w:pStyle w:val="Tablebodytextnospaceafter"/>
              <w:rPr>
                <w:rStyle w:val="Emphasis"/>
                <w:bCs w:val="0"/>
                <w:iCs w:val="0"/>
              </w:rPr>
            </w:pPr>
          </w:p>
        </w:tc>
      </w:tr>
      <w:tr w:rsidR="00C510E9" w14:paraId="1C6199EE" w14:textId="77777777" w:rsidTr="00C510E9">
        <w:trPr>
          <w:cnfStyle w:val="000000100000" w:firstRow="0" w:lastRow="0" w:firstColumn="0" w:lastColumn="0" w:oddVBand="0" w:evenVBand="0" w:oddHBand="1" w:evenHBand="0" w:firstRowFirstColumn="0" w:firstRowLastColumn="0" w:lastRowFirstColumn="0" w:lastRowLastColumn="0"/>
          <w:trHeight w:val="60"/>
        </w:trPr>
        <w:tc>
          <w:tcPr>
            <w:tcW w:w="6217" w:type="dxa"/>
          </w:tcPr>
          <w:p w14:paraId="7CBF713B" w14:textId="77777777" w:rsidR="00C510E9" w:rsidRPr="00BE4BB3" w:rsidRDefault="00C510E9" w:rsidP="00506E02">
            <w:pPr>
              <w:pStyle w:val="Tablebodytextnospaceafter"/>
            </w:pPr>
            <w:r>
              <w:t>W</w:t>
            </w:r>
            <w:r w:rsidRPr="00BE4BB3">
              <w:t>ithdrawn by complainant or no response from complainant</w:t>
            </w:r>
          </w:p>
        </w:tc>
        <w:tc>
          <w:tcPr>
            <w:tcW w:w="1522" w:type="dxa"/>
          </w:tcPr>
          <w:p w14:paraId="5767D99F" w14:textId="77777777" w:rsidR="00C510E9" w:rsidRDefault="00C510E9" w:rsidP="00506E02">
            <w:pPr>
              <w:pStyle w:val="Tablebodytextnospaceafter"/>
            </w:pPr>
            <w:r>
              <w:t>177</w:t>
            </w:r>
          </w:p>
        </w:tc>
        <w:tc>
          <w:tcPr>
            <w:tcW w:w="1522" w:type="dxa"/>
          </w:tcPr>
          <w:p w14:paraId="461485E6" w14:textId="77777777" w:rsidR="00C510E9" w:rsidRDefault="00C806BC" w:rsidP="00506E02">
            <w:pPr>
              <w:pStyle w:val="Tablebodytextnospaceafter"/>
            </w:pPr>
            <w:r>
              <w:t>172</w:t>
            </w:r>
          </w:p>
        </w:tc>
      </w:tr>
      <w:tr w:rsidR="00C510E9" w14:paraId="1E817576" w14:textId="77777777" w:rsidTr="00C510E9">
        <w:trPr>
          <w:cnfStyle w:val="000000010000" w:firstRow="0" w:lastRow="0" w:firstColumn="0" w:lastColumn="0" w:oddVBand="0" w:evenVBand="0" w:oddHBand="0" w:evenHBand="1" w:firstRowFirstColumn="0" w:firstRowLastColumn="0" w:lastRowFirstColumn="0" w:lastRowLastColumn="0"/>
          <w:trHeight w:val="60"/>
        </w:trPr>
        <w:tc>
          <w:tcPr>
            <w:tcW w:w="6217" w:type="dxa"/>
          </w:tcPr>
          <w:p w14:paraId="675AFCFA" w14:textId="77777777" w:rsidR="00C510E9" w:rsidRPr="00BE4BB3" w:rsidRDefault="00C510E9" w:rsidP="00506E02">
            <w:pPr>
              <w:pStyle w:val="Tablebodytextnospaceafter"/>
            </w:pPr>
            <w:r>
              <w:t>A</w:t>
            </w:r>
            <w:r w:rsidRPr="00BE4BB3">
              <w:t>dequate alternative remedy – complain to agency first</w:t>
            </w:r>
          </w:p>
        </w:tc>
        <w:tc>
          <w:tcPr>
            <w:tcW w:w="1522" w:type="dxa"/>
          </w:tcPr>
          <w:p w14:paraId="28A7E188" w14:textId="77777777" w:rsidR="00C510E9" w:rsidRDefault="00C510E9" w:rsidP="00506E02">
            <w:pPr>
              <w:pStyle w:val="Tablebodytextnospaceafter"/>
            </w:pPr>
            <w:r>
              <w:t>7</w:t>
            </w:r>
          </w:p>
        </w:tc>
        <w:tc>
          <w:tcPr>
            <w:tcW w:w="1522" w:type="dxa"/>
          </w:tcPr>
          <w:p w14:paraId="4B83E8A9" w14:textId="77777777" w:rsidR="00C510E9" w:rsidRDefault="00C806BC" w:rsidP="00506E02">
            <w:pPr>
              <w:pStyle w:val="Tablebodytextnospaceafter"/>
            </w:pPr>
            <w:r>
              <w:t>12</w:t>
            </w:r>
          </w:p>
        </w:tc>
      </w:tr>
      <w:tr w:rsidR="00C510E9" w14:paraId="1792AECB" w14:textId="77777777" w:rsidTr="00C510E9">
        <w:trPr>
          <w:cnfStyle w:val="000000100000" w:firstRow="0" w:lastRow="0" w:firstColumn="0" w:lastColumn="0" w:oddVBand="0" w:evenVBand="0" w:oddHBand="1" w:evenHBand="0" w:firstRowFirstColumn="0" w:firstRowLastColumn="0" w:lastRowFirstColumn="0" w:lastRowLastColumn="0"/>
          <w:trHeight w:val="60"/>
        </w:trPr>
        <w:tc>
          <w:tcPr>
            <w:tcW w:w="6217" w:type="dxa"/>
          </w:tcPr>
          <w:p w14:paraId="6783F014" w14:textId="77777777" w:rsidR="00C510E9" w:rsidRPr="00BE4BB3" w:rsidRDefault="00C510E9" w:rsidP="00506E02">
            <w:pPr>
              <w:pStyle w:val="Tablebodytextnospaceafter"/>
            </w:pPr>
            <w:r>
              <w:t>A</w:t>
            </w:r>
            <w:r w:rsidRPr="00BE4BB3">
              <w:t>dequate alternative remedy – complaint referred to agency by Ombudsman</w:t>
            </w:r>
          </w:p>
        </w:tc>
        <w:tc>
          <w:tcPr>
            <w:tcW w:w="1522" w:type="dxa"/>
          </w:tcPr>
          <w:p w14:paraId="4B9E22A8" w14:textId="77777777" w:rsidR="00C510E9" w:rsidRDefault="00C510E9" w:rsidP="00506E02">
            <w:pPr>
              <w:pStyle w:val="Tablebodytextnospaceafter"/>
            </w:pPr>
            <w:r>
              <w:t>2</w:t>
            </w:r>
          </w:p>
        </w:tc>
        <w:tc>
          <w:tcPr>
            <w:tcW w:w="1522" w:type="dxa"/>
          </w:tcPr>
          <w:p w14:paraId="0CA45662" w14:textId="77777777" w:rsidR="00C510E9" w:rsidRDefault="00C806BC" w:rsidP="00506E02">
            <w:pPr>
              <w:pStyle w:val="Tablebodytextnospaceafter"/>
            </w:pPr>
            <w:r>
              <w:t>2</w:t>
            </w:r>
          </w:p>
        </w:tc>
      </w:tr>
      <w:tr w:rsidR="00C510E9" w14:paraId="2752D0A1" w14:textId="77777777" w:rsidTr="00C510E9">
        <w:trPr>
          <w:cnfStyle w:val="000000010000" w:firstRow="0" w:lastRow="0" w:firstColumn="0" w:lastColumn="0" w:oddVBand="0" w:evenVBand="0" w:oddHBand="0" w:evenHBand="1" w:firstRowFirstColumn="0" w:firstRowLastColumn="0" w:lastRowFirstColumn="0" w:lastRowLastColumn="0"/>
          <w:trHeight w:val="60"/>
        </w:trPr>
        <w:tc>
          <w:tcPr>
            <w:tcW w:w="6217" w:type="dxa"/>
          </w:tcPr>
          <w:p w14:paraId="71485645" w14:textId="77777777" w:rsidR="00C510E9" w:rsidRPr="00BE4BB3" w:rsidRDefault="00C510E9" w:rsidP="00506E02">
            <w:pPr>
              <w:pStyle w:val="Tablebodytextnospaceafter"/>
            </w:pPr>
            <w:r>
              <w:t>A</w:t>
            </w:r>
            <w:r w:rsidRPr="00BE4BB3">
              <w:t>dequate alternative remedy – recourse to other agency</w:t>
            </w:r>
          </w:p>
        </w:tc>
        <w:tc>
          <w:tcPr>
            <w:tcW w:w="1522" w:type="dxa"/>
          </w:tcPr>
          <w:p w14:paraId="7F227B91" w14:textId="77777777" w:rsidR="00C510E9" w:rsidRDefault="00C510E9" w:rsidP="00506E02">
            <w:pPr>
              <w:pStyle w:val="Tablebodytextnospaceafter"/>
            </w:pPr>
            <w:r>
              <w:t>2</w:t>
            </w:r>
          </w:p>
        </w:tc>
        <w:tc>
          <w:tcPr>
            <w:tcW w:w="1522" w:type="dxa"/>
          </w:tcPr>
          <w:p w14:paraId="68EB5618" w14:textId="77777777" w:rsidR="00C510E9" w:rsidRDefault="002C664B" w:rsidP="00506E02">
            <w:pPr>
              <w:pStyle w:val="Tablebodytextnospaceafter"/>
            </w:pPr>
            <w:r>
              <w:t>-</w:t>
            </w:r>
          </w:p>
        </w:tc>
      </w:tr>
      <w:tr w:rsidR="00C510E9" w14:paraId="56280E5F" w14:textId="77777777" w:rsidTr="00C510E9">
        <w:trPr>
          <w:cnfStyle w:val="000000100000" w:firstRow="0" w:lastRow="0" w:firstColumn="0" w:lastColumn="0" w:oddVBand="0" w:evenVBand="0" w:oddHBand="1" w:evenHBand="0" w:firstRowFirstColumn="0" w:firstRowLastColumn="0" w:lastRowFirstColumn="0" w:lastRowLastColumn="0"/>
          <w:trHeight w:val="60"/>
        </w:trPr>
        <w:tc>
          <w:tcPr>
            <w:tcW w:w="6217" w:type="dxa"/>
          </w:tcPr>
          <w:p w14:paraId="2F1A7845" w14:textId="77777777" w:rsidR="00C510E9" w:rsidRPr="00BE4BB3" w:rsidRDefault="00C510E9" w:rsidP="00506E02">
            <w:pPr>
              <w:pStyle w:val="Tablebodytextnospaceafter"/>
            </w:pPr>
            <w:r>
              <w:t xml:space="preserve">Trivial, </w:t>
            </w:r>
            <w:r w:rsidRPr="00BE4BB3">
              <w:t>frivolous, vexatious or not in good faith</w:t>
            </w:r>
          </w:p>
        </w:tc>
        <w:tc>
          <w:tcPr>
            <w:tcW w:w="1522" w:type="dxa"/>
          </w:tcPr>
          <w:p w14:paraId="2584C95B" w14:textId="77777777" w:rsidR="00C510E9" w:rsidRDefault="00C510E9" w:rsidP="00506E02">
            <w:pPr>
              <w:pStyle w:val="Tablebodytextnospaceafter"/>
            </w:pPr>
            <w:r>
              <w:t>4</w:t>
            </w:r>
          </w:p>
        </w:tc>
        <w:tc>
          <w:tcPr>
            <w:tcW w:w="1522" w:type="dxa"/>
          </w:tcPr>
          <w:p w14:paraId="722D7D2D" w14:textId="77777777" w:rsidR="00C510E9" w:rsidRDefault="00C806BC" w:rsidP="00506E02">
            <w:pPr>
              <w:pStyle w:val="Tablebodytextnospaceafter"/>
            </w:pPr>
            <w:r>
              <w:t>1</w:t>
            </w:r>
          </w:p>
        </w:tc>
      </w:tr>
      <w:tr w:rsidR="00C510E9" w14:paraId="5F57F808" w14:textId="77777777" w:rsidTr="00C510E9">
        <w:trPr>
          <w:cnfStyle w:val="000000010000" w:firstRow="0" w:lastRow="0" w:firstColumn="0" w:lastColumn="0" w:oddVBand="0" w:evenVBand="0" w:oddHBand="0" w:evenHBand="1" w:firstRowFirstColumn="0" w:firstRowLastColumn="0" w:lastRowFirstColumn="0" w:lastRowLastColumn="0"/>
          <w:trHeight w:val="60"/>
        </w:trPr>
        <w:tc>
          <w:tcPr>
            <w:tcW w:w="6217" w:type="dxa"/>
          </w:tcPr>
          <w:p w14:paraId="59BC496C" w14:textId="77777777" w:rsidR="00C510E9" w:rsidRDefault="00C510E9" w:rsidP="00506E02">
            <w:pPr>
              <w:pStyle w:val="Tablebodytextnospaceafter"/>
            </w:pPr>
            <w:r>
              <w:t>Insufficient personal interest</w:t>
            </w:r>
          </w:p>
        </w:tc>
        <w:tc>
          <w:tcPr>
            <w:tcW w:w="1522" w:type="dxa"/>
          </w:tcPr>
          <w:p w14:paraId="27599831" w14:textId="77777777" w:rsidR="00C510E9" w:rsidRDefault="00C510E9" w:rsidP="00506E02">
            <w:pPr>
              <w:pStyle w:val="Tablebodytextnospaceafter"/>
            </w:pPr>
            <w:r>
              <w:t>2</w:t>
            </w:r>
          </w:p>
        </w:tc>
        <w:tc>
          <w:tcPr>
            <w:tcW w:w="1522" w:type="dxa"/>
          </w:tcPr>
          <w:p w14:paraId="33304F1E" w14:textId="77777777" w:rsidR="00C510E9" w:rsidRDefault="00C806BC" w:rsidP="00506E02">
            <w:pPr>
              <w:pStyle w:val="Tablebodytextnospaceafter"/>
            </w:pPr>
            <w:r>
              <w:t>1</w:t>
            </w:r>
          </w:p>
        </w:tc>
      </w:tr>
      <w:tr w:rsidR="00C510E9" w14:paraId="22D1ACF4" w14:textId="77777777" w:rsidTr="00C510E9">
        <w:trPr>
          <w:cnfStyle w:val="000000100000" w:firstRow="0" w:lastRow="0" w:firstColumn="0" w:lastColumn="0" w:oddVBand="0" w:evenVBand="0" w:oddHBand="1" w:evenHBand="0" w:firstRowFirstColumn="0" w:firstRowLastColumn="0" w:lastRowFirstColumn="0" w:lastRowLastColumn="0"/>
          <w:trHeight w:val="60"/>
        </w:trPr>
        <w:tc>
          <w:tcPr>
            <w:tcW w:w="6217" w:type="dxa"/>
          </w:tcPr>
          <w:p w14:paraId="4CD32558" w14:textId="77777777" w:rsidR="00C510E9" w:rsidRPr="009A2C2C" w:rsidRDefault="00C510E9" w:rsidP="00506E02">
            <w:pPr>
              <w:pStyle w:val="Tablebodytextnospaceafter"/>
            </w:pPr>
            <w:r>
              <w:t>E</w:t>
            </w:r>
            <w:r w:rsidRPr="009A2C2C">
              <w:t>xplanation, advice or assistance provided</w:t>
            </w:r>
          </w:p>
        </w:tc>
        <w:tc>
          <w:tcPr>
            <w:tcW w:w="1522" w:type="dxa"/>
          </w:tcPr>
          <w:p w14:paraId="5B4C8406" w14:textId="77777777" w:rsidR="00C510E9" w:rsidRDefault="00C510E9" w:rsidP="00506E02">
            <w:pPr>
              <w:pStyle w:val="Tablebodytextnospaceafter"/>
            </w:pPr>
            <w:r>
              <w:t>58</w:t>
            </w:r>
          </w:p>
        </w:tc>
        <w:tc>
          <w:tcPr>
            <w:tcW w:w="1522" w:type="dxa"/>
          </w:tcPr>
          <w:p w14:paraId="2171B8F7" w14:textId="77777777" w:rsidR="00C510E9" w:rsidRDefault="00C806BC" w:rsidP="00506E02">
            <w:pPr>
              <w:pStyle w:val="Tablebodytextnospaceafter"/>
            </w:pPr>
            <w:r>
              <w:t>81</w:t>
            </w:r>
          </w:p>
        </w:tc>
      </w:tr>
      <w:tr w:rsidR="00C806BC" w14:paraId="1E968976" w14:textId="77777777" w:rsidTr="008F18FF">
        <w:trPr>
          <w:cnfStyle w:val="000000010000" w:firstRow="0" w:lastRow="0" w:firstColumn="0" w:lastColumn="0" w:oddVBand="0" w:evenVBand="0" w:oddHBand="0" w:evenHBand="1" w:firstRowFirstColumn="0" w:firstRowLastColumn="0" w:lastRowFirstColumn="0" w:lastRowLastColumn="0"/>
          <w:trHeight w:val="60"/>
        </w:trPr>
        <w:tc>
          <w:tcPr>
            <w:tcW w:w="6217" w:type="dxa"/>
          </w:tcPr>
          <w:p w14:paraId="60E4E295" w14:textId="77777777" w:rsidR="00C806BC" w:rsidRDefault="00C806BC" w:rsidP="008F18FF">
            <w:pPr>
              <w:pStyle w:val="Tablebodytextnospaceafter"/>
            </w:pPr>
            <w:r>
              <w:t>Investigation unnecessary</w:t>
            </w:r>
          </w:p>
        </w:tc>
        <w:tc>
          <w:tcPr>
            <w:tcW w:w="1522" w:type="dxa"/>
          </w:tcPr>
          <w:p w14:paraId="47D55515" w14:textId="77777777" w:rsidR="00C806BC" w:rsidRDefault="00C806BC" w:rsidP="008F18FF">
            <w:pPr>
              <w:pStyle w:val="Tablebodytextnospaceafter"/>
            </w:pPr>
            <w:r>
              <w:t>637</w:t>
            </w:r>
          </w:p>
        </w:tc>
        <w:tc>
          <w:tcPr>
            <w:tcW w:w="1522" w:type="dxa"/>
          </w:tcPr>
          <w:p w14:paraId="5E2DD022" w14:textId="77777777" w:rsidR="00C806BC" w:rsidRDefault="00B649E4" w:rsidP="008F18FF">
            <w:pPr>
              <w:pStyle w:val="Tablebodytextnospaceafter"/>
            </w:pPr>
            <w:r>
              <w:t>183</w:t>
            </w:r>
          </w:p>
        </w:tc>
      </w:tr>
      <w:tr w:rsidR="00C510E9" w14:paraId="2127EA7F" w14:textId="77777777" w:rsidTr="00C510E9">
        <w:trPr>
          <w:cnfStyle w:val="000000100000" w:firstRow="0" w:lastRow="0" w:firstColumn="0" w:lastColumn="0" w:oddVBand="0" w:evenVBand="0" w:oddHBand="1" w:evenHBand="0" w:firstRowFirstColumn="0" w:firstRowLastColumn="0" w:lastRowFirstColumn="0" w:lastRowLastColumn="0"/>
          <w:trHeight w:val="60"/>
        </w:trPr>
        <w:tc>
          <w:tcPr>
            <w:tcW w:w="6217" w:type="dxa"/>
          </w:tcPr>
          <w:p w14:paraId="102436EE" w14:textId="77777777" w:rsidR="00C510E9" w:rsidRPr="009A2C2C" w:rsidRDefault="00C510E9" w:rsidP="00506E02">
            <w:pPr>
              <w:pStyle w:val="Tablebodytextnospaceafter"/>
              <w:rPr>
                <w:rStyle w:val="EmphasisItalics"/>
              </w:rPr>
            </w:pPr>
            <w:r w:rsidRPr="009A2C2C">
              <w:rPr>
                <w:rStyle w:val="EmphasisItalics"/>
              </w:rPr>
              <w:t>Subtotal</w:t>
            </w:r>
          </w:p>
        </w:tc>
        <w:tc>
          <w:tcPr>
            <w:tcW w:w="1522" w:type="dxa"/>
          </w:tcPr>
          <w:p w14:paraId="585C11BD" w14:textId="77777777" w:rsidR="00C510E9" w:rsidRPr="009A2C2C" w:rsidRDefault="00C510E9" w:rsidP="00506E02">
            <w:pPr>
              <w:pStyle w:val="Tablebodytextnospaceafter"/>
              <w:jc w:val="right"/>
              <w:rPr>
                <w:rStyle w:val="EmphasisItalics"/>
              </w:rPr>
            </w:pPr>
            <w:r>
              <w:rPr>
                <w:rStyle w:val="EmphasisItalics"/>
              </w:rPr>
              <w:t>889</w:t>
            </w:r>
          </w:p>
        </w:tc>
        <w:tc>
          <w:tcPr>
            <w:tcW w:w="1522" w:type="dxa"/>
          </w:tcPr>
          <w:p w14:paraId="5F217239" w14:textId="77777777" w:rsidR="00C510E9" w:rsidRDefault="00C806BC" w:rsidP="00506E02">
            <w:pPr>
              <w:pStyle w:val="Tablebodytextnospaceafter"/>
              <w:jc w:val="right"/>
              <w:rPr>
                <w:rStyle w:val="EmphasisItalics"/>
              </w:rPr>
            </w:pPr>
            <w:r>
              <w:rPr>
                <w:rStyle w:val="EmphasisItalics"/>
              </w:rPr>
              <w:t>452</w:t>
            </w:r>
          </w:p>
        </w:tc>
      </w:tr>
      <w:tr w:rsidR="00C510E9" w14:paraId="15C80FA2" w14:textId="77777777" w:rsidTr="00C510E9">
        <w:trPr>
          <w:cnfStyle w:val="000000010000" w:firstRow="0" w:lastRow="0" w:firstColumn="0" w:lastColumn="0" w:oddVBand="0" w:evenVBand="0" w:oddHBand="0" w:evenHBand="1" w:firstRowFirstColumn="0" w:firstRowLastColumn="0" w:lastRowFirstColumn="0" w:lastRowLastColumn="0"/>
          <w:trHeight w:val="60"/>
        </w:trPr>
        <w:tc>
          <w:tcPr>
            <w:tcW w:w="6217" w:type="dxa"/>
            <w:shd w:val="clear" w:color="auto" w:fill="BFBFBF"/>
          </w:tcPr>
          <w:p w14:paraId="135BD24C" w14:textId="77777777" w:rsidR="00C510E9" w:rsidRPr="00111CBC" w:rsidRDefault="00C510E9" w:rsidP="00506E02">
            <w:pPr>
              <w:pStyle w:val="Tablebodytextnospaceafter"/>
              <w:rPr>
                <w:rStyle w:val="Emphasis"/>
                <w:bCs w:val="0"/>
                <w:iCs w:val="0"/>
              </w:rPr>
            </w:pPr>
            <w:r w:rsidRPr="00111CBC">
              <w:rPr>
                <w:rStyle w:val="Emphasis"/>
                <w:bCs w:val="0"/>
                <w:iCs w:val="0"/>
              </w:rPr>
              <w:t>Resolved without investigation</w:t>
            </w:r>
          </w:p>
        </w:tc>
        <w:tc>
          <w:tcPr>
            <w:tcW w:w="1522" w:type="dxa"/>
            <w:shd w:val="clear" w:color="auto" w:fill="BFBFBF"/>
          </w:tcPr>
          <w:p w14:paraId="449F5E03" w14:textId="77777777" w:rsidR="00C510E9" w:rsidRPr="00111CBC" w:rsidRDefault="00C510E9" w:rsidP="00506E02">
            <w:pPr>
              <w:pStyle w:val="Tablebodytextnospaceafter"/>
              <w:rPr>
                <w:rStyle w:val="Emphasis"/>
                <w:bCs w:val="0"/>
                <w:iCs w:val="0"/>
              </w:rPr>
            </w:pPr>
          </w:p>
        </w:tc>
        <w:tc>
          <w:tcPr>
            <w:tcW w:w="1522" w:type="dxa"/>
            <w:shd w:val="clear" w:color="auto" w:fill="BFBFBF"/>
          </w:tcPr>
          <w:p w14:paraId="30E67FF8" w14:textId="77777777" w:rsidR="00C510E9" w:rsidRPr="00111CBC" w:rsidRDefault="00C510E9" w:rsidP="00506E02">
            <w:pPr>
              <w:pStyle w:val="Tablebodytextnospaceafter"/>
              <w:rPr>
                <w:rStyle w:val="Emphasis"/>
                <w:bCs w:val="0"/>
                <w:iCs w:val="0"/>
              </w:rPr>
            </w:pPr>
          </w:p>
        </w:tc>
      </w:tr>
      <w:tr w:rsidR="00C510E9" w14:paraId="20609D23" w14:textId="77777777" w:rsidTr="00C510E9">
        <w:trPr>
          <w:cnfStyle w:val="000000100000" w:firstRow="0" w:lastRow="0" w:firstColumn="0" w:lastColumn="0" w:oddVBand="0" w:evenVBand="0" w:oddHBand="1" w:evenHBand="0" w:firstRowFirstColumn="0" w:firstRowLastColumn="0" w:lastRowFirstColumn="0" w:lastRowLastColumn="0"/>
          <w:trHeight w:val="60"/>
        </w:trPr>
        <w:tc>
          <w:tcPr>
            <w:tcW w:w="6217" w:type="dxa"/>
          </w:tcPr>
          <w:p w14:paraId="370C78B8" w14:textId="77777777" w:rsidR="00C510E9" w:rsidRPr="00BE4BB3" w:rsidRDefault="00C510E9" w:rsidP="00506E02">
            <w:pPr>
              <w:pStyle w:val="Tablebodytextnospaceafter"/>
            </w:pPr>
            <w:r>
              <w:t>R</w:t>
            </w:r>
            <w:r w:rsidRPr="00BE4BB3">
              <w:t xml:space="preserve">emedial action to benefit complainant </w:t>
            </w:r>
          </w:p>
        </w:tc>
        <w:tc>
          <w:tcPr>
            <w:tcW w:w="1522" w:type="dxa"/>
          </w:tcPr>
          <w:p w14:paraId="747FED87" w14:textId="77777777" w:rsidR="00C510E9" w:rsidRDefault="00C510E9" w:rsidP="00506E02">
            <w:pPr>
              <w:pStyle w:val="Tablebodytextnospaceafter"/>
            </w:pPr>
            <w:r>
              <w:t>98</w:t>
            </w:r>
          </w:p>
        </w:tc>
        <w:tc>
          <w:tcPr>
            <w:tcW w:w="1522" w:type="dxa"/>
          </w:tcPr>
          <w:p w14:paraId="6AC84735" w14:textId="77777777" w:rsidR="00C510E9" w:rsidRDefault="00C806BC" w:rsidP="00506E02">
            <w:pPr>
              <w:pStyle w:val="Tablebodytextnospaceafter"/>
            </w:pPr>
            <w:r>
              <w:t>103</w:t>
            </w:r>
          </w:p>
        </w:tc>
      </w:tr>
      <w:tr w:rsidR="00C510E9" w14:paraId="6CEDE52E" w14:textId="77777777" w:rsidTr="00C510E9">
        <w:trPr>
          <w:cnfStyle w:val="000000010000" w:firstRow="0" w:lastRow="0" w:firstColumn="0" w:lastColumn="0" w:oddVBand="0" w:evenVBand="0" w:oddHBand="0" w:evenHBand="1" w:firstRowFirstColumn="0" w:firstRowLastColumn="0" w:lastRowFirstColumn="0" w:lastRowLastColumn="0"/>
          <w:trHeight w:val="60"/>
        </w:trPr>
        <w:tc>
          <w:tcPr>
            <w:tcW w:w="6217" w:type="dxa"/>
          </w:tcPr>
          <w:p w14:paraId="35791C4F" w14:textId="77777777" w:rsidR="00C510E9" w:rsidRPr="00BE4BB3" w:rsidRDefault="00C510E9" w:rsidP="00506E02">
            <w:pPr>
              <w:pStyle w:val="Tablebodytextnospaceafter"/>
            </w:pPr>
            <w:r>
              <w:t>Remedial action to improve state sector administration</w:t>
            </w:r>
          </w:p>
        </w:tc>
        <w:tc>
          <w:tcPr>
            <w:tcW w:w="1522" w:type="dxa"/>
          </w:tcPr>
          <w:p w14:paraId="023FDF51" w14:textId="77777777" w:rsidR="00C510E9" w:rsidRDefault="00C510E9" w:rsidP="00506E02">
            <w:pPr>
              <w:pStyle w:val="Tablebodytextnospaceafter"/>
            </w:pPr>
            <w:r>
              <w:t>-</w:t>
            </w:r>
          </w:p>
        </w:tc>
        <w:tc>
          <w:tcPr>
            <w:tcW w:w="1522" w:type="dxa"/>
          </w:tcPr>
          <w:p w14:paraId="6766C704" w14:textId="77777777" w:rsidR="00C510E9" w:rsidRDefault="00C806BC" w:rsidP="00506E02">
            <w:pPr>
              <w:pStyle w:val="Tablebodytextnospaceafter"/>
            </w:pPr>
            <w:r>
              <w:t>1</w:t>
            </w:r>
          </w:p>
        </w:tc>
      </w:tr>
      <w:tr w:rsidR="00C510E9" w14:paraId="1178858F" w14:textId="77777777" w:rsidTr="00C510E9">
        <w:trPr>
          <w:cnfStyle w:val="000000100000" w:firstRow="0" w:lastRow="0" w:firstColumn="0" w:lastColumn="0" w:oddVBand="0" w:evenVBand="0" w:oddHBand="1" w:evenHBand="0" w:firstRowFirstColumn="0" w:firstRowLastColumn="0" w:lastRowFirstColumn="0" w:lastRowLastColumn="0"/>
          <w:trHeight w:val="60"/>
        </w:trPr>
        <w:tc>
          <w:tcPr>
            <w:tcW w:w="6217" w:type="dxa"/>
          </w:tcPr>
          <w:p w14:paraId="7D7E08CC" w14:textId="77777777" w:rsidR="00C510E9" w:rsidRPr="00BE4BB3" w:rsidRDefault="00C510E9" w:rsidP="00506E02">
            <w:pPr>
              <w:pStyle w:val="Tablebodytextnospaceafter"/>
            </w:pPr>
            <w:r>
              <w:t>R</w:t>
            </w:r>
            <w:r w:rsidRPr="00BE4BB3">
              <w:t>emedial action to benefit complainant and improve state sector administration</w:t>
            </w:r>
          </w:p>
        </w:tc>
        <w:tc>
          <w:tcPr>
            <w:tcW w:w="1522" w:type="dxa"/>
          </w:tcPr>
          <w:p w14:paraId="67247A4F" w14:textId="77777777" w:rsidR="00C510E9" w:rsidRDefault="00C510E9" w:rsidP="00506E02">
            <w:pPr>
              <w:pStyle w:val="Tablebodytextnospaceafter"/>
            </w:pPr>
            <w:r>
              <w:t>1</w:t>
            </w:r>
          </w:p>
        </w:tc>
        <w:tc>
          <w:tcPr>
            <w:tcW w:w="1522" w:type="dxa"/>
          </w:tcPr>
          <w:p w14:paraId="7D7520CE" w14:textId="77777777" w:rsidR="00C510E9" w:rsidRDefault="00C806BC" w:rsidP="00506E02">
            <w:pPr>
              <w:pStyle w:val="Tablebodytextnospaceafter"/>
            </w:pPr>
            <w:r>
              <w:t>2</w:t>
            </w:r>
          </w:p>
        </w:tc>
      </w:tr>
      <w:tr w:rsidR="00C510E9" w14:paraId="7C52DD71" w14:textId="77777777" w:rsidTr="00C510E9">
        <w:trPr>
          <w:cnfStyle w:val="000000010000" w:firstRow="0" w:lastRow="0" w:firstColumn="0" w:lastColumn="0" w:oddVBand="0" w:evenVBand="0" w:oddHBand="0" w:evenHBand="1" w:firstRowFirstColumn="0" w:firstRowLastColumn="0" w:lastRowFirstColumn="0" w:lastRowLastColumn="0"/>
          <w:trHeight w:val="60"/>
        </w:trPr>
        <w:tc>
          <w:tcPr>
            <w:tcW w:w="6217" w:type="dxa"/>
          </w:tcPr>
          <w:p w14:paraId="57A88934" w14:textId="77777777" w:rsidR="00C510E9" w:rsidRPr="009A2C2C" w:rsidRDefault="00C510E9" w:rsidP="00506E02">
            <w:pPr>
              <w:pStyle w:val="Tablebodytextnospaceafter"/>
            </w:pPr>
            <w:r>
              <w:t>P</w:t>
            </w:r>
            <w:r w:rsidRPr="009A2C2C">
              <w:t xml:space="preserve">rovision of advice/explanation by agency or Ombudsman </w:t>
            </w:r>
            <w:r>
              <w:t>that</w:t>
            </w:r>
            <w:r w:rsidRPr="009A2C2C">
              <w:t xml:space="preserve"> satisfies complainant</w:t>
            </w:r>
          </w:p>
        </w:tc>
        <w:tc>
          <w:tcPr>
            <w:tcW w:w="1522" w:type="dxa"/>
          </w:tcPr>
          <w:p w14:paraId="77A469F4" w14:textId="77777777" w:rsidR="00C510E9" w:rsidRPr="009A2C2C" w:rsidRDefault="00C510E9" w:rsidP="00506E02">
            <w:pPr>
              <w:pStyle w:val="Tablebodytextnospaceafter"/>
            </w:pPr>
            <w:r>
              <w:t>25</w:t>
            </w:r>
          </w:p>
        </w:tc>
        <w:tc>
          <w:tcPr>
            <w:tcW w:w="1522" w:type="dxa"/>
          </w:tcPr>
          <w:p w14:paraId="79819C37" w14:textId="77777777" w:rsidR="00C510E9" w:rsidRDefault="00C806BC" w:rsidP="00506E02">
            <w:pPr>
              <w:pStyle w:val="Tablebodytextnospaceafter"/>
            </w:pPr>
            <w:r>
              <w:t>30</w:t>
            </w:r>
          </w:p>
        </w:tc>
      </w:tr>
      <w:tr w:rsidR="00C510E9" w14:paraId="4C621D6F" w14:textId="77777777" w:rsidTr="00C510E9">
        <w:trPr>
          <w:cnfStyle w:val="000000100000" w:firstRow="0" w:lastRow="0" w:firstColumn="0" w:lastColumn="0" w:oddVBand="0" w:evenVBand="0" w:oddHBand="1" w:evenHBand="0" w:firstRowFirstColumn="0" w:firstRowLastColumn="0" w:lastRowFirstColumn="0" w:lastRowLastColumn="0"/>
          <w:trHeight w:val="60"/>
        </w:trPr>
        <w:tc>
          <w:tcPr>
            <w:tcW w:w="6217" w:type="dxa"/>
          </w:tcPr>
          <w:p w14:paraId="120634CF" w14:textId="77777777" w:rsidR="00C510E9" w:rsidRPr="009A2C2C" w:rsidRDefault="00C510E9" w:rsidP="00506E02">
            <w:pPr>
              <w:pStyle w:val="Tablebodytextnospaceafter"/>
              <w:rPr>
                <w:rStyle w:val="EmphasisItalics"/>
              </w:rPr>
            </w:pPr>
            <w:r w:rsidRPr="009A2C2C">
              <w:rPr>
                <w:rStyle w:val="EmphasisItalics"/>
              </w:rPr>
              <w:t>Subtotal</w:t>
            </w:r>
          </w:p>
        </w:tc>
        <w:tc>
          <w:tcPr>
            <w:tcW w:w="1522" w:type="dxa"/>
          </w:tcPr>
          <w:p w14:paraId="1324AD50" w14:textId="77777777" w:rsidR="00C510E9" w:rsidRPr="009A2C2C" w:rsidRDefault="00C510E9" w:rsidP="00506E02">
            <w:pPr>
              <w:pStyle w:val="Tablebodytextnospaceafter"/>
              <w:jc w:val="right"/>
              <w:rPr>
                <w:rStyle w:val="EmphasisItalics"/>
              </w:rPr>
            </w:pPr>
            <w:r>
              <w:rPr>
                <w:rStyle w:val="EmphasisItalics"/>
              </w:rPr>
              <w:t>124</w:t>
            </w:r>
          </w:p>
        </w:tc>
        <w:tc>
          <w:tcPr>
            <w:tcW w:w="1522" w:type="dxa"/>
          </w:tcPr>
          <w:p w14:paraId="01198DD0" w14:textId="77777777" w:rsidR="00C510E9" w:rsidRDefault="00C806BC" w:rsidP="00506E02">
            <w:pPr>
              <w:pStyle w:val="Tablebodytextnospaceafter"/>
              <w:jc w:val="right"/>
              <w:rPr>
                <w:rStyle w:val="EmphasisItalics"/>
              </w:rPr>
            </w:pPr>
            <w:r>
              <w:rPr>
                <w:rStyle w:val="EmphasisItalics"/>
              </w:rPr>
              <w:t>136</w:t>
            </w:r>
          </w:p>
        </w:tc>
      </w:tr>
      <w:tr w:rsidR="00C510E9" w14:paraId="2FAD9072" w14:textId="77777777" w:rsidTr="00C510E9">
        <w:trPr>
          <w:cnfStyle w:val="000000010000" w:firstRow="0" w:lastRow="0" w:firstColumn="0" w:lastColumn="0" w:oddVBand="0" w:evenVBand="0" w:oddHBand="0" w:evenHBand="1" w:firstRowFirstColumn="0" w:firstRowLastColumn="0" w:lastRowFirstColumn="0" w:lastRowLastColumn="0"/>
          <w:trHeight w:val="60"/>
        </w:trPr>
        <w:tc>
          <w:tcPr>
            <w:tcW w:w="6217" w:type="dxa"/>
            <w:shd w:val="clear" w:color="auto" w:fill="BFBFBF"/>
          </w:tcPr>
          <w:p w14:paraId="6B0FFFFE" w14:textId="77777777" w:rsidR="00C510E9" w:rsidRPr="00111CBC" w:rsidRDefault="00C510E9" w:rsidP="00506E02">
            <w:pPr>
              <w:pStyle w:val="Tablebodytextnospaceafter"/>
              <w:rPr>
                <w:rStyle w:val="Emphasis"/>
                <w:bCs w:val="0"/>
                <w:iCs w:val="0"/>
              </w:rPr>
            </w:pPr>
            <w:r w:rsidRPr="00111CBC">
              <w:rPr>
                <w:rStyle w:val="Emphasis"/>
                <w:bCs w:val="0"/>
                <w:iCs w:val="0"/>
              </w:rPr>
              <w:t>Investigation discontinued</w:t>
            </w:r>
          </w:p>
        </w:tc>
        <w:tc>
          <w:tcPr>
            <w:tcW w:w="1522" w:type="dxa"/>
            <w:shd w:val="clear" w:color="auto" w:fill="BFBFBF"/>
          </w:tcPr>
          <w:p w14:paraId="5FDCA251" w14:textId="77777777" w:rsidR="00C510E9" w:rsidRPr="00111CBC" w:rsidRDefault="00C510E9" w:rsidP="00506E02">
            <w:pPr>
              <w:pStyle w:val="Tablebodytextnospaceafter"/>
              <w:rPr>
                <w:rStyle w:val="Emphasis"/>
                <w:bCs w:val="0"/>
                <w:iCs w:val="0"/>
              </w:rPr>
            </w:pPr>
          </w:p>
        </w:tc>
        <w:tc>
          <w:tcPr>
            <w:tcW w:w="1522" w:type="dxa"/>
            <w:shd w:val="clear" w:color="auto" w:fill="BFBFBF"/>
          </w:tcPr>
          <w:p w14:paraId="2E4BDEC2" w14:textId="77777777" w:rsidR="00C510E9" w:rsidRPr="00111CBC" w:rsidRDefault="00C510E9" w:rsidP="00506E02">
            <w:pPr>
              <w:pStyle w:val="Tablebodytextnospaceafter"/>
              <w:rPr>
                <w:rStyle w:val="Emphasis"/>
                <w:bCs w:val="0"/>
                <w:iCs w:val="0"/>
              </w:rPr>
            </w:pPr>
          </w:p>
        </w:tc>
      </w:tr>
      <w:tr w:rsidR="00C510E9" w14:paraId="47D2519A" w14:textId="77777777" w:rsidTr="00C510E9">
        <w:trPr>
          <w:cnfStyle w:val="000000100000" w:firstRow="0" w:lastRow="0" w:firstColumn="0" w:lastColumn="0" w:oddVBand="0" w:evenVBand="0" w:oddHBand="1" w:evenHBand="0" w:firstRowFirstColumn="0" w:firstRowLastColumn="0" w:lastRowFirstColumn="0" w:lastRowLastColumn="0"/>
          <w:trHeight w:val="60"/>
        </w:trPr>
        <w:tc>
          <w:tcPr>
            <w:tcW w:w="6217" w:type="dxa"/>
          </w:tcPr>
          <w:p w14:paraId="308B2255" w14:textId="77777777" w:rsidR="00C510E9" w:rsidRPr="00BE4BB3" w:rsidRDefault="00C510E9" w:rsidP="00506E02">
            <w:pPr>
              <w:pStyle w:val="Tablebodytextnospaceafter"/>
            </w:pPr>
            <w:r>
              <w:t>W</w:t>
            </w:r>
            <w:r w:rsidRPr="00BE4BB3">
              <w:t>ithdrawn by complainant or no response from complainant</w:t>
            </w:r>
          </w:p>
        </w:tc>
        <w:tc>
          <w:tcPr>
            <w:tcW w:w="1522" w:type="dxa"/>
          </w:tcPr>
          <w:p w14:paraId="64B0E434" w14:textId="77777777" w:rsidR="00C510E9" w:rsidRDefault="00C510E9" w:rsidP="00506E02">
            <w:pPr>
              <w:pStyle w:val="Tablebodytextnospaceafter"/>
            </w:pPr>
            <w:r>
              <w:t>61</w:t>
            </w:r>
          </w:p>
        </w:tc>
        <w:tc>
          <w:tcPr>
            <w:tcW w:w="1522" w:type="dxa"/>
          </w:tcPr>
          <w:p w14:paraId="712F8A1C" w14:textId="77777777" w:rsidR="00C510E9" w:rsidRDefault="00C806BC" w:rsidP="00506E02">
            <w:pPr>
              <w:pStyle w:val="Tablebodytextnospaceafter"/>
            </w:pPr>
            <w:r>
              <w:t>57</w:t>
            </w:r>
          </w:p>
        </w:tc>
      </w:tr>
      <w:tr w:rsidR="00C510E9" w14:paraId="305750D4" w14:textId="77777777" w:rsidTr="00C510E9">
        <w:trPr>
          <w:cnfStyle w:val="000000010000" w:firstRow="0" w:lastRow="0" w:firstColumn="0" w:lastColumn="0" w:oddVBand="0" w:evenVBand="0" w:oddHBand="0" w:evenHBand="1" w:firstRowFirstColumn="0" w:firstRowLastColumn="0" w:lastRowFirstColumn="0" w:lastRowLastColumn="0"/>
          <w:trHeight w:val="60"/>
        </w:trPr>
        <w:tc>
          <w:tcPr>
            <w:tcW w:w="6217" w:type="dxa"/>
          </w:tcPr>
          <w:p w14:paraId="6A915D7B" w14:textId="77777777" w:rsidR="00C510E9" w:rsidRPr="00BE4BB3" w:rsidRDefault="00C510E9" w:rsidP="00506E02">
            <w:pPr>
              <w:pStyle w:val="Tablebodytextnospaceafter"/>
            </w:pPr>
            <w:r>
              <w:t>F</w:t>
            </w:r>
            <w:r w:rsidRPr="00BE4BB3">
              <w:t>urther investigation unnecessary</w:t>
            </w:r>
          </w:p>
        </w:tc>
        <w:tc>
          <w:tcPr>
            <w:tcW w:w="1522" w:type="dxa"/>
          </w:tcPr>
          <w:p w14:paraId="65BC1E09" w14:textId="77777777" w:rsidR="00C510E9" w:rsidRDefault="00C510E9" w:rsidP="00506E02">
            <w:pPr>
              <w:pStyle w:val="Tablebodytextnospaceafter"/>
            </w:pPr>
            <w:r>
              <w:t>94</w:t>
            </w:r>
          </w:p>
        </w:tc>
        <w:tc>
          <w:tcPr>
            <w:tcW w:w="1522" w:type="dxa"/>
          </w:tcPr>
          <w:p w14:paraId="7CD91DC0" w14:textId="77777777" w:rsidR="00C510E9" w:rsidRDefault="00B649E4" w:rsidP="00506E02">
            <w:pPr>
              <w:pStyle w:val="Tablebodytextnospaceafter"/>
            </w:pPr>
            <w:r>
              <w:t>75</w:t>
            </w:r>
          </w:p>
        </w:tc>
      </w:tr>
      <w:tr w:rsidR="00C510E9" w14:paraId="1694F821" w14:textId="77777777" w:rsidTr="00C510E9">
        <w:trPr>
          <w:cnfStyle w:val="000000100000" w:firstRow="0" w:lastRow="0" w:firstColumn="0" w:lastColumn="0" w:oddVBand="0" w:evenVBand="0" w:oddHBand="1" w:evenHBand="0" w:firstRowFirstColumn="0" w:firstRowLastColumn="0" w:lastRowFirstColumn="0" w:lastRowLastColumn="0"/>
          <w:trHeight w:val="60"/>
        </w:trPr>
        <w:tc>
          <w:tcPr>
            <w:tcW w:w="6217" w:type="dxa"/>
          </w:tcPr>
          <w:p w14:paraId="20C49515" w14:textId="77777777" w:rsidR="00C510E9" w:rsidRPr="00673C50" w:rsidRDefault="00C510E9" w:rsidP="00506E02">
            <w:pPr>
              <w:pStyle w:val="Tablebodytextnospaceafter"/>
            </w:pPr>
            <w:r>
              <w:t>A</w:t>
            </w:r>
            <w:r w:rsidRPr="00673C50">
              <w:t>gency to review</w:t>
            </w:r>
          </w:p>
        </w:tc>
        <w:tc>
          <w:tcPr>
            <w:tcW w:w="1522" w:type="dxa"/>
          </w:tcPr>
          <w:p w14:paraId="309805B8" w14:textId="77777777" w:rsidR="00C510E9" w:rsidRPr="00673C50" w:rsidRDefault="00C510E9" w:rsidP="00506E02">
            <w:pPr>
              <w:pStyle w:val="Tablebodytextnospaceafter"/>
            </w:pPr>
            <w:r>
              <w:t>-</w:t>
            </w:r>
          </w:p>
        </w:tc>
        <w:tc>
          <w:tcPr>
            <w:tcW w:w="1522" w:type="dxa"/>
          </w:tcPr>
          <w:p w14:paraId="53203B6F" w14:textId="77777777" w:rsidR="00C510E9" w:rsidRDefault="00C806BC" w:rsidP="00506E02">
            <w:pPr>
              <w:pStyle w:val="Tablebodytextnospaceafter"/>
            </w:pPr>
            <w:r>
              <w:t>2</w:t>
            </w:r>
          </w:p>
        </w:tc>
      </w:tr>
      <w:tr w:rsidR="00C510E9" w14:paraId="5F7D7C90" w14:textId="77777777" w:rsidTr="00C510E9">
        <w:trPr>
          <w:cnfStyle w:val="000000010000" w:firstRow="0" w:lastRow="0" w:firstColumn="0" w:lastColumn="0" w:oddVBand="0" w:evenVBand="0" w:oddHBand="0" w:evenHBand="1" w:firstRowFirstColumn="0" w:firstRowLastColumn="0" w:lastRowFirstColumn="0" w:lastRowLastColumn="0"/>
          <w:trHeight w:val="60"/>
        </w:trPr>
        <w:tc>
          <w:tcPr>
            <w:tcW w:w="6217" w:type="dxa"/>
          </w:tcPr>
          <w:p w14:paraId="6BFFC58E" w14:textId="77777777" w:rsidR="00C510E9" w:rsidRPr="00673C50" w:rsidRDefault="00C510E9" w:rsidP="00506E02">
            <w:pPr>
              <w:pStyle w:val="Tablebodytextnospaceafter"/>
              <w:rPr>
                <w:rStyle w:val="EmphasisItalics"/>
              </w:rPr>
            </w:pPr>
            <w:r w:rsidRPr="00673C50">
              <w:rPr>
                <w:rStyle w:val="EmphasisItalics"/>
              </w:rPr>
              <w:t>Subtotal</w:t>
            </w:r>
          </w:p>
        </w:tc>
        <w:tc>
          <w:tcPr>
            <w:tcW w:w="1522" w:type="dxa"/>
          </w:tcPr>
          <w:p w14:paraId="4E4AC1EF" w14:textId="77777777" w:rsidR="00C510E9" w:rsidRPr="00673C50" w:rsidRDefault="00C510E9" w:rsidP="00506E02">
            <w:pPr>
              <w:pStyle w:val="Tablebodytextnospaceafter"/>
              <w:jc w:val="right"/>
              <w:rPr>
                <w:rStyle w:val="EmphasisItalics"/>
              </w:rPr>
            </w:pPr>
            <w:r>
              <w:rPr>
                <w:rStyle w:val="EmphasisItalics"/>
              </w:rPr>
              <w:t>155</w:t>
            </w:r>
          </w:p>
        </w:tc>
        <w:tc>
          <w:tcPr>
            <w:tcW w:w="1522" w:type="dxa"/>
          </w:tcPr>
          <w:p w14:paraId="24FED6A7" w14:textId="77777777" w:rsidR="00C510E9" w:rsidRDefault="00C806BC" w:rsidP="00506E02">
            <w:pPr>
              <w:pStyle w:val="Tablebodytextnospaceafter"/>
              <w:jc w:val="right"/>
              <w:rPr>
                <w:rStyle w:val="EmphasisItalics"/>
              </w:rPr>
            </w:pPr>
            <w:r>
              <w:rPr>
                <w:rStyle w:val="EmphasisItalics"/>
              </w:rPr>
              <w:t>134</w:t>
            </w:r>
          </w:p>
        </w:tc>
      </w:tr>
      <w:tr w:rsidR="00C510E9" w14:paraId="274BEAAD" w14:textId="77777777" w:rsidTr="00C510E9">
        <w:trPr>
          <w:cnfStyle w:val="000000100000" w:firstRow="0" w:lastRow="0" w:firstColumn="0" w:lastColumn="0" w:oddVBand="0" w:evenVBand="0" w:oddHBand="1" w:evenHBand="0" w:firstRowFirstColumn="0" w:firstRowLastColumn="0" w:lastRowFirstColumn="0" w:lastRowLastColumn="0"/>
          <w:trHeight w:val="60"/>
        </w:trPr>
        <w:tc>
          <w:tcPr>
            <w:tcW w:w="6217" w:type="dxa"/>
            <w:shd w:val="clear" w:color="auto" w:fill="BFBFBF"/>
          </w:tcPr>
          <w:p w14:paraId="6C208D7B" w14:textId="77777777" w:rsidR="00C510E9" w:rsidRPr="00111CBC" w:rsidRDefault="00C510E9" w:rsidP="00506E02">
            <w:pPr>
              <w:pStyle w:val="Tablebodytextnospaceafter"/>
              <w:rPr>
                <w:rStyle w:val="Emphasis"/>
                <w:bCs w:val="0"/>
                <w:iCs w:val="0"/>
              </w:rPr>
            </w:pPr>
            <w:r w:rsidRPr="00111CBC">
              <w:rPr>
                <w:rStyle w:val="Emphasis"/>
                <w:bCs w:val="0"/>
                <w:iCs w:val="0"/>
              </w:rPr>
              <w:t>Resolved during investigation</w:t>
            </w:r>
          </w:p>
        </w:tc>
        <w:tc>
          <w:tcPr>
            <w:tcW w:w="1522" w:type="dxa"/>
            <w:shd w:val="clear" w:color="auto" w:fill="BFBFBF"/>
          </w:tcPr>
          <w:p w14:paraId="37E09A79" w14:textId="77777777" w:rsidR="00C510E9" w:rsidRPr="00111CBC" w:rsidRDefault="00C510E9" w:rsidP="00506E02">
            <w:pPr>
              <w:pStyle w:val="Tablebodytextnospaceafter"/>
              <w:rPr>
                <w:rStyle w:val="Emphasis"/>
                <w:bCs w:val="0"/>
                <w:iCs w:val="0"/>
              </w:rPr>
            </w:pPr>
          </w:p>
        </w:tc>
        <w:tc>
          <w:tcPr>
            <w:tcW w:w="1522" w:type="dxa"/>
            <w:shd w:val="clear" w:color="auto" w:fill="BFBFBF"/>
          </w:tcPr>
          <w:p w14:paraId="3E92F849" w14:textId="77777777" w:rsidR="00C510E9" w:rsidRPr="00111CBC" w:rsidRDefault="00C510E9" w:rsidP="00506E02">
            <w:pPr>
              <w:pStyle w:val="Tablebodytextnospaceafter"/>
              <w:rPr>
                <w:rStyle w:val="Emphasis"/>
                <w:bCs w:val="0"/>
                <w:iCs w:val="0"/>
              </w:rPr>
            </w:pPr>
          </w:p>
        </w:tc>
      </w:tr>
      <w:tr w:rsidR="00C510E9" w14:paraId="369881C4" w14:textId="77777777" w:rsidTr="00C510E9">
        <w:trPr>
          <w:cnfStyle w:val="000000010000" w:firstRow="0" w:lastRow="0" w:firstColumn="0" w:lastColumn="0" w:oddVBand="0" w:evenVBand="0" w:oddHBand="0" w:evenHBand="1" w:firstRowFirstColumn="0" w:firstRowLastColumn="0" w:lastRowFirstColumn="0" w:lastRowLastColumn="0"/>
          <w:trHeight w:val="60"/>
        </w:trPr>
        <w:tc>
          <w:tcPr>
            <w:tcW w:w="6217" w:type="dxa"/>
          </w:tcPr>
          <w:p w14:paraId="2676C6BE" w14:textId="77777777" w:rsidR="00C510E9" w:rsidRPr="00BE4BB3" w:rsidRDefault="00C510E9" w:rsidP="00506E02">
            <w:pPr>
              <w:pStyle w:val="Tablebodytextnospaceafter"/>
            </w:pPr>
            <w:r>
              <w:t>R</w:t>
            </w:r>
            <w:r w:rsidRPr="00BE4BB3">
              <w:t>emedial action to benefit complainant</w:t>
            </w:r>
          </w:p>
        </w:tc>
        <w:tc>
          <w:tcPr>
            <w:tcW w:w="1522" w:type="dxa"/>
          </w:tcPr>
          <w:p w14:paraId="35B31CF9" w14:textId="77777777" w:rsidR="00C510E9" w:rsidRDefault="00C510E9" w:rsidP="00506E02">
            <w:pPr>
              <w:pStyle w:val="Tablebodytextnospaceafter"/>
            </w:pPr>
            <w:r>
              <w:t>175</w:t>
            </w:r>
          </w:p>
        </w:tc>
        <w:tc>
          <w:tcPr>
            <w:tcW w:w="1522" w:type="dxa"/>
          </w:tcPr>
          <w:p w14:paraId="336B4DE8" w14:textId="77777777" w:rsidR="00C510E9" w:rsidRDefault="00C806BC" w:rsidP="00506E02">
            <w:pPr>
              <w:pStyle w:val="Tablebodytextnospaceafter"/>
            </w:pPr>
            <w:r>
              <w:t>173</w:t>
            </w:r>
          </w:p>
        </w:tc>
      </w:tr>
      <w:tr w:rsidR="00C510E9" w14:paraId="120563EC" w14:textId="77777777" w:rsidTr="00C510E9">
        <w:trPr>
          <w:cnfStyle w:val="000000100000" w:firstRow="0" w:lastRow="0" w:firstColumn="0" w:lastColumn="0" w:oddVBand="0" w:evenVBand="0" w:oddHBand="1" w:evenHBand="0" w:firstRowFirstColumn="0" w:firstRowLastColumn="0" w:lastRowFirstColumn="0" w:lastRowLastColumn="0"/>
          <w:trHeight w:val="60"/>
        </w:trPr>
        <w:tc>
          <w:tcPr>
            <w:tcW w:w="6217" w:type="dxa"/>
          </w:tcPr>
          <w:p w14:paraId="13B716CB" w14:textId="77777777" w:rsidR="00C510E9" w:rsidRPr="00BE4BB3" w:rsidRDefault="00C510E9" w:rsidP="00506E02">
            <w:pPr>
              <w:pStyle w:val="Tablebodytextnospaceafter"/>
            </w:pPr>
            <w:r>
              <w:t>R</w:t>
            </w:r>
            <w:r w:rsidRPr="00BE4BB3">
              <w:t>emedial action to improve state sector administration</w:t>
            </w:r>
          </w:p>
        </w:tc>
        <w:tc>
          <w:tcPr>
            <w:tcW w:w="1522" w:type="dxa"/>
          </w:tcPr>
          <w:p w14:paraId="71F2345F" w14:textId="77777777" w:rsidR="00C510E9" w:rsidRDefault="00C510E9" w:rsidP="00506E02">
            <w:pPr>
              <w:pStyle w:val="Tablebodytextnospaceafter"/>
            </w:pPr>
            <w:r>
              <w:t>-</w:t>
            </w:r>
          </w:p>
        </w:tc>
        <w:tc>
          <w:tcPr>
            <w:tcW w:w="1522" w:type="dxa"/>
          </w:tcPr>
          <w:p w14:paraId="73D01D6A" w14:textId="77777777" w:rsidR="00C510E9" w:rsidRDefault="00C806BC" w:rsidP="00506E02">
            <w:pPr>
              <w:pStyle w:val="Tablebodytextnospaceafter"/>
            </w:pPr>
            <w:r>
              <w:t>1</w:t>
            </w:r>
          </w:p>
        </w:tc>
      </w:tr>
      <w:tr w:rsidR="00C510E9" w14:paraId="38D209DA" w14:textId="77777777" w:rsidTr="00C510E9">
        <w:trPr>
          <w:cnfStyle w:val="000000010000" w:firstRow="0" w:lastRow="0" w:firstColumn="0" w:lastColumn="0" w:oddVBand="0" w:evenVBand="0" w:oddHBand="0" w:evenHBand="1" w:firstRowFirstColumn="0" w:firstRowLastColumn="0" w:lastRowFirstColumn="0" w:lastRowLastColumn="0"/>
          <w:trHeight w:val="60"/>
        </w:trPr>
        <w:tc>
          <w:tcPr>
            <w:tcW w:w="6217" w:type="dxa"/>
          </w:tcPr>
          <w:p w14:paraId="73D70450" w14:textId="77777777" w:rsidR="00C510E9" w:rsidRPr="00BE4BB3" w:rsidRDefault="00C510E9" w:rsidP="00506E02">
            <w:pPr>
              <w:pStyle w:val="Tablebodytextnospaceafter"/>
            </w:pPr>
            <w:r>
              <w:t>P</w:t>
            </w:r>
            <w:r w:rsidRPr="00BE4BB3">
              <w:t xml:space="preserve">rovision of advice/explanation by agency or Ombudsman </w:t>
            </w:r>
            <w:r>
              <w:t xml:space="preserve">that </w:t>
            </w:r>
            <w:r w:rsidRPr="00BE4BB3">
              <w:t>satisfies complainant</w:t>
            </w:r>
          </w:p>
        </w:tc>
        <w:tc>
          <w:tcPr>
            <w:tcW w:w="1522" w:type="dxa"/>
          </w:tcPr>
          <w:p w14:paraId="1ACD5804" w14:textId="77777777" w:rsidR="00C510E9" w:rsidRDefault="00C510E9" w:rsidP="00506E02">
            <w:pPr>
              <w:pStyle w:val="Tablebodytextnospaceafter"/>
            </w:pPr>
            <w:r>
              <w:t>28</w:t>
            </w:r>
          </w:p>
        </w:tc>
        <w:tc>
          <w:tcPr>
            <w:tcW w:w="1522" w:type="dxa"/>
          </w:tcPr>
          <w:p w14:paraId="52B65B1B" w14:textId="77777777" w:rsidR="00C510E9" w:rsidRDefault="00C806BC" w:rsidP="00506E02">
            <w:pPr>
              <w:pStyle w:val="Tablebodytextnospaceafter"/>
            </w:pPr>
            <w:r>
              <w:t>17</w:t>
            </w:r>
          </w:p>
        </w:tc>
      </w:tr>
      <w:tr w:rsidR="00C510E9" w14:paraId="48B9E9A6" w14:textId="77777777" w:rsidTr="00C510E9">
        <w:trPr>
          <w:cnfStyle w:val="000000100000" w:firstRow="0" w:lastRow="0" w:firstColumn="0" w:lastColumn="0" w:oddVBand="0" w:evenVBand="0" w:oddHBand="1" w:evenHBand="0" w:firstRowFirstColumn="0" w:firstRowLastColumn="0" w:lastRowFirstColumn="0" w:lastRowLastColumn="0"/>
          <w:trHeight w:val="60"/>
        </w:trPr>
        <w:tc>
          <w:tcPr>
            <w:tcW w:w="6217" w:type="dxa"/>
          </w:tcPr>
          <w:p w14:paraId="6CD0D160" w14:textId="77777777" w:rsidR="00C510E9" w:rsidRPr="00673C50" w:rsidRDefault="00C510E9" w:rsidP="00506E02">
            <w:pPr>
              <w:pStyle w:val="Tablebodytextnospaceafter"/>
              <w:rPr>
                <w:rStyle w:val="EmphasisItalics"/>
              </w:rPr>
            </w:pPr>
            <w:r w:rsidRPr="00673C50">
              <w:rPr>
                <w:rStyle w:val="EmphasisItalics"/>
              </w:rPr>
              <w:t>Subtotal</w:t>
            </w:r>
          </w:p>
        </w:tc>
        <w:tc>
          <w:tcPr>
            <w:tcW w:w="1522" w:type="dxa"/>
          </w:tcPr>
          <w:p w14:paraId="21FD4045" w14:textId="77777777" w:rsidR="00C510E9" w:rsidRPr="00673C50" w:rsidRDefault="00C510E9" w:rsidP="00506E02">
            <w:pPr>
              <w:pStyle w:val="Tablebodytextnospaceafter"/>
              <w:jc w:val="right"/>
              <w:rPr>
                <w:rStyle w:val="EmphasisItalics"/>
              </w:rPr>
            </w:pPr>
            <w:r>
              <w:rPr>
                <w:rStyle w:val="EmphasisItalics"/>
              </w:rPr>
              <w:t>203</w:t>
            </w:r>
          </w:p>
        </w:tc>
        <w:tc>
          <w:tcPr>
            <w:tcW w:w="1522" w:type="dxa"/>
          </w:tcPr>
          <w:p w14:paraId="0B975C3B" w14:textId="77777777" w:rsidR="00C510E9" w:rsidRDefault="00C806BC" w:rsidP="00506E02">
            <w:pPr>
              <w:pStyle w:val="Tablebodytextnospaceafter"/>
              <w:jc w:val="right"/>
              <w:rPr>
                <w:rStyle w:val="EmphasisItalics"/>
              </w:rPr>
            </w:pPr>
            <w:r>
              <w:rPr>
                <w:rStyle w:val="EmphasisItalics"/>
              </w:rPr>
              <w:t>191</w:t>
            </w:r>
          </w:p>
        </w:tc>
      </w:tr>
      <w:tr w:rsidR="00C510E9" w14:paraId="66E9B99B" w14:textId="77777777" w:rsidTr="00C510E9">
        <w:trPr>
          <w:cnfStyle w:val="000000010000" w:firstRow="0" w:lastRow="0" w:firstColumn="0" w:lastColumn="0" w:oddVBand="0" w:evenVBand="0" w:oddHBand="0" w:evenHBand="1" w:firstRowFirstColumn="0" w:firstRowLastColumn="0" w:lastRowFirstColumn="0" w:lastRowLastColumn="0"/>
          <w:trHeight w:val="60"/>
        </w:trPr>
        <w:tc>
          <w:tcPr>
            <w:tcW w:w="6217" w:type="dxa"/>
            <w:shd w:val="clear" w:color="auto" w:fill="BFBFBF"/>
          </w:tcPr>
          <w:p w14:paraId="1F455136" w14:textId="77777777" w:rsidR="00C510E9" w:rsidRPr="00111CBC" w:rsidRDefault="00C510E9" w:rsidP="00506E02">
            <w:pPr>
              <w:pStyle w:val="Tablebodytextnospaceafter"/>
              <w:rPr>
                <w:rStyle w:val="Emphasis"/>
                <w:bCs w:val="0"/>
                <w:iCs w:val="0"/>
              </w:rPr>
            </w:pPr>
            <w:r w:rsidRPr="00111CBC">
              <w:rPr>
                <w:rStyle w:val="Emphasis"/>
                <w:bCs w:val="0"/>
                <w:iCs w:val="0"/>
              </w:rPr>
              <w:t>Investigation finalised (final opinion formed)</w:t>
            </w:r>
          </w:p>
        </w:tc>
        <w:tc>
          <w:tcPr>
            <w:tcW w:w="1522" w:type="dxa"/>
            <w:shd w:val="clear" w:color="auto" w:fill="BFBFBF"/>
          </w:tcPr>
          <w:p w14:paraId="4149382B" w14:textId="77777777" w:rsidR="00C510E9" w:rsidRPr="00111CBC" w:rsidRDefault="00C510E9" w:rsidP="00506E02">
            <w:pPr>
              <w:pStyle w:val="Tablebodytextnospaceafter"/>
              <w:rPr>
                <w:rStyle w:val="Emphasis"/>
                <w:bCs w:val="0"/>
                <w:iCs w:val="0"/>
              </w:rPr>
            </w:pPr>
          </w:p>
        </w:tc>
        <w:tc>
          <w:tcPr>
            <w:tcW w:w="1522" w:type="dxa"/>
            <w:shd w:val="clear" w:color="auto" w:fill="BFBFBF"/>
          </w:tcPr>
          <w:p w14:paraId="30FCA243" w14:textId="77777777" w:rsidR="00C510E9" w:rsidRPr="00111CBC" w:rsidRDefault="00C510E9" w:rsidP="00506E02">
            <w:pPr>
              <w:pStyle w:val="Tablebodytextnospaceafter"/>
              <w:rPr>
                <w:rStyle w:val="Emphasis"/>
                <w:bCs w:val="0"/>
                <w:iCs w:val="0"/>
              </w:rPr>
            </w:pPr>
          </w:p>
        </w:tc>
      </w:tr>
      <w:tr w:rsidR="00C510E9" w14:paraId="4919C2BE" w14:textId="77777777" w:rsidTr="00C510E9">
        <w:trPr>
          <w:cnfStyle w:val="000000100000" w:firstRow="0" w:lastRow="0" w:firstColumn="0" w:lastColumn="0" w:oddVBand="0" w:evenVBand="0" w:oddHBand="1" w:evenHBand="0" w:firstRowFirstColumn="0" w:firstRowLastColumn="0" w:lastRowFirstColumn="0" w:lastRowLastColumn="0"/>
          <w:trHeight w:val="60"/>
        </w:trPr>
        <w:tc>
          <w:tcPr>
            <w:tcW w:w="6217" w:type="dxa"/>
          </w:tcPr>
          <w:p w14:paraId="2F826446" w14:textId="77777777" w:rsidR="00C510E9" w:rsidRPr="00BE4BB3" w:rsidRDefault="00C510E9" w:rsidP="00506E02">
            <w:pPr>
              <w:pStyle w:val="Tablebodytextnospaceafter"/>
            </w:pPr>
            <w:r>
              <w:t>A</w:t>
            </w:r>
            <w:r w:rsidRPr="00BE4BB3">
              <w:t>dministrative deficiency identified – recommendation/s</w:t>
            </w:r>
          </w:p>
        </w:tc>
        <w:tc>
          <w:tcPr>
            <w:tcW w:w="1522" w:type="dxa"/>
          </w:tcPr>
          <w:p w14:paraId="384D99A9" w14:textId="77777777" w:rsidR="00C510E9" w:rsidRDefault="00C510E9" w:rsidP="00506E02">
            <w:pPr>
              <w:pStyle w:val="Tablebodytextnospaceafter"/>
            </w:pPr>
            <w:r>
              <w:t>44</w:t>
            </w:r>
          </w:p>
        </w:tc>
        <w:tc>
          <w:tcPr>
            <w:tcW w:w="1522" w:type="dxa"/>
          </w:tcPr>
          <w:p w14:paraId="140CC622" w14:textId="77777777" w:rsidR="00C510E9" w:rsidRDefault="00C806BC" w:rsidP="00506E02">
            <w:pPr>
              <w:pStyle w:val="Tablebodytextnospaceafter"/>
            </w:pPr>
            <w:r>
              <w:t>49</w:t>
            </w:r>
          </w:p>
        </w:tc>
      </w:tr>
      <w:tr w:rsidR="00C510E9" w14:paraId="415D6DB0" w14:textId="77777777" w:rsidTr="00C510E9">
        <w:trPr>
          <w:cnfStyle w:val="000000010000" w:firstRow="0" w:lastRow="0" w:firstColumn="0" w:lastColumn="0" w:oddVBand="0" w:evenVBand="0" w:oddHBand="0" w:evenHBand="1" w:firstRowFirstColumn="0" w:firstRowLastColumn="0" w:lastRowFirstColumn="0" w:lastRowLastColumn="0"/>
          <w:trHeight w:val="60"/>
        </w:trPr>
        <w:tc>
          <w:tcPr>
            <w:tcW w:w="6217" w:type="dxa"/>
          </w:tcPr>
          <w:p w14:paraId="7C50DC4B" w14:textId="77777777" w:rsidR="00C510E9" w:rsidRPr="00BE4BB3" w:rsidRDefault="00C510E9" w:rsidP="00506E02">
            <w:pPr>
              <w:pStyle w:val="Tablebodytextnospaceafter"/>
            </w:pPr>
            <w:r>
              <w:t>A</w:t>
            </w:r>
            <w:r w:rsidRPr="00BE4BB3">
              <w:t>dministrative deficiency identified – no recommendation</w:t>
            </w:r>
          </w:p>
        </w:tc>
        <w:tc>
          <w:tcPr>
            <w:tcW w:w="1522" w:type="dxa"/>
          </w:tcPr>
          <w:p w14:paraId="45203151" w14:textId="77777777" w:rsidR="00C510E9" w:rsidRDefault="00C510E9" w:rsidP="00506E02">
            <w:pPr>
              <w:pStyle w:val="Tablebodytextnospaceafter"/>
            </w:pPr>
            <w:r>
              <w:t>41</w:t>
            </w:r>
          </w:p>
        </w:tc>
        <w:tc>
          <w:tcPr>
            <w:tcW w:w="1522" w:type="dxa"/>
          </w:tcPr>
          <w:p w14:paraId="7F10C4DE" w14:textId="77777777" w:rsidR="00C510E9" w:rsidRDefault="00C806BC" w:rsidP="00506E02">
            <w:pPr>
              <w:pStyle w:val="Tablebodytextnospaceafter"/>
            </w:pPr>
            <w:r>
              <w:t>52</w:t>
            </w:r>
          </w:p>
        </w:tc>
      </w:tr>
      <w:tr w:rsidR="00C510E9" w14:paraId="3C7EF51A" w14:textId="77777777" w:rsidTr="00C510E9">
        <w:trPr>
          <w:cnfStyle w:val="000000100000" w:firstRow="0" w:lastRow="0" w:firstColumn="0" w:lastColumn="0" w:oddVBand="0" w:evenVBand="0" w:oddHBand="1" w:evenHBand="0" w:firstRowFirstColumn="0" w:firstRowLastColumn="0" w:lastRowFirstColumn="0" w:lastRowLastColumn="0"/>
          <w:trHeight w:val="60"/>
        </w:trPr>
        <w:tc>
          <w:tcPr>
            <w:tcW w:w="6217" w:type="dxa"/>
          </w:tcPr>
          <w:p w14:paraId="3845C84A" w14:textId="77777777" w:rsidR="00C510E9" w:rsidRPr="00BE4BB3" w:rsidRDefault="00C510E9" w:rsidP="00506E02">
            <w:pPr>
              <w:pStyle w:val="Tablebodytextnospaceafter"/>
            </w:pPr>
            <w:r>
              <w:t>N</w:t>
            </w:r>
            <w:r w:rsidRPr="00BE4BB3">
              <w:t>o administrative deficiency identified</w:t>
            </w:r>
          </w:p>
        </w:tc>
        <w:tc>
          <w:tcPr>
            <w:tcW w:w="1522" w:type="dxa"/>
          </w:tcPr>
          <w:p w14:paraId="68218011" w14:textId="77777777" w:rsidR="00C510E9" w:rsidRDefault="00C510E9" w:rsidP="00506E02">
            <w:pPr>
              <w:pStyle w:val="Tablebodytextnospaceafter"/>
            </w:pPr>
            <w:r>
              <w:t>223</w:t>
            </w:r>
          </w:p>
        </w:tc>
        <w:tc>
          <w:tcPr>
            <w:tcW w:w="1522" w:type="dxa"/>
          </w:tcPr>
          <w:p w14:paraId="683B0D6D" w14:textId="77777777" w:rsidR="00C510E9" w:rsidRDefault="00C806BC" w:rsidP="00506E02">
            <w:pPr>
              <w:pStyle w:val="Tablebodytextnospaceafter"/>
            </w:pPr>
            <w:r>
              <w:t>241</w:t>
            </w:r>
          </w:p>
        </w:tc>
      </w:tr>
      <w:tr w:rsidR="00C510E9" w14:paraId="39A90F50" w14:textId="77777777" w:rsidTr="00C510E9">
        <w:trPr>
          <w:cnfStyle w:val="000000010000" w:firstRow="0" w:lastRow="0" w:firstColumn="0" w:lastColumn="0" w:oddVBand="0" w:evenVBand="0" w:oddHBand="0" w:evenHBand="1" w:firstRowFirstColumn="0" w:firstRowLastColumn="0" w:lastRowFirstColumn="0" w:lastRowLastColumn="0"/>
          <w:trHeight w:val="60"/>
        </w:trPr>
        <w:tc>
          <w:tcPr>
            <w:tcW w:w="6217" w:type="dxa"/>
          </w:tcPr>
          <w:p w14:paraId="6D8DAC80" w14:textId="77777777" w:rsidR="00C510E9" w:rsidRPr="00673C50" w:rsidRDefault="00C510E9" w:rsidP="00506E02">
            <w:pPr>
              <w:pStyle w:val="Tablebodytextnospaceafter"/>
              <w:rPr>
                <w:rStyle w:val="EmphasisItalics"/>
              </w:rPr>
            </w:pPr>
            <w:r w:rsidRPr="00673C50">
              <w:rPr>
                <w:rStyle w:val="EmphasisItalics"/>
              </w:rPr>
              <w:t>Subtotal</w:t>
            </w:r>
          </w:p>
        </w:tc>
        <w:tc>
          <w:tcPr>
            <w:tcW w:w="1522" w:type="dxa"/>
          </w:tcPr>
          <w:p w14:paraId="6F1FA455" w14:textId="77777777" w:rsidR="00C510E9" w:rsidRPr="00673C50" w:rsidRDefault="00C510E9" w:rsidP="00506E02">
            <w:pPr>
              <w:pStyle w:val="Tablebodytextnospaceafter"/>
              <w:jc w:val="right"/>
              <w:rPr>
                <w:rStyle w:val="EmphasisItalics"/>
              </w:rPr>
            </w:pPr>
            <w:r>
              <w:rPr>
                <w:rStyle w:val="EmphasisItalics"/>
              </w:rPr>
              <w:t>308</w:t>
            </w:r>
          </w:p>
        </w:tc>
        <w:tc>
          <w:tcPr>
            <w:tcW w:w="1522" w:type="dxa"/>
          </w:tcPr>
          <w:p w14:paraId="2BF03835" w14:textId="77777777" w:rsidR="00C510E9" w:rsidRDefault="00C806BC" w:rsidP="00506E02">
            <w:pPr>
              <w:pStyle w:val="Tablebodytextnospaceafter"/>
              <w:jc w:val="right"/>
              <w:rPr>
                <w:rStyle w:val="EmphasisItalics"/>
              </w:rPr>
            </w:pPr>
            <w:r>
              <w:rPr>
                <w:rStyle w:val="EmphasisItalics"/>
              </w:rPr>
              <w:t>342</w:t>
            </w:r>
          </w:p>
        </w:tc>
      </w:tr>
      <w:tr w:rsidR="00C510E9" w14:paraId="19AA83E1" w14:textId="77777777" w:rsidTr="00C510E9">
        <w:trPr>
          <w:cnfStyle w:val="000000100000" w:firstRow="0" w:lastRow="0" w:firstColumn="0" w:lastColumn="0" w:oddVBand="0" w:evenVBand="0" w:oddHBand="1" w:evenHBand="0" w:firstRowFirstColumn="0" w:firstRowLastColumn="0" w:lastRowFirstColumn="0" w:lastRowLastColumn="0"/>
          <w:trHeight w:val="60"/>
        </w:trPr>
        <w:tc>
          <w:tcPr>
            <w:tcW w:w="6217" w:type="dxa"/>
          </w:tcPr>
          <w:p w14:paraId="25BD4389" w14:textId="77777777" w:rsidR="00C510E9" w:rsidRPr="00673C50" w:rsidRDefault="00C510E9" w:rsidP="00506E02">
            <w:pPr>
              <w:pStyle w:val="Tablebodytextnospaceafter"/>
              <w:rPr>
                <w:rStyle w:val="EmphasisItalics"/>
              </w:rPr>
            </w:pPr>
            <w:r w:rsidRPr="00B60F9F">
              <w:rPr>
                <w:rStyle w:val="EmphasisItalics"/>
              </w:rPr>
              <w:t>Administration – adjustment</w:t>
            </w:r>
          </w:p>
        </w:tc>
        <w:tc>
          <w:tcPr>
            <w:tcW w:w="1522" w:type="dxa"/>
          </w:tcPr>
          <w:p w14:paraId="68D49F95" w14:textId="77777777" w:rsidR="00C510E9" w:rsidRDefault="00C510E9" w:rsidP="00506E02">
            <w:pPr>
              <w:pStyle w:val="Tablebodytextnospaceafter"/>
              <w:jc w:val="right"/>
              <w:rPr>
                <w:rStyle w:val="EmphasisItalics"/>
              </w:rPr>
            </w:pPr>
            <w:r>
              <w:rPr>
                <w:rStyle w:val="EmphasisItalics"/>
              </w:rPr>
              <w:t>1</w:t>
            </w:r>
          </w:p>
        </w:tc>
        <w:tc>
          <w:tcPr>
            <w:tcW w:w="1522" w:type="dxa"/>
          </w:tcPr>
          <w:p w14:paraId="3FFAF58A" w14:textId="77777777" w:rsidR="00C510E9" w:rsidRDefault="00C806BC" w:rsidP="00506E02">
            <w:pPr>
              <w:pStyle w:val="Tablebodytextnospaceafter"/>
              <w:jc w:val="right"/>
              <w:rPr>
                <w:rStyle w:val="EmphasisItalics"/>
              </w:rPr>
            </w:pPr>
            <w:r>
              <w:rPr>
                <w:rStyle w:val="EmphasisItalics"/>
              </w:rPr>
              <w:t>-</w:t>
            </w:r>
          </w:p>
        </w:tc>
      </w:tr>
      <w:tr w:rsidR="00C510E9" w14:paraId="62911BE4" w14:textId="77777777" w:rsidTr="00C510E9">
        <w:trPr>
          <w:cnfStyle w:val="000000010000" w:firstRow="0" w:lastRow="0" w:firstColumn="0" w:lastColumn="0" w:oddVBand="0" w:evenVBand="0" w:oddHBand="0" w:evenHBand="1" w:firstRowFirstColumn="0" w:firstRowLastColumn="0" w:lastRowFirstColumn="0" w:lastRowLastColumn="0"/>
          <w:trHeight w:val="60"/>
        </w:trPr>
        <w:tc>
          <w:tcPr>
            <w:tcW w:w="6217" w:type="dxa"/>
          </w:tcPr>
          <w:p w14:paraId="3D9212EC" w14:textId="77777777" w:rsidR="00C510E9" w:rsidRPr="00B60F9F" w:rsidRDefault="00C510E9" w:rsidP="00506E02">
            <w:pPr>
              <w:pStyle w:val="Tablebodytextnospaceafter"/>
              <w:rPr>
                <w:rStyle w:val="EmphasisItalics"/>
              </w:rPr>
            </w:pPr>
            <w:r w:rsidRPr="00B60F9F">
              <w:rPr>
                <w:rStyle w:val="EmphasisItalics"/>
              </w:rPr>
              <w:t>Under consideration at 30 June</w:t>
            </w:r>
          </w:p>
        </w:tc>
        <w:tc>
          <w:tcPr>
            <w:tcW w:w="1522" w:type="dxa"/>
          </w:tcPr>
          <w:p w14:paraId="27ECCCD0" w14:textId="77777777" w:rsidR="00C510E9" w:rsidRPr="00B60F9F" w:rsidRDefault="00C510E9" w:rsidP="00506E02">
            <w:pPr>
              <w:pStyle w:val="Tablebodytextnospaceafter"/>
              <w:jc w:val="right"/>
              <w:rPr>
                <w:rStyle w:val="EmphasisItalics"/>
              </w:rPr>
            </w:pPr>
            <w:r>
              <w:rPr>
                <w:rStyle w:val="EmphasisItalics"/>
              </w:rPr>
              <w:t>469</w:t>
            </w:r>
          </w:p>
        </w:tc>
        <w:tc>
          <w:tcPr>
            <w:tcW w:w="1522" w:type="dxa"/>
          </w:tcPr>
          <w:p w14:paraId="427A22AD" w14:textId="77777777" w:rsidR="00C510E9" w:rsidRDefault="00C806BC" w:rsidP="00506E02">
            <w:pPr>
              <w:pStyle w:val="Tablebodytextnospaceafter"/>
              <w:jc w:val="right"/>
              <w:rPr>
                <w:rStyle w:val="EmphasisItalics"/>
              </w:rPr>
            </w:pPr>
            <w:r>
              <w:rPr>
                <w:rStyle w:val="EmphasisItalics"/>
              </w:rPr>
              <w:t>428</w:t>
            </w:r>
          </w:p>
        </w:tc>
      </w:tr>
      <w:tr w:rsidR="00C510E9" w14:paraId="42C3D6A4" w14:textId="77777777" w:rsidTr="00C510E9">
        <w:trPr>
          <w:cnfStyle w:val="000000100000" w:firstRow="0" w:lastRow="0" w:firstColumn="0" w:lastColumn="0" w:oddVBand="0" w:evenVBand="0" w:oddHBand="1" w:evenHBand="0" w:firstRowFirstColumn="0" w:firstRowLastColumn="0" w:lastRowFirstColumn="0" w:lastRowLastColumn="0"/>
          <w:trHeight w:val="60"/>
        </w:trPr>
        <w:tc>
          <w:tcPr>
            <w:tcW w:w="6217" w:type="dxa"/>
            <w:shd w:val="clear" w:color="auto" w:fill="BFBFBF"/>
          </w:tcPr>
          <w:p w14:paraId="73E7D9E2" w14:textId="77777777" w:rsidR="00C510E9" w:rsidRPr="00B60F9F" w:rsidRDefault="00C510E9" w:rsidP="00506E02">
            <w:pPr>
              <w:pStyle w:val="Tablebodytextnospaceafter"/>
              <w:rPr>
                <w:rStyle w:val="Emphasis"/>
              </w:rPr>
            </w:pPr>
            <w:r w:rsidRPr="00B60F9F">
              <w:rPr>
                <w:rStyle w:val="Emphasis"/>
              </w:rPr>
              <w:t>Total</w:t>
            </w:r>
          </w:p>
        </w:tc>
        <w:tc>
          <w:tcPr>
            <w:tcW w:w="1522" w:type="dxa"/>
            <w:shd w:val="clear" w:color="auto" w:fill="BFBFBF"/>
          </w:tcPr>
          <w:p w14:paraId="209EAE10" w14:textId="77777777" w:rsidR="00C510E9" w:rsidRPr="00B60F9F" w:rsidRDefault="00C510E9" w:rsidP="00506E02">
            <w:pPr>
              <w:pStyle w:val="Tablebodytextnospaceafter"/>
              <w:jc w:val="right"/>
              <w:rPr>
                <w:rStyle w:val="Emphasis"/>
              </w:rPr>
            </w:pPr>
            <w:r>
              <w:rPr>
                <w:rStyle w:val="Emphasis"/>
              </w:rPr>
              <w:t>2,328</w:t>
            </w:r>
          </w:p>
        </w:tc>
        <w:tc>
          <w:tcPr>
            <w:tcW w:w="1522" w:type="dxa"/>
            <w:shd w:val="clear" w:color="auto" w:fill="BFBFBF"/>
          </w:tcPr>
          <w:p w14:paraId="02885224" w14:textId="77777777" w:rsidR="00C510E9" w:rsidRDefault="000222B5" w:rsidP="00506E02">
            <w:pPr>
              <w:pStyle w:val="Tablebodytextnospaceafter"/>
              <w:jc w:val="right"/>
              <w:rPr>
                <w:rStyle w:val="Emphasis"/>
              </w:rPr>
            </w:pPr>
            <w:r>
              <w:rPr>
                <w:rStyle w:val="Emphasis"/>
              </w:rPr>
              <w:t>1,799</w:t>
            </w:r>
          </w:p>
        </w:tc>
      </w:tr>
    </w:tbl>
    <w:p w14:paraId="6E0E27D2" w14:textId="44194E8F" w:rsidR="00DF1795" w:rsidRDefault="005B795D" w:rsidP="00DF1795">
      <w:pPr>
        <w:rPr>
          <w:rStyle w:val="Hyperlink"/>
        </w:rPr>
      </w:pPr>
      <w:hyperlink w:anchor="Contents" w:history="1">
        <w:r w:rsidR="00DF1795" w:rsidRPr="00F5248A">
          <w:rPr>
            <w:rStyle w:val="Hyperlink"/>
          </w:rPr>
          <w:t>Back to contents</w:t>
        </w:r>
      </w:hyperlink>
    </w:p>
    <w:p w14:paraId="301A96C1" w14:textId="77777777" w:rsidR="00F15F11" w:rsidRDefault="00F15F11" w:rsidP="00DF1795"/>
    <w:tbl>
      <w:tblPr>
        <w:tblStyle w:val="TableGridAnnualReport"/>
        <w:tblW w:w="9219" w:type="dxa"/>
        <w:tblInd w:w="20" w:type="dxa"/>
        <w:tblLayout w:type="fixed"/>
        <w:tblLook w:val="0420" w:firstRow="1" w:lastRow="0" w:firstColumn="0" w:lastColumn="0" w:noHBand="0" w:noVBand="1"/>
        <w:tblCaption w:val="Nature of deficiency identified where final opinion formed on OIA complaints – Administrative deficiency in an individual case"/>
      </w:tblPr>
      <w:tblGrid>
        <w:gridCol w:w="6207"/>
        <w:gridCol w:w="1560"/>
        <w:gridCol w:w="1452"/>
      </w:tblGrid>
      <w:tr w:rsidR="0041397D" w14:paraId="3918C61D" w14:textId="77777777" w:rsidTr="00222C74">
        <w:trPr>
          <w:cnfStyle w:val="100000000000" w:firstRow="1" w:lastRow="0" w:firstColumn="0" w:lastColumn="0" w:oddVBand="0" w:evenVBand="0" w:oddHBand="0" w:evenHBand="0" w:firstRowFirstColumn="0" w:firstRowLastColumn="0" w:lastRowFirstColumn="0" w:lastRowLastColumn="0"/>
          <w:trHeight w:val="60"/>
        </w:trPr>
        <w:tc>
          <w:tcPr>
            <w:tcW w:w="6207" w:type="dxa"/>
          </w:tcPr>
          <w:p w14:paraId="07164082" w14:textId="77777777" w:rsidR="0041397D" w:rsidRPr="007C71F9" w:rsidRDefault="001C7062" w:rsidP="00F15F11">
            <w:pPr>
              <w:pStyle w:val="Tableheadingrow1"/>
            </w:pPr>
            <w:r>
              <w:t>1</w:t>
            </w:r>
            <w:r w:rsidR="00F15F11">
              <w:t>7</w:t>
            </w:r>
            <w:r>
              <w:t xml:space="preserve">. </w:t>
            </w:r>
            <w:r w:rsidR="0041397D" w:rsidRPr="007C71F9">
              <w:t>Nature of deficiency identified where final opinion formed on O</w:t>
            </w:r>
            <w:r w:rsidR="0041397D">
              <w:t>I</w:t>
            </w:r>
            <w:r w:rsidR="0041397D" w:rsidRPr="007C71F9">
              <w:t>A complaints</w:t>
            </w:r>
            <w:r w:rsidR="0041397D">
              <w:t xml:space="preserve"> </w:t>
            </w:r>
          </w:p>
        </w:tc>
        <w:tc>
          <w:tcPr>
            <w:tcW w:w="1560" w:type="dxa"/>
          </w:tcPr>
          <w:p w14:paraId="7BB57F42" w14:textId="77777777" w:rsidR="0041397D" w:rsidRDefault="0041397D" w:rsidP="00506E02">
            <w:pPr>
              <w:pStyle w:val="Tableheadingrow1"/>
              <w:jc w:val="right"/>
            </w:pPr>
            <w:r>
              <w:t>2018/19</w:t>
            </w:r>
          </w:p>
        </w:tc>
        <w:tc>
          <w:tcPr>
            <w:tcW w:w="1452" w:type="dxa"/>
          </w:tcPr>
          <w:p w14:paraId="7CE0047A" w14:textId="77777777" w:rsidR="0041397D" w:rsidRDefault="000222B5" w:rsidP="00506E02">
            <w:pPr>
              <w:pStyle w:val="Tableheadingrow1"/>
              <w:jc w:val="right"/>
            </w:pPr>
            <w:r>
              <w:t>2019/20</w:t>
            </w:r>
          </w:p>
        </w:tc>
      </w:tr>
      <w:tr w:rsidR="007C7EAC" w:rsidRPr="00F15F11" w14:paraId="56A151F6"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tcW w:w="6207" w:type="dxa"/>
            <w:shd w:val="clear" w:color="auto" w:fill="BFBFBF"/>
          </w:tcPr>
          <w:p w14:paraId="222542BB" w14:textId="77777777" w:rsidR="007C7EAC" w:rsidRPr="00F15F11" w:rsidRDefault="007C7EAC" w:rsidP="00F15F11">
            <w:pPr>
              <w:pStyle w:val="Tablebodytextnospaceafter"/>
              <w:rPr>
                <w:rStyle w:val="Emphasis"/>
              </w:rPr>
            </w:pPr>
            <w:r w:rsidRPr="00F15F11">
              <w:rPr>
                <w:rStyle w:val="Emphasis"/>
                <w:bCs w:val="0"/>
                <w:iCs w:val="0"/>
              </w:rPr>
              <w:t>Administrative deficiency in an individual case</w:t>
            </w:r>
          </w:p>
        </w:tc>
        <w:tc>
          <w:tcPr>
            <w:tcW w:w="1560" w:type="dxa"/>
            <w:shd w:val="clear" w:color="auto" w:fill="BFBFBF"/>
          </w:tcPr>
          <w:p w14:paraId="0A7DB97B" w14:textId="77777777" w:rsidR="007C7EAC" w:rsidRPr="00F15F11" w:rsidRDefault="007C7EAC" w:rsidP="00F15F11">
            <w:pPr>
              <w:pStyle w:val="Tablebodytextnospaceafter"/>
              <w:rPr>
                <w:rStyle w:val="Emphasis"/>
              </w:rPr>
            </w:pPr>
          </w:p>
        </w:tc>
        <w:tc>
          <w:tcPr>
            <w:tcW w:w="1452" w:type="dxa"/>
            <w:shd w:val="clear" w:color="auto" w:fill="BFBFBF"/>
          </w:tcPr>
          <w:p w14:paraId="067521E0" w14:textId="3E8C299D" w:rsidR="007C7EAC" w:rsidRPr="00F15F11" w:rsidRDefault="007C7EAC" w:rsidP="00F15F11">
            <w:pPr>
              <w:pStyle w:val="Tablebodytextnospaceafter"/>
              <w:rPr>
                <w:rStyle w:val="Emphasis"/>
              </w:rPr>
            </w:pPr>
          </w:p>
        </w:tc>
      </w:tr>
      <w:tr w:rsidR="00D16FB5" w14:paraId="64CEA802" w14:textId="77777777" w:rsidTr="00222C74">
        <w:trPr>
          <w:cnfStyle w:val="000000010000" w:firstRow="0" w:lastRow="0" w:firstColumn="0" w:lastColumn="0" w:oddVBand="0" w:evenVBand="0" w:oddHBand="0" w:evenHBand="1" w:firstRowFirstColumn="0" w:firstRowLastColumn="0" w:lastRowFirstColumn="0" w:lastRowLastColumn="0"/>
          <w:trHeight w:val="283"/>
        </w:trPr>
        <w:tc>
          <w:tcPr>
            <w:tcW w:w="6207" w:type="dxa"/>
          </w:tcPr>
          <w:p w14:paraId="05D21E11" w14:textId="77777777" w:rsidR="00D16FB5" w:rsidRPr="00BE4BB3" w:rsidRDefault="00D16FB5" w:rsidP="00506E02">
            <w:pPr>
              <w:pStyle w:val="Tablesinglespacedparagraph"/>
            </w:pPr>
            <w:r>
              <w:t>Refusal not justified – in part</w:t>
            </w:r>
          </w:p>
        </w:tc>
        <w:tc>
          <w:tcPr>
            <w:tcW w:w="1560" w:type="dxa"/>
          </w:tcPr>
          <w:p w14:paraId="68D82187" w14:textId="77777777" w:rsidR="00D16FB5" w:rsidRDefault="00D16FB5" w:rsidP="00506E02">
            <w:pPr>
              <w:pStyle w:val="Tablesinglespacedparagraph"/>
              <w:jc w:val="right"/>
            </w:pPr>
            <w:r>
              <w:t>24</w:t>
            </w:r>
          </w:p>
        </w:tc>
        <w:tc>
          <w:tcPr>
            <w:tcW w:w="1452" w:type="dxa"/>
          </w:tcPr>
          <w:p w14:paraId="468B3074" w14:textId="77777777" w:rsidR="00D16FB5" w:rsidRDefault="00D16FB5" w:rsidP="00506E02">
            <w:pPr>
              <w:pStyle w:val="Tablesinglespacedparagraph"/>
              <w:jc w:val="right"/>
            </w:pPr>
            <w:r>
              <w:t>41</w:t>
            </w:r>
          </w:p>
        </w:tc>
      </w:tr>
      <w:tr w:rsidR="00D16FB5" w14:paraId="39D41D22" w14:textId="77777777" w:rsidTr="00222C74">
        <w:trPr>
          <w:cnfStyle w:val="000000100000" w:firstRow="0" w:lastRow="0" w:firstColumn="0" w:lastColumn="0" w:oddVBand="0" w:evenVBand="0" w:oddHBand="1" w:evenHBand="0" w:firstRowFirstColumn="0" w:firstRowLastColumn="0" w:lastRowFirstColumn="0" w:lastRowLastColumn="0"/>
          <w:trHeight w:val="283"/>
        </w:trPr>
        <w:tc>
          <w:tcPr>
            <w:tcW w:w="6207" w:type="dxa"/>
          </w:tcPr>
          <w:p w14:paraId="671034B5" w14:textId="77777777" w:rsidR="00D16FB5" w:rsidRPr="00BE4BB3" w:rsidRDefault="00D16FB5" w:rsidP="00506E02">
            <w:pPr>
              <w:pStyle w:val="Tablesinglespacedparagraph"/>
            </w:pPr>
            <w:r>
              <w:t>Refusal not justified – in whole</w:t>
            </w:r>
          </w:p>
        </w:tc>
        <w:tc>
          <w:tcPr>
            <w:tcW w:w="1560" w:type="dxa"/>
          </w:tcPr>
          <w:p w14:paraId="73C2F7BD" w14:textId="77777777" w:rsidR="00D16FB5" w:rsidRDefault="00D16FB5" w:rsidP="00506E02">
            <w:pPr>
              <w:pStyle w:val="Tablesinglespacedparagraph"/>
              <w:jc w:val="right"/>
            </w:pPr>
            <w:r>
              <w:t>22</w:t>
            </w:r>
          </w:p>
        </w:tc>
        <w:tc>
          <w:tcPr>
            <w:tcW w:w="1452" w:type="dxa"/>
          </w:tcPr>
          <w:p w14:paraId="19A714C2" w14:textId="77777777" w:rsidR="00D16FB5" w:rsidRDefault="00D16FB5" w:rsidP="00506E02">
            <w:pPr>
              <w:pStyle w:val="Tablesinglespacedparagraph"/>
              <w:jc w:val="right"/>
            </w:pPr>
            <w:r>
              <w:t>21</w:t>
            </w:r>
          </w:p>
        </w:tc>
      </w:tr>
      <w:tr w:rsidR="00D16FB5" w14:paraId="5FC8F95D" w14:textId="77777777" w:rsidTr="00222C74">
        <w:trPr>
          <w:cnfStyle w:val="000000010000" w:firstRow="0" w:lastRow="0" w:firstColumn="0" w:lastColumn="0" w:oddVBand="0" w:evenVBand="0" w:oddHBand="0" w:evenHBand="1" w:firstRowFirstColumn="0" w:firstRowLastColumn="0" w:lastRowFirstColumn="0" w:lastRowLastColumn="0"/>
          <w:trHeight w:val="283"/>
        </w:trPr>
        <w:tc>
          <w:tcPr>
            <w:tcW w:w="6207" w:type="dxa"/>
          </w:tcPr>
          <w:p w14:paraId="196E8635" w14:textId="77777777" w:rsidR="00D16FB5" w:rsidRPr="00BE4BB3" w:rsidRDefault="00D16FB5" w:rsidP="00506E02">
            <w:pPr>
              <w:pStyle w:val="Tablesinglespacedparagraph"/>
            </w:pPr>
            <w:r>
              <w:t>Delay deemed refusal</w:t>
            </w:r>
          </w:p>
        </w:tc>
        <w:tc>
          <w:tcPr>
            <w:tcW w:w="1560" w:type="dxa"/>
          </w:tcPr>
          <w:p w14:paraId="401F6576" w14:textId="77777777" w:rsidR="00D16FB5" w:rsidRDefault="00D16FB5" w:rsidP="00506E02">
            <w:pPr>
              <w:pStyle w:val="Tablesinglespacedparagraph"/>
              <w:jc w:val="right"/>
            </w:pPr>
            <w:r>
              <w:t>20</w:t>
            </w:r>
          </w:p>
        </w:tc>
        <w:tc>
          <w:tcPr>
            <w:tcW w:w="1452" w:type="dxa"/>
          </w:tcPr>
          <w:p w14:paraId="0F844147" w14:textId="77777777" w:rsidR="00D16FB5" w:rsidRDefault="00D16FB5" w:rsidP="00506E02">
            <w:pPr>
              <w:pStyle w:val="Tablesinglespacedparagraph"/>
              <w:jc w:val="right"/>
            </w:pPr>
            <w:r>
              <w:t>21</w:t>
            </w:r>
          </w:p>
        </w:tc>
      </w:tr>
      <w:tr w:rsidR="00D16FB5" w14:paraId="1384B320" w14:textId="77777777" w:rsidTr="00222C74">
        <w:trPr>
          <w:cnfStyle w:val="000000100000" w:firstRow="0" w:lastRow="0" w:firstColumn="0" w:lastColumn="0" w:oddVBand="0" w:evenVBand="0" w:oddHBand="1" w:evenHBand="0" w:firstRowFirstColumn="0" w:firstRowLastColumn="0" w:lastRowFirstColumn="0" w:lastRowLastColumn="0"/>
          <w:trHeight w:val="283"/>
        </w:trPr>
        <w:tc>
          <w:tcPr>
            <w:tcW w:w="6207" w:type="dxa"/>
          </w:tcPr>
          <w:p w14:paraId="3C1343F2" w14:textId="77777777" w:rsidR="00D16FB5" w:rsidRDefault="00D16FB5" w:rsidP="002B580F">
            <w:pPr>
              <w:pStyle w:val="Tablesinglespacedparagraph"/>
            </w:pPr>
            <w:r>
              <w:t>Unreasonable extension</w:t>
            </w:r>
          </w:p>
        </w:tc>
        <w:tc>
          <w:tcPr>
            <w:tcW w:w="1560" w:type="dxa"/>
          </w:tcPr>
          <w:p w14:paraId="4A22689D" w14:textId="77777777" w:rsidR="00D16FB5" w:rsidRDefault="00D16FB5" w:rsidP="002B580F">
            <w:pPr>
              <w:pStyle w:val="Tablesinglespacedparagraph"/>
              <w:jc w:val="right"/>
            </w:pPr>
            <w:r>
              <w:t>13</w:t>
            </w:r>
          </w:p>
        </w:tc>
        <w:tc>
          <w:tcPr>
            <w:tcW w:w="1452" w:type="dxa"/>
          </w:tcPr>
          <w:p w14:paraId="251436BD" w14:textId="77777777" w:rsidR="00D16FB5" w:rsidRDefault="00D16FB5" w:rsidP="002B580F">
            <w:pPr>
              <w:pStyle w:val="Tablesinglespacedparagraph"/>
              <w:jc w:val="right"/>
            </w:pPr>
            <w:r>
              <w:t>9</w:t>
            </w:r>
          </w:p>
        </w:tc>
      </w:tr>
      <w:tr w:rsidR="00D16FB5" w14:paraId="7930A611" w14:textId="77777777" w:rsidTr="00222C74">
        <w:trPr>
          <w:cnfStyle w:val="000000010000" w:firstRow="0" w:lastRow="0" w:firstColumn="0" w:lastColumn="0" w:oddVBand="0" w:evenVBand="0" w:oddHBand="0" w:evenHBand="1" w:firstRowFirstColumn="0" w:firstRowLastColumn="0" w:lastRowFirstColumn="0" w:lastRowLastColumn="0"/>
          <w:trHeight w:val="283"/>
        </w:trPr>
        <w:tc>
          <w:tcPr>
            <w:tcW w:w="6207" w:type="dxa"/>
          </w:tcPr>
          <w:p w14:paraId="64D88A85" w14:textId="77777777" w:rsidR="00D16FB5" w:rsidRDefault="00D16FB5" w:rsidP="00506E02">
            <w:pPr>
              <w:pStyle w:val="Tablesinglespacedparagraph"/>
            </w:pPr>
            <w:r>
              <w:t xml:space="preserve">Undue delay in releasing information </w:t>
            </w:r>
          </w:p>
        </w:tc>
        <w:tc>
          <w:tcPr>
            <w:tcW w:w="1560" w:type="dxa"/>
          </w:tcPr>
          <w:p w14:paraId="6246FD7C" w14:textId="77777777" w:rsidR="00D16FB5" w:rsidRDefault="00D16FB5" w:rsidP="00506E02">
            <w:pPr>
              <w:pStyle w:val="Tablesinglespacedparagraph"/>
              <w:jc w:val="right"/>
            </w:pPr>
            <w:r>
              <w:t>3</w:t>
            </w:r>
          </w:p>
        </w:tc>
        <w:tc>
          <w:tcPr>
            <w:tcW w:w="1452" w:type="dxa"/>
          </w:tcPr>
          <w:p w14:paraId="587770D6" w14:textId="77777777" w:rsidR="00D16FB5" w:rsidRDefault="00D16FB5" w:rsidP="00506E02">
            <w:pPr>
              <w:pStyle w:val="Tablesinglespacedparagraph"/>
              <w:jc w:val="right"/>
            </w:pPr>
            <w:r>
              <w:t>4</w:t>
            </w:r>
          </w:p>
        </w:tc>
      </w:tr>
      <w:tr w:rsidR="00D16FB5" w14:paraId="513EE1C8" w14:textId="77777777" w:rsidTr="00222C74">
        <w:trPr>
          <w:cnfStyle w:val="000000100000" w:firstRow="0" w:lastRow="0" w:firstColumn="0" w:lastColumn="0" w:oddVBand="0" w:evenVBand="0" w:oddHBand="1" w:evenHBand="0" w:firstRowFirstColumn="0" w:firstRowLastColumn="0" w:lastRowFirstColumn="0" w:lastRowLastColumn="0"/>
          <w:trHeight w:val="283"/>
        </w:trPr>
        <w:tc>
          <w:tcPr>
            <w:tcW w:w="6207" w:type="dxa"/>
          </w:tcPr>
          <w:p w14:paraId="5A5FE2B2" w14:textId="77777777" w:rsidR="00D16FB5" w:rsidRDefault="00D16FB5" w:rsidP="002B580F">
            <w:pPr>
              <w:pStyle w:val="Tablesinglespacedparagraph"/>
            </w:pPr>
            <w:r>
              <w:t>Unreasonable delay</w:t>
            </w:r>
          </w:p>
        </w:tc>
        <w:tc>
          <w:tcPr>
            <w:tcW w:w="1560" w:type="dxa"/>
          </w:tcPr>
          <w:p w14:paraId="2B889EB5" w14:textId="77777777" w:rsidR="00D16FB5" w:rsidRDefault="00D16FB5" w:rsidP="002B580F">
            <w:pPr>
              <w:pStyle w:val="Tablesinglespacedparagraph"/>
              <w:jc w:val="right"/>
            </w:pPr>
            <w:r>
              <w:t>-</w:t>
            </w:r>
          </w:p>
        </w:tc>
        <w:tc>
          <w:tcPr>
            <w:tcW w:w="1452" w:type="dxa"/>
          </w:tcPr>
          <w:p w14:paraId="333D49A4" w14:textId="77777777" w:rsidR="00D16FB5" w:rsidRDefault="00D16FB5" w:rsidP="002B580F">
            <w:pPr>
              <w:pStyle w:val="Tablesinglespacedparagraph"/>
              <w:jc w:val="right"/>
            </w:pPr>
            <w:r>
              <w:t>2</w:t>
            </w:r>
          </w:p>
        </w:tc>
      </w:tr>
      <w:tr w:rsidR="00D16FB5" w14:paraId="13A96116" w14:textId="77777777" w:rsidTr="00222C74">
        <w:trPr>
          <w:cnfStyle w:val="000000010000" w:firstRow="0" w:lastRow="0" w:firstColumn="0" w:lastColumn="0" w:oddVBand="0" w:evenVBand="0" w:oddHBand="0" w:evenHBand="1" w:firstRowFirstColumn="0" w:firstRowLastColumn="0" w:lastRowFirstColumn="0" w:lastRowLastColumn="0"/>
          <w:trHeight w:val="283"/>
        </w:trPr>
        <w:tc>
          <w:tcPr>
            <w:tcW w:w="6207" w:type="dxa"/>
          </w:tcPr>
          <w:p w14:paraId="7468A140" w14:textId="77777777" w:rsidR="00D16FB5" w:rsidRDefault="00D16FB5" w:rsidP="00506E02">
            <w:pPr>
              <w:pStyle w:val="Tablesinglespacedparagraph"/>
            </w:pPr>
            <w:r>
              <w:t xml:space="preserve">Otherwise wrong or unreasonable </w:t>
            </w:r>
          </w:p>
        </w:tc>
        <w:tc>
          <w:tcPr>
            <w:tcW w:w="1560" w:type="dxa"/>
          </w:tcPr>
          <w:p w14:paraId="6CFF0E28" w14:textId="77777777" w:rsidR="00D16FB5" w:rsidRDefault="00D16FB5" w:rsidP="00506E02">
            <w:pPr>
              <w:pStyle w:val="Tablesinglespacedparagraph"/>
              <w:jc w:val="right"/>
            </w:pPr>
            <w:r>
              <w:t>2</w:t>
            </w:r>
          </w:p>
        </w:tc>
        <w:tc>
          <w:tcPr>
            <w:tcW w:w="1452" w:type="dxa"/>
          </w:tcPr>
          <w:p w14:paraId="0FCF02C1" w14:textId="77777777" w:rsidR="00D16FB5" w:rsidRDefault="00D16FB5" w:rsidP="00506E02">
            <w:pPr>
              <w:pStyle w:val="Tablesinglespacedparagraph"/>
              <w:jc w:val="right"/>
            </w:pPr>
            <w:r>
              <w:t>2</w:t>
            </w:r>
          </w:p>
        </w:tc>
      </w:tr>
      <w:tr w:rsidR="00D16FB5" w14:paraId="0DD654E1" w14:textId="77777777" w:rsidTr="00222C74">
        <w:trPr>
          <w:cnfStyle w:val="000000100000" w:firstRow="0" w:lastRow="0" w:firstColumn="0" w:lastColumn="0" w:oddVBand="0" w:evenVBand="0" w:oddHBand="1" w:evenHBand="0" w:firstRowFirstColumn="0" w:firstRowLastColumn="0" w:lastRowFirstColumn="0" w:lastRowLastColumn="0"/>
          <w:trHeight w:val="283"/>
        </w:trPr>
        <w:tc>
          <w:tcPr>
            <w:tcW w:w="6207" w:type="dxa"/>
          </w:tcPr>
          <w:p w14:paraId="63FE3A98" w14:textId="77777777" w:rsidR="00D16FB5" w:rsidRPr="00BE4BB3" w:rsidRDefault="00D16FB5" w:rsidP="002B580F">
            <w:pPr>
              <w:pStyle w:val="Tablesinglespacedparagraph"/>
            </w:pPr>
            <w:r>
              <w:t>Inadequate advice, explanation, or reasons</w:t>
            </w:r>
          </w:p>
        </w:tc>
        <w:tc>
          <w:tcPr>
            <w:tcW w:w="1560" w:type="dxa"/>
          </w:tcPr>
          <w:p w14:paraId="2B1ABC80" w14:textId="77777777" w:rsidR="00D16FB5" w:rsidRDefault="00D16FB5" w:rsidP="002B580F">
            <w:pPr>
              <w:pStyle w:val="Tablesinglespacedparagraph"/>
              <w:jc w:val="right"/>
            </w:pPr>
            <w:r>
              <w:t>-</w:t>
            </w:r>
          </w:p>
        </w:tc>
        <w:tc>
          <w:tcPr>
            <w:tcW w:w="1452" w:type="dxa"/>
          </w:tcPr>
          <w:p w14:paraId="3BBE47D4" w14:textId="77777777" w:rsidR="00D16FB5" w:rsidRDefault="00D16FB5" w:rsidP="002B580F">
            <w:pPr>
              <w:pStyle w:val="Tablesinglespacedparagraph"/>
              <w:jc w:val="right"/>
            </w:pPr>
            <w:r>
              <w:t>1</w:t>
            </w:r>
          </w:p>
        </w:tc>
      </w:tr>
      <w:tr w:rsidR="00D16FB5" w14:paraId="21EF280B" w14:textId="77777777" w:rsidTr="00222C74">
        <w:trPr>
          <w:cnfStyle w:val="000000010000" w:firstRow="0" w:lastRow="0" w:firstColumn="0" w:lastColumn="0" w:oddVBand="0" w:evenVBand="0" w:oddHBand="0" w:evenHBand="1" w:firstRowFirstColumn="0" w:firstRowLastColumn="0" w:lastRowFirstColumn="0" w:lastRowLastColumn="0"/>
          <w:trHeight w:val="283"/>
        </w:trPr>
        <w:tc>
          <w:tcPr>
            <w:tcW w:w="6207" w:type="dxa"/>
          </w:tcPr>
          <w:p w14:paraId="7282EC70" w14:textId="77777777" w:rsidR="00D16FB5" w:rsidRDefault="00D16FB5" w:rsidP="002B580F">
            <w:pPr>
              <w:pStyle w:val="Tablesinglespacedparagraph"/>
            </w:pPr>
            <w:r>
              <w:t>Procedural deficiency</w:t>
            </w:r>
          </w:p>
        </w:tc>
        <w:tc>
          <w:tcPr>
            <w:tcW w:w="1560" w:type="dxa"/>
          </w:tcPr>
          <w:p w14:paraId="23B58770" w14:textId="77777777" w:rsidR="00D16FB5" w:rsidRDefault="00D16FB5" w:rsidP="002B580F">
            <w:pPr>
              <w:pStyle w:val="Tablesinglespacedparagraph"/>
              <w:jc w:val="right"/>
            </w:pPr>
            <w:r>
              <w:t>-</w:t>
            </w:r>
          </w:p>
        </w:tc>
        <w:tc>
          <w:tcPr>
            <w:tcW w:w="1452" w:type="dxa"/>
          </w:tcPr>
          <w:p w14:paraId="0619AC2F" w14:textId="77777777" w:rsidR="00D16FB5" w:rsidRDefault="00D16FB5" w:rsidP="002B580F">
            <w:pPr>
              <w:pStyle w:val="Tablesinglespacedparagraph"/>
              <w:jc w:val="right"/>
            </w:pPr>
            <w:r>
              <w:t>1</w:t>
            </w:r>
          </w:p>
        </w:tc>
      </w:tr>
      <w:tr w:rsidR="00D16FB5" w14:paraId="0027CA6A" w14:textId="77777777" w:rsidTr="00222C74">
        <w:trPr>
          <w:cnfStyle w:val="000000100000" w:firstRow="0" w:lastRow="0" w:firstColumn="0" w:lastColumn="0" w:oddVBand="0" w:evenVBand="0" w:oddHBand="1" w:evenHBand="0" w:firstRowFirstColumn="0" w:firstRowLastColumn="0" w:lastRowFirstColumn="0" w:lastRowLastColumn="0"/>
          <w:trHeight w:val="283"/>
        </w:trPr>
        <w:tc>
          <w:tcPr>
            <w:tcW w:w="6207" w:type="dxa"/>
          </w:tcPr>
          <w:p w14:paraId="6EE004D6" w14:textId="77777777" w:rsidR="00D16FB5" w:rsidRDefault="00D16FB5" w:rsidP="002B580F">
            <w:pPr>
              <w:pStyle w:val="Tablesinglespacedparagraph"/>
            </w:pPr>
            <w:r>
              <w:t>Unreasonable charge</w:t>
            </w:r>
          </w:p>
        </w:tc>
        <w:tc>
          <w:tcPr>
            <w:tcW w:w="1560" w:type="dxa"/>
          </w:tcPr>
          <w:p w14:paraId="23267397" w14:textId="77777777" w:rsidR="00D16FB5" w:rsidRDefault="00D16FB5" w:rsidP="002B580F">
            <w:pPr>
              <w:pStyle w:val="Tablesinglespacedparagraph"/>
              <w:jc w:val="right"/>
            </w:pPr>
            <w:r>
              <w:t>1</w:t>
            </w:r>
          </w:p>
        </w:tc>
        <w:tc>
          <w:tcPr>
            <w:tcW w:w="1452" w:type="dxa"/>
          </w:tcPr>
          <w:p w14:paraId="152D266C" w14:textId="77777777" w:rsidR="00D16FB5" w:rsidRDefault="00D16FB5" w:rsidP="002B580F">
            <w:pPr>
              <w:pStyle w:val="Tablesinglespacedparagraph"/>
              <w:jc w:val="right"/>
            </w:pPr>
            <w:r>
              <w:t>1</w:t>
            </w:r>
          </w:p>
        </w:tc>
      </w:tr>
      <w:tr w:rsidR="00D16FB5" w14:paraId="1E3C8C12" w14:textId="77777777" w:rsidTr="00222C74">
        <w:trPr>
          <w:cnfStyle w:val="000000010000" w:firstRow="0" w:lastRow="0" w:firstColumn="0" w:lastColumn="0" w:oddVBand="0" w:evenVBand="0" w:oddHBand="0" w:evenHBand="1" w:firstRowFirstColumn="0" w:firstRowLastColumn="0" w:lastRowFirstColumn="0" w:lastRowLastColumn="0"/>
          <w:trHeight w:val="283"/>
        </w:trPr>
        <w:tc>
          <w:tcPr>
            <w:tcW w:w="6207" w:type="dxa"/>
          </w:tcPr>
          <w:p w14:paraId="118CFB6F" w14:textId="77777777" w:rsidR="00D16FB5" w:rsidRDefault="00D16FB5" w:rsidP="00506E02">
            <w:pPr>
              <w:pStyle w:val="Tablesinglespacedparagraph"/>
            </w:pPr>
            <w:r>
              <w:t>Inadequate statement of reasons</w:t>
            </w:r>
          </w:p>
        </w:tc>
        <w:tc>
          <w:tcPr>
            <w:tcW w:w="1560" w:type="dxa"/>
          </w:tcPr>
          <w:p w14:paraId="68968A45" w14:textId="77777777" w:rsidR="00D16FB5" w:rsidRDefault="00D16FB5" w:rsidP="00506E02">
            <w:pPr>
              <w:pStyle w:val="Tablesinglespacedparagraph"/>
              <w:jc w:val="right"/>
            </w:pPr>
            <w:r>
              <w:t>-</w:t>
            </w:r>
          </w:p>
        </w:tc>
        <w:tc>
          <w:tcPr>
            <w:tcW w:w="1452" w:type="dxa"/>
          </w:tcPr>
          <w:p w14:paraId="72436312" w14:textId="77777777" w:rsidR="00D16FB5" w:rsidRDefault="00D16FB5" w:rsidP="00506E02">
            <w:pPr>
              <w:pStyle w:val="Tablesinglespacedparagraph"/>
              <w:jc w:val="right"/>
            </w:pPr>
            <w:r>
              <w:t>1</w:t>
            </w:r>
          </w:p>
        </w:tc>
      </w:tr>
    </w:tbl>
    <w:p w14:paraId="13D662FC" w14:textId="19E7A9B4" w:rsidR="00DF1795" w:rsidRDefault="005B795D" w:rsidP="00DF1795">
      <w:hyperlink w:anchor="Contents" w:history="1">
        <w:r w:rsidR="00DF1795" w:rsidRPr="00F5248A">
          <w:rPr>
            <w:rStyle w:val="Hyperlink"/>
          </w:rPr>
          <w:t>Back to contents</w:t>
        </w:r>
      </w:hyperlink>
      <w:r w:rsidR="00DF1795">
        <w:t>.</w:t>
      </w:r>
    </w:p>
    <w:p w14:paraId="22A02C39" w14:textId="77777777" w:rsidR="00F15F11" w:rsidRDefault="00F15F11" w:rsidP="00DF1795"/>
    <w:tbl>
      <w:tblPr>
        <w:tblStyle w:val="TableGridAnnualReport"/>
        <w:tblW w:w="9356" w:type="dxa"/>
        <w:tblInd w:w="-10" w:type="dxa"/>
        <w:tblLayout w:type="fixed"/>
        <w:tblLook w:val="0420" w:firstRow="1" w:lastRow="0" w:firstColumn="0" w:lastColumn="0" w:noHBand="0" w:noVBand="1"/>
        <w:tblCaption w:val="Nature of remedy obtained for OIA complaints – "/>
      </w:tblPr>
      <w:tblGrid>
        <w:gridCol w:w="6521"/>
        <w:gridCol w:w="1417"/>
        <w:gridCol w:w="1418"/>
      </w:tblGrid>
      <w:tr w:rsidR="00FE4814" w14:paraId="65AD018A" w14:textId="77777777" w:rsidTr="00FE4814">
        <w:trPr>
          <w:cnfStyle w:val="100000000000" w:firstRow="1" w:lastRow="0" w:firstColumn="0" w:lastColumn="0" w:oddVBand="0" w:evenVBand="0" w:oddHBand="0" w:evenHBand="0" w:firstRowFirstColumn="0" w:firstRowLastColumn="0" w:lastRowFirstColumn="0" w:lastRowLastColumn="0"/>
          <w:trHeight w:val="406"/>
        </w:trPr>
        <w:tc>
          <w:tcPr>
            <w:tcW w:w="6521" w:type="dxa"/>
          </w:tcPr>
          <w:p w14:paraId="75CD55E7" w14:textId="77777777" w:rsidR="0041397D" w:rsidRPr="00BE4BB3" w:rsidRDefault="00F15F11" w:rsidP="00F15F11">
            <w:pPr>
              <w:pStyle w:val="Tableheadingrow1"/>
            </w:pPr>
            <w:r>
              <w:t>18</w:t>
            </w:r>
            <w:r w:rsidR="001C7062">
              <w:t xml:space="preserve">. </w:t>
            </w:r>
            <w:r w:rsidR="0041397D" w:rsidRPr="00BE4BB3">
              <w:t>Nature of remedy obtained for O</w:t>
            </w:r>
            <w:r w:rsidR="0041397D">
              <w:t>I</w:t>
            </w:r>
            <w:r w:rsidR="0041397D" w:rsidRPr="00BE4BB3">
              <w:t>A complaints</w:t>
            </w:r>
            <w:r>
              <w:t xml:space="preserve"> </w:t>
            </w:r>
          </w:p>
        </w:tc>
        <w:tc>
          <w:tcPr>
            <w:tcW w:w="1417" w:type="dxa"/>
          </w:tcPr>
          <w:p w14:paraId="61657EE5" w14:textId="77777777" w:rsidR="0041397D" w:rsidRDefault="0041397D" w:rsidP="00506E02">
            <w:pPr>
              <w:pStyle w:val="Tableheadingrow1"/>
              <w:jc w:val="right"/>
            </w:pPr>
            <w:r>
              <w:t>2018/19</w:t>
            </w:r>
          </w:p>
        </w:tc>
        <w:tc>
          <w:tcPr>
            <w:tcW w:w="1418" w:type="dxa"/>
          </w:tcPr>
          <w:p w14:paraId="0DC1FA53" w14:textId="77777777" w:rsidR="0041397D" w:rsidRDefault="00B92F8E" w:rsidP="00506E02">
            <w:pPr>
              <w:pStyle w:val="Tableheadingrow1"/>
              <w:jc w:val="right"/>
            </w:pPr>
            <w:r>
              <w:t>2019/20</w:t>
            </w:r>
          </w:p>
        </w:tc>
      </w:tr>
      <w:tr w:rsidR="00FE4814" w:rsidRPr="00F15F11" w14:paraId="41D409E6" w14:textId="77777777" w:rsidTr="00222C74">
        <w:trPr>
          <w:cnfStyle w:val="000000100000" w:firstRow="0" w:lastRow="0" w:firstColumn="0" w:lastColumn="0" w:oddVBand="0" w:evenVBand="0" w:oddHBand="1" w:evenHBand="0" w:firstRowFirstColumn="0" w:firstRowLastColumn="0" w:lastRowFirstColumn="0" w:lastRowLastColumn="0"/>
          <w:trHeight w:val="406"/>
        </w:trPr>
        <w:tc>
          <w:tcPr>
            <w:tcW w:w="6521" w:type="dxa"/>
            <w:shd w:val="clear" w:color="auto" w:fill="BFBFBF"/>
          </w:tcPr>
          <w:p w14:paraId="6D8EAEC0" w14:textId="77777777" w:rsidR="00E11C09" w:rsidRPr="00F15F11" w:rsidRDefault="00E11C09" w:rsidP="00F15F11">
            <w:pPr>
              <w:pStyle w:val="Tablebodytextnospaceafter"/>
              <w:rPr>
                <w:rStyle w:val="Emphasis"/>
                <w:bCs w:val="0"/>
                <w:iCs w:val="0"/>
              </w:rPr>
            </w:pPr>
            <w:r w:rsidRPr="00F15F11">
              <w:rPr>
                <w:rStyle w:val="Emphasis"/>
                <w:bCs w:val="0"/>
                <w:iCs w:val="0"/>
              </w:rPr>
              <w:t>Individual benefit</w:t>
            </w:r>
          </w:p>
        </w:tc>
        <w:tc>
          <w:tcPr>
            <w:tcW w:w="1417" w:type="dxa"/>
            <w:shd w:val="clear" w:color="auto" w:fill="BFBFBF"/>
          </w:tcPr>
          <w:p w14:paraId="15D2EDF2" w14:textId="77777777" w:rsidR="00E11C09" w:rsidRPr="00F15F11" w:rsidRDefault="00E11C09" w:rsidP="00F15F11">
            <w:pPr>
              <w:pStyle w:val="Tablebodytextnospaceafter"/>
              <w:rPr>
                <w:rStyle w:val="Emphasis"/>
                <w:bCs w:val="0"/>
                <w:iCs w:val="0"/>
              </w:rPr>
            </w:pPr>
          </w:p>
        </w:tc>
        <w:tc>
          <w:tcPr>
            <w:tcW w:w="1418" w:type="dxa"/>
            <w:shd w:val="clear" w:color="auto" w:fill="BFBFBF"/>
          </w:tcPr>
          <w:p w14:paraId="3920FE99" w14:textId="53F15D21" w:rsidR="00E11C09" w:rsidRPr="00F15F11" w:rsidRDefault="00E11C09" w:rsidP="00F15F11">
            <w:pPr>
              <w:pStyle w:val="Tablebodytextnospaceafter"/>
              <w:rPr>
                <w:rStyle w:val="Emphasis"/>
                <w:bCs w:val="0"/>
                <w:iCs w:val="0"/>
              </w:rPr>
            </w:pPr>
          </w:p>
        </w:tc>
      </w:tr>
      <w:tr w:rsidR="00FE4814" w14:paraId="7BD7ED57" w14:textId="77777777" w:rsidTr="00FE4814">
        <w:trPr>
          <w:cnfStyle w:val="000000010000" w:firstRow="0" w:lastRow="0" w:firstColumn="0" w:lastColumn="0" w:oddVBand="0" w:evenVBand="0" w:oddHBand="0" w:evenHBand="1" w:firstRowFirstColumn="0" w:firstRowLastColumn="0" w:lastRowFirstColumn="0" w:lastRowLastColumn="0"/>
          <w:trHeight w:val="283"/>
        </w:trPr>
        <w:tc>
          <w:tcPr>
            <w:tcW w:w="6521" w:type="dxa"/>
          </w:tcPr>
          <w:p w14:paraId="7E8C9FFB" w14:textId="77777777" w:rsidR="00D16FB5" w:rsidRPr="00BE4BB3" w:rsidRDefault="00D16FB5" w:rsidP="00506E02">
            <w:pPr>
              <w:pStyle w:val="Tablesinglespacedparagraph"/>
            </w:pPr>
            <w:r w:rsidRPr="00BE4BB3">
              <w:rPr>
                <w:rFonts w:eastAsia="Calibri"/>
              </w:rPr>
              <w:t xml:space="preserve">Decision changed </w:t>
            </w:r>
          </w:p>
        </w:tc>
        <w:tc>
          <w:tcPr>
            <w:tcW w:w="1417" w:type="dxa"/>
          </w:tcPr>
          <w:p w14:paraId="73E261CF" w14:textId="77777777" w:rsidR="00D16FB5" w:rsidRDefault="00D16FB5" w:rsidP="00506E02">
            <w:pPr>
              <w:pStyle w:val="Tablesinglespacedparagraph"/>
              <w:jc w:val="right"/>
            </w:pPr>
            <w:r>
              <w:t>232</w:t>
            </w:r>
          </w:p>
        </w:tc>
        <w:tc>
          <w:tcPr>
            <w:tcW w:w="1418" w:type="dxa"/>
          </w:tcPr>
          <w:p w14:paraId="4ECF2554" w14:textId="77777777" w:rsidR="00D16FB5" w:rsidRDefault="00D16FB5" w:rsidP="00455AE8">
            <w:pPr>
              <w:pStyle w:val="Tablesinglespacedparagraph"/>
              <w:jc w:val="right"/>
            </w:pPr>
            <w:r>
              <w:t>256</w:t>
            </w:r>
          </w:p>
        </w:tc>
      </w:tr>
      <w:tr w:rsidR="00FE4814" w14:paraId="793255CF" w14:textId="77777777" w:rsidTr="00FE4814">
        <w:trPr>
          <w:cnfStyle w:val="000000100000" w:firstRow="0" w:lastRow="0" w:firstColumn="0" w:lastColumn="0" w:oddVBand="0" w:evenVBand="0" w:oddHBand="1" w:evenHBand="0" w:firstRowFirstColumn="0" w:firstRowLastColumn="0" w:lastRowFirstColumn="0" w:lastRowLastColumn="0"/>
          <w:trHeight w:val="283"/>
        </w:trPr>
        <w:tc>
          <w:tcPr>
            <w:tcW w:w="6521" w:type="dxa"/>
          </w:tcPr>
          <w:p w14:paraId="25B91D0A" w14:textId="77777777" w:rsidR="00D16FB5" w:rsidRPr="00BE4BB3" w:rsidRDefault="00D16FB5" w:rsidP="00506E02">
            <w:pPr>
              <w:pStyle w:val="Tablesinglespacedparagraph"/>
            </w:pPr>
            <w:r w:rsidRPr="00BE4BB3">
              <w:rPr>
                <w:rFonts w:eastAsia="Calibri"/>
              </w:rPr>
              <w:t>Omission rectified</w:t>
            </w:r>
          </w:p>
        </w:tc>
        <w:tc>
          <w:tcPr>
            <w:tcW w:w="1417" w:type="dxa"/>
          </w:tcPr>
          <w:p w14:paraId="499BDAFB" w14:textId="77777777" w:rsidR="00D16FB5" w:rsidRDefault="00D16FB5" w:rsidP="00506E02">
            <w:pPr>
              <w:pStyle w:val="Tablesinglespacedparagraph"/>
              <w:jc w:val="right"/>
            </w:pPr>
            <w:r>
              <w:t>551</w:t>
            </w:r>
          </w:p>
        </w:tc>
        <w:tc>
          <w:tcPr>
            <w:tcW w:w="1418" w:type="dxa"/>
          </w:tcPr>
          <w:p w14:paraId="7B2C9A8F" w14:textId="77777777" w:rsidR="00D16FB5" w:rsidRDefault="00D16FB5" w:rsidP="00506E02">
            <w:pPr>
              <w:pStyle w:val="Tablesinglespacedparagraph"/>
              <w:jc w:val="right"/>
            </w:pPr>
            <w:r>
              <w:t>182</w:t>
            </w:r>
          </w:p>
        </w:tc>
      </w:tr>
      <w:tr w:rsidR="00FE4814" w14:paraId="766320B5" w14:textId="77777777" w:rsidTr="00FE4814">
        <w:trPr>
          <w:cnfStyle w:val="000000010000" w:firstRow="0" w:lastRow="0" w:firstColumn="0" w:lastColumn="0" w:oddVBand="0" w:evenVBand="0" w:oddHBand="0" w:evenHBand="1" w:firstRowFirstColumn="0" w:firstRowLastColumn="0" w:lastRowFirstColumn="0" w:lastRowLastColumn="0"/>
          <w:trHeight w:val="283"/>
        </w:trPr>
        <w:tc>
          <w:tcPr>
            <w:tcW w:w="6521" w:type="dxa"/>
          </w:tcPr>
          <w:p w14:paraId="1B12DBC4" w14:textId="77777777" w:rsidR="00D16FB5" w:rsidRPr="00BE4BB3" w:rsidRDefault="00D16FB5" w:rsidP="002B580F">
            <w:pPr>
              <w:pStyle w:val="Tablesinglespacedparagraph"/>
            </w:pPr>
            <w:r w:rsidRPr="00BE4BB3">
              <w:rPr>
                <w:rFonts w:eastAsia="Calibri"/>
              </w:rPr>
              <w:t>Reasons/explanation given</w:t>
            </w:r>
          </w:p>
        </w:tc>
        <w:tc>
          <w:tcPr>
            <w:tcW w:w="1417" w:type="dxa"/>
          </w:tcPr>
          <w:p w14:paraId="3D85A188" w14:textId="77777777" w:rsidR="00D16FB5" w:rsidRDefault="00D16FB5" w:rsidP="002B580F">
            <w:pPr>
              <w:pStyle w:val="Tablesinglespacedparagraph"/>
              <w:jc w:val="right"/>
            </w:pPr>
            <w:r>
              <w:t>92</w:t>
            </w:r>
          </w:p>
        </w:tc>
        <w:tc>
          <w:tcPr>
            <w:tcW w:w="1418" w:type="dxa"/>
          </w:tcPr>
          <w:p w14:paraId="4A92A224" w14:textId="77777777" w:rsidR="00D16FB5" w:rsidRDefault="00D16FB5" w:rsidP="00455AE8">
            <w:pPr>
              <w:pStyle w:val="Tablesinglespacedparagraph"/>
              <w:jc w:val="right"/>
            </w:pPr>
            <w:r>
              <w:t>82</w:t>
            </w:r>
          </w:p>
        </w:tc>
      </w:tr>
      <w:tr w:rsidR="00FE4814" w14:paraId="4F0685DC" w14:textId="77777777" w:rsidTr="00222C74">
        <w:trPr>
          <w:cnfStyle w:val="000000100000" w:firstRow="0" w:lastRow="0" w:firstColumn="0" w:lastColumn="0" w:oddVBand="0" w:evenVBand="0" w:oddHBand="1" w:evenHBand="0" w:firstRowFirstColumn="0" w:firstRowLastColumn="0" w:lastRowFirstColumn="0" w:lastRowLastColumn="0"/>
          <w:trHeight w:val="283"/>
        </w:trPr>
        <w:tc>
          <w:tcPr>
            <w:tcW w:w="6521" w:type="dxa"/>
          </w:tcPr>
          <w:p w14:paraId="53EAB398" w14:textId="77777777" w:rsidR="00D16FB5" w:rsidRPr="00BE4BB3" w:rsidRDefault="00D16FB5" w:rsidP="00506E02">
            <w:pPr>
              <w:pStyle w:val="Tablesinglespacedparagraph"/>
            </w:pPr>
            <w:r w:rsidRPr="00BE4BB3">
              <w:rPr>
                <w:rFonts w:eastAsia="Calibri"/>
              </w:rPr>
              <w:t>Decision to be reconsidered</w:t>
            </w:r>
          </w:p>
        </w:tc>
        <w:tc>
          <w:tcPr>
            <w:tcW w:w="1417" w:type="dxa"/>
          </w:tcPr>
          <w:p w14:paraId="6DF8A129" w14:textId="77777777" w:rsidR="00D16FB5" w:rsidRDefault="00D16FB5" w:rsidP="00506E02">
            <w:pPr>
              <w:pStyle w:val="Tablesinglespacedparagraph"/>
              <w:jc w:val="right"/>
            </w:pPr>
            <w:r>
              <w:t>41</w:t>
            </w:r>
          </w:p>
        </w:tc>
        <w:tc>
          <w:tcPr>
            <w:tcW w:w="1418" w:type="dxa"/>
          </w:tcPr>
          <w:p w14:paraId="764BA504" w14:textId="77777777" w:rsidR="00D16FB5" w:rsidRDefault="00D16FB5" w:rsidP="00455AE8">
            <w:pPr>
              <w:pStyle w:val="Tablesinglespacedparagraph"/>
              <w:jc w:val="right"/>
            </w:pPr>
            <w:r>
              <w:t>44</w:t>
            </w:r>
          </w:p>
        </w:tc>
      </w:tr>
      <w:tr w:rsidR="00FE4814" w14:paraId="0A8B9272" w14:textId="77777777" w:rsidTr="00FE4814">
        <w:trPr>
          <w:cnfStyle w:val="000000010000" w:firstRow="0" w:lastRow="0" w:firstColumn="0" w:lastColumn="0" w:oddVBand="0" w:evenVBand="0" w:oddHBand="0" w:evenHBand="1" w:firstRowFirstColumn="0" w:firstRowLastColumn="0" w:lastRowFirstColumn="0" w:lastRowLastColumn="0"/>
          <w:trHeight w:val="283"/>
        </w:trPr>
        <w:tc>
          <w:tcPr>
            <w:tcW w:w="6521" w:type="dxa"/>
          </w:tcPr>
          <w:p w14:paraId="484A290E" w14:textId="77777777" w:rsidR="00D16FB5" w:rsidRPr="00BE4BB3" w:rsidRDefault="00D16FB5" w:rsidP="00506E02">
            <w:pPr>
              <w:pStyle w:val="Tablesinglespacedparagraph"/>
            </w:pPr>
            <w:r w:rsidRPr="00BE4BB3">
              <w:rPr>
                <w:rFonts w:eastAsia="Calibri"/>
              </w:rPr>
              <w:t>Apology</w:t>
            </w:r>
          </w:p>
        </w:tc>
        <w:tc>
          <w:tcPr>
            <w:tcW w:w="1417" w:type="dxa"/>
          </w:tcPr>
          <w:p w14:paraId="6015D9A6" w14:textId="77777777" w:rsidR="00D16FB5" w:rsidRDefault="00D16FB5" w:rsidP="00506E02">
            <w:pPr>
              <w:pStyle w:val="Tablesinglespacedparagraph"/>
              <w:jc w:val="right"/>
            </w:pPr>
            <w:r>
              <w:t>6</w:t>
            </w:r>
          </w:p>
        </w:tc>
        <w:tc>
          <w:tcPr>
            <w:tcW w:w="1418" w:type="dxa"/>
          </w:tcPr>
          <w:p w14:paraId="414B8DCC" w14:textId="77777777" w:rsidR="00D16FB5" w:rsidRDefault="00D16FB5" w:rsidP="00455AE8">
            <w:pPr>
              <w:pStyle w:val="Tablesinglespacedparagraph"/>
              <w:jc w:val="right"/>
            </w:pPr>
            <w:r>
              <w:t>14</w:t>
            </w:r>
          </w:p>
        </w:tc>
      </w:tr>
      <w:tr w:rsidR="00FE4814" w:rsidRPr="00F15F11" w14:paraId="209D4BAD" w14:textId="77777777" w:rsidTr="00222C74">
        <w:trPr>
          <w:cnfStyle w:val="000000100000" w:firstRow="0" w:lastRow="0" w:firstColumn="0" w:lastColumn="0" w:oddVBand="0" w:evenVBand="0" w:oddHBand="1" w:evenHBand="0" w:firstRowFirstColumn="0" w:firstRowLastColumn="0" w:lastRowFirstColumn="0" w:lastRowLastColumn="0"/>
          <w:trHeight w:val="406"/>
        </w:trPr>
        <w:tc>
          <w:tcPr>
            <w:tcW w:w="6521" w:type="dxa"/>
            <w:shd w:val="clear" w:color="auto" w:fill="BFBFBF"/>
          </w:tcPr>
          <w:p w14:paraId="006A8D5F" w14:textId="77777777" w:rsidR="00E11C09" w:rsidRPr="00F15F11" w:rsidRDefault="00E11C09" w:rsidP="00F15F11">
            <w:pPr>
              <w:pStyle w:val="Tablebodytextnospaceafter"/>
              <w:rPr>
                <w:rStyle w:val="Emphasis"/>
                <w:bCs w:val="0"/>
                <w:iCs w:val="0"/>
              </w:rPr>
            </w:pPr>
            <w:r w:rsidRPr="00F15F11">
              <w:rPr>
                <w:rStyle w:val="Emphasis"/>
                <w:bCs w:val="0"/>
                <w:iCs w:val="0"/>
              </w:rPr>
              <w:t>Public administration benefit</w:t>
            </w:r>
          </w:p>
        </w:tc>
        <w:tc>
          <w:tcPr>
            <w:tcW w:w="1417" w:type="dxa"/>
            <w:shd w:val="clear" w:color="auto" w:fill="BFBFBF"/>
          </w:tcPr>
          <w:p w14:paraId="12BE1702" w14:textId="77777777" w:rsidR="00E11C09" w:rsidRPr="00F15F11" w:rsidRDefault="00E11C09" w:rsidP="00F15F11">
            <w:pPr>
              <w:pStyle w:val="Tablebodytextnospaceafter"/>
              <w:rPr>
                <w:rStyle w:val="Emphasis"/>
                <w:bCs w:val="0"/>
                <w:iCs w:val="0"/>
              </w:rPr>
            </w:pPr>
          </w:p>
        </w:tc>
        <w:tc>
          <w:tcPr>
            <w:tcW w:w="1418" w:type="dxa"/>
            <w:shd w:val="clear" w:color="auto" w:fill="BFBFBF"/>
          </w:tcPr>
          <w:p w14:paraId="277DCFE5" w14:textId="76D910E8" w:rsidR="00E11C09" w:rsidRPr="00F15F11" w:rsidRDefault="00E11C09" w:rsidP="00F15F11">
            <w:pPr>
              <w:pStyle w:val="Tablebodytextnospaceafter"/>
              <w:rPr>
                <w:rStyle w:val="Emphasis"/>
                <w:bCs w:val="0"/>
                <w:iCs w:val="0"/>
              </w:rPr>
            </w:pPr>
          </w:p>
        </w:tc>
      </w:tr>
      <w:tr w:rsidR="00FE4814" w14:paraId="3EB52DD3" w14:textId="77777777" w:rsidTr="00FE4814">
        <w:trPr>
          <w:cnfStyle w:val="000000010000" w:firstRow="0" w:lastRow="0" w:firstColumn="0" w:lastColumn="0" w:oddVBand="0" w:evenVBand="0" w:oddHBand="0" w:evenHBand="1" w:firstRowFirstColumn="0" w:firstRowLastColumn="0" w:lastRowFirstColumn="0" w:lastRowLastColumn="0"/>
          <w:trHeight w:val="283"/>
        </w:trPr>
        <w:tc>
          <w:tcPr>
            <w:tcW w:w="6521" w:type="dxa"/>
          </w:tcPr>
          <w:p w14:paraId="4D6CEA43" w14:textId="77777777" w:rsidR="00D16FB5" w:rsidRPr="00BE4BB3" w:rsidRDefault="00D16FB5" w:rsidP="002B580F">
            <w:pPr>
              <w:pStyle w:val="Tablesinglespacedparagraph"/>
              <w:rPr>
                <w:rFonts w:eastAsia="Calibri"/>
              </w:rPr>
            </w:pPr>
            <w:r>
              <w:rPr>
                <w:rFonts w:eastAsia="Calibri"/>
              </w:rPr>
              <w:t>Law/policy/practice/procedure to be reviewed</w:t>
            </w:r>
          </w:p>
        </w:tc>
        <w:tc>
          <w:tcPr>
            <w:tcW w:w="1417" w:type="dxa"/>
          </w:tcPr>
          <w:p w14:paraId="6663F1F1" w14:textId="77777777" w:rsidR="00D16FB5" w:rsidRDefault="00D16FB5" w:rsidP="002B580F">
            <w:pPr>
              <w:pStyle w:val="Tablesinglespacedparagraph"/>
              <w:jc w:val="right"/>
            </w:pPr>
            <w:r>
              <w:t>1</w:t>
            </w:r>
          </w:p>
        </w:tc>
        <w:tc>
          <w:tcPr>
            <w:tcW w:w="1418" w:type="dxa"/>
          </w:tcPr>
          <w:p w14:paraId="23459015" w14:textId="77777777" w:rsidR="00D16FB5" w:rsidRDefault="00D16FB5" w:rsidP="002B580F">
            <w:pPr>
              <w:pStyle w:val="Tablesinglespacedparagraph"/>
              <w:jc w:val="right"/>
            </w:pPr>
            <w:r>
              <w:t>3</w:t>
            </w:r>
          </w:p>
        </w:tc>
      </w:tr>
      <w:tr w:rsidR="00FE4814" w14:paraId="1039BAFE" w14:textId="77777777" w:rsidTr="00FE4814">
        <w:trPr>
          <w:cnfStyle w:val="000000100000" w:firstRow="0" w:lastRow="0" w:firstColumn="0" w:lastColumn="0" w:oddVBand="0" w:evenVBand="0" w:oddHBand="1" w:evenHBand="0" w:firstRowFirstColumn="0" w:firstRowLastColumn="0" w:lastRowFirstColumn="0" w:lastRowLastColumn="0"/>
          <w:trHeight w:val="283"/>
        </w:trPr>
        <w:tc>
          <w:tcPr>
            <w:tcW w:w="6521" w:type="dxa"/>
          </w:tcPr>
          <w:p w14:paraId="47ABDA55" w14:textId="77777777" w:rsidR="00D16FB5" w:rsidRPr="00BE4BB3" w:rsidRDefault="00D16FB5" w:rsidP="002B580F">
            <w:pPr>
              <w:pStyle w:val="Tablesinglespacedparagraph"/>
            </w:pPr>
            <w:r w:rsidRPr="00BE4BB3">
              <w:rPr>
                <w:rFonts w:eastAsia="Calibri"/>
              </w:rPr>
              <w:t>Change in practice/procedure</w:t>
            </w:r>
          </w:p>
        </w:tc>
        <w:tc>
          <w:tcPr>
            <w:tcW w:w="1417" w:type="dxa"/>
          </w:tcPr>
          <w:p w14:paraId="26E3D130" w14:textId="77777777" w:rsidR="00D16FB5" w:rsidRDefault="00D16FB5" w:rsidP="002B580F">
            <w:pPr>
              <w:pStyle w:val="Tablesinglespacedparagraph"/>
              <w:jc w:val="right"/>
            </w:pPr>
            <w:r>
              <w:t>10</w:t>
            </w:r>
          </w:p>
        </w:tc>
        <w:tc>
          <w:tcPr>
            <w:tcW w:w="1418" w:type="dxa"/>
          </w:tcPr>
          <w:p w14:paraId="0CDCDDE8" w14:textId="77777777" w:rsidR="00D16FB5" w:rsidRDefault="00D16FB5" w:rsidP="002B580F">
            <w:pPr>
              <w:pStyle w:val="Tablesinglespacedparagraph"/>
              <w:jc w:val="right"/>
            </w:pPr>
            <w:r>
              <w:t>2</w:t>
            </w:r>
          </w:p>
        </w:tc>
      </w:tr>
      <w:tr w:rsidR="00FE4814" w14:paraId="46E7F3AB" w14:textId="77777777" w:rsidTr="00FE4814">
        <w:trPr>
          <w:cnfStyle w:val="000000010000" w:firstRow="0" w:lastRow="0" w:firstColumn="0" w:lastColumn="0" w:oddVBand="0" w:evenVBand="0" w:oddHBand="0" w:evenHBand="1" w:firstRowFirstColumn="0" w:firstRowLastColumn="0" w:lastRowFirstColumn="0" w:lastRowLastColumn="0"/>
          <w:trHeight w:val="283"/>
        </w:trPr>
        <w:tc>
          <w:tcPr>
            <w:tcW w:w="6521" w:type="dxa"/>
          </w:tcPr>
          <w:p w14:paraId="11C74E1C" w14:textId="77777777" w:rsidR="00D16FB5" w:rsidRPr="00BE4BB3" w:rsidRDefault="00D16FB5" w:rsidP="00506E02">
            <w:pPr>
              <w:pStyle w:val="Tablesinglespacedparagraph"/>
            </w:pPr>
            <w:r w:rsidRPr="00BE4BB3">
              <w:rPr>
                <w:rFonts w:eastAsia="Calibri"/>
              </w:rPr>
              <w:t>Provision of guidance or training to staff</w:t>
            </w:r>
          </w:p>
        </w:tc>
        <w:tc>
          <w:tcPr>
            <w:tcW w:w="1417" w:type="dxa"/>
          </w:tcPr>
          <w:p w14:paraId="260C459D" w14:textId="77777777" w:rsidR="00D16FB5" w:rsidRDefault="00D16FB5" w:rsidP="00506E02">
            <w:pPr>
              <w:pStyle w:val="Tablesinglespacedparagraph"/>
              <w:jc w:val="right"/>
            </w:pPr>
            <w:r>
              <w:t>5</w:t>
            </w:r>
          </w:p>
        </w:tc>
        <w:tc>
          <w:tcPr>
            <w:tcW w:w="1418" w:type="dxa"/>
          </w:tcPr>
          <w:p w14:paraId="3FD76FC7" w14:textId="77777777" w:rsidR="00D16FB5" w:rsidRDefault="00D16FB5" w:rsidP="00506E02">
            <w:pPr>
              <w:pStyle w:val="Tablesinglespacedparagraph"/>
              <w:jc w:val="right"/>
            </w:pPr>
            <w:r>
              <w:t>1</w:t>
            </w:r>
          </w:p>
        </w:tc>
      </w:tr>
    </w:tbl>
    <w:p w14:paraId="4B7BC0CF" w14:textId="67662B7D" w:rsidR="00DF1795" w:rsidRDefault="005B795D" w:rsidP="00DF1795">
      <w:pPr>
        <w:pStyle w:val="BodyText"/>
        <w:rPr>
          <w:rStyle w:val="Hyperlink"/>
        </w:rPr>
      </w:pPr>
      <w:hyperlink w:anchor="Contents" w:history="1">
        <w:r w:rsidR="00DF1795" w:rsidRPr="00F5248A">
          <w:rPr>
            <w:rStyle w:val="Hyperlink"/>
          </w:rPr>
          <w:t>Back to contents</w:t>
        </w:r>
      </w:hyperlink>
    </w:p>
    <w:p w14:paraId="65A0AF4C" w14:textId="77777777" w:rsidR="00F15F11" w:rsidRDefault="00F15F11" w:rsidP="00DF1795">
      <w:pPr>
        <w:pStyle w:val="BodyText"/>
      </w:pPr>
    </w:p>
    <w:p w14:paraId="6071D83D" w14:textId="77777777" w:rsidR="00DF1795" w:rsidRDefault="00DF1795" w:rsidP="00DF1795">
      <w:pPr>
        <w:pStyle w:val="Heading3"/>
      </w:pPr>
      <w:r>
        <w:br w:type="column"/>
      </w:r>
      <w:r w:rsidRPr="00BE4BB3">
        <w:t>Local Government Official Information and Meetings Act (LGOIMA)</w:t>
      </w:r>
    </w:p>
    <w:p w14:paraId="0A819001" w14:textId="77777777" w:rsidR="00DF1795" w:rsidRPr="00BB2585" w:rsidRDefault="00DF1795" w:rsidP="00DF1795">
      <w:pPr>
        <w:pStyle w:val="Whitespace"/>
      </w:pPr>
    </w:p>
    <w:p w14:paraId="277E22CC" w14:textId="3FBDE540" w:rsidR="00DF1795" w:rsidRPr="00222C74" w:rsidRDefault="0057093C" w:rsidP="00DF1795">
      <w:pPr>
        <w:pStyle w:val="FigureCaption"/>
      </w:pPr>
      <w:r>
        <w:rPr>
          <w:noProof/>
          <w:lang w:eastAsia="en-NZ"/>
        </w:rPr>
        <w:drawing>
          <wp:inline distT="0" distB="0" distL="0" distR="0" wp14:anchorId="731099B2" wp14:editId="0BA0B293">
            <wp:extent cx="5990492" cy="2391508"/>
            <wp:effectExtent l="0" t="0" r="10795" b="8890"/>
            <wp:docPr id="22" name="Chart 22" descr="Link to text alternative version follows this diagram. This is a line graph - the data in the link is presented in a table." title="Figure 6: LGOIMA complaints received and actioned over the past 10 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2D09BAEF" w14:textId="3B9E84F5" w:rsidR="00DF1795" w:rsidRDefault="00DF1795" w:rsidP="00DF1795">
      <w:pPr>
        <w:pStyle w:val="BodyText"/>
        <w:rPr>
          <w:i/>
          <w:noProof/>
        </w:rPr>
      </w:pPr>
      <w:bookmarkStart w:id="176" w:name="Figure6"/>
      <w:r w:rsidRPr="00401965">
        <w:rPr>
          <w:i/>
        </w:rPr>
        <w:t>Figure 6</w:t>
      </w:r>
      <w:bookmarkEnd w:id="176"/>
      <w:r w:rsidRPr="00A76577">
        <w:rPr>
          <w:i/>
          <w:noProof/>
        </w:rPr>
        <w:t>: LGOIMA complaints received and actioned over the past 10 years.</w:t>
      </w:r>
    </w:p>
    <w:p w14:paraId="4B5F7DF3" w14:textId="521A7925" w:rsidR="00A500DC" w:rsidRPr="00222C74" w:rsidRDefault="005B795D" w:rsidP="00DF1795">
      <w:pPr>
        <w:pStyle w:val="BodyText"/>
        <w:rPr>
          <w:noProof/>
        </w:rPr>
      </w:pPr>
      <w:hyperlink w:anchor="Figure6table" w:history="1">
        <w:r w:rsidR="00A500DC" w:rsidRPr="00866727">
          <w:rPr>
            <w:rStyle w:val="Hyperlink"/>
            <w:noProof/>
          </w:rPr>
          <w:t>Link to text alternative version of Figure 6.</w:t>
        </w:r>
      </w:hyperlink>
      <w:r w:rsidR="00A500DC">
        <w:rPr>
          <w:noProof/>
        </w:rPr>
        <w:t xml:space="preserve"> </w:t>
      </w:r>
    </w:p>
    <w:p w14:paraId="69553FF5" w14:textId="559F5717" w:rsidR="00DF1795" w:rsidRDefault="005B795D" w:rsidP="00DF1795">
      <w:hyperlink w:anchor="Contents" w:history="1">
        <w:r w:rsidR="00DF1795" w:rsidRPr="00F5248A">
          <w:rPr>
            <w:rStyle w:val="Hyperlink"/>
          </w:rPr>
          <w:t>Back to contents</w:t>
        </w:r>
      </w:hyperlink>
      <w:r w:rsidR="00DF1795">
        <w:t>.</w:t>
      </w:r>
    </w:p>
    <w:p w14:paraId="068391BE" w14:textId="77777777" w:rsidR="00DF1795" w:rsidRDefault="00DF1795" w:rsidP="00DF1795">
      <w:pPr>
        <w:pStyle w:val="Whitespace"/>
        <w:rPr>
          <w:noProof/>
        </w:rPr>
      </w:pPr>
    </w:p>
    <w:tbl>
      <w:tblPr>
        <w:tblStyle w:val="TableGridAnnualReport"/>
        <w:tblW w:w="9268" w:type="dxa"/>
        <w:tblInd w:w="20" w:type="dxa"/>
        <w:tblLayout w:type="fixed"/>
        <w:tblLook w:val="0420" w:firstRow="1" w:lastRow="0" w:firstColumn="0" w:lastColumn="0" w:noHBand="0" w:noVBand="1"/>
        <w:tblCaption w:val="Nature of LGOIMA complaints made"/>
      </w:tblPr>
      <w:tblGrid>
        <w:gridCol w:w="6280"/>
        <w:gridCol w:w="1494"/>
        <w:gridCol w:w="1494"/>
      </w:tblGrid>
      <w:tr w:rsidR="0041397D" w14:paraId="50F181C4" w14:textId="77777777" w:rsidTr="0041397D">
        <w:trPr>
          <w:cnfStyle w:val="100000000000" w:firstRow="1" w:lastRow="0" w:firstColumn="0" w:lastColumn="0" w:oddVBand="0" w:evenVBand="0" w:oddHBand="0" w:evenHBand="0" w:firstRowFirstColumn="0" w:firstRowLastColumn="0" w:lastRowFirstColumn="0" w:lastRowLastColumn="0"/>
          <w:trHeight w:val="60"/>
        </w:trPr>
        <w:tc>
          <w:tcPr>
            <w:tcW w:w="6280" w:type="dxa"/>
          </w:tcPr>
          <w:p w14:paraId="007AE38B" w14:textId="77777777" w:rsidR="0041397D" w:rsidRPr="004F6DF5" w:rsidRDefault="00F15F11" w:rsidP="001C7062">
            <w:pPr>
              <w:pStyle w:val="Tableheadingrow1"/>
            </w:pPr>
            <w:r>
              <w:t>19</w:t>
            </w:r>
            <w:r w:rsidR="001C7062">
              <w:t xml:space="preserve">. </w:t>
            </w:r>
            <w:r w:rsidR="0041397D" w:rsidRPr="004F6DF5">
              <w:t>Nature of LGOIMA complaints made</w:t>
            </w:r>
          </w:p>
        </w:tc>
        <w:tc>
          <w:tcPr>
            <w:tcW w:w="1494" w:type="dxa"/>
          </w:tcPr>
          <w:p w14:paraId="057803D9" w14:textId="77777777" w:rsidR="0041397D" w:rsidRDefault="0041397D" w:rsidP="00506E02">
            <w:pPr>
              <w:pStyle w:val="Tableheadingrow1"/>
              <w:jc w:val="right"/>
            </w:pPr>
            <w:r>
              <w:t>2018/19</w:t>
            </w:r>
          </w:p>
        </w:tc>
        <w:tc>
          <w:tcPr>
            <w:tcW w:w="1494" w:type="dxa"/>
          </w:tcPr>
          <w:p w14:paraId="68383FB9" w14:textId="77777777" w:rsidR="0041397D" w:rsidRDefault="00A8743F" w:rsidP="00506E02">
            <w:pPr>
              <w:pStyle w:val="Tableheadingrow1"/>
              <w:jc w:val="right"/>
            </w:pPr>
            <w:r>
              <w:t>2019/20</w:t>
            </w:r>
          </w:p>
        </w:tc>
      </w:tr>
      <w:tr w:rsidR="00A8743F" w14:paraId="2965F759" w14:textId="77777777" w:rsidTr="0041397D">
        <w:trPr>
          <w:cnfStyle w:val="000000100000" w:firstRow="0" w:lastRow="0" w:firstColumn="0" w:lastColumn="0" w:oddVBand="0" w:evenVBand="0" w:oddHBand="1" w:evenHBand="0" w:firstRowFirstColumn="0" w:firstRowLastColumn="0" w:lastRowFirstColumn="0" w:lastRowLastColumn="0"/>
          <w:trHeight w:val="237"/>
        </w:trPr>
        <w:tc>
          <w:tcPr>
            <w:tcW w:w="6280" w:type="dxa"/>
          </w:tcPr>
          <w:p w14:paraId="5C0C29D2" w14:textId="77777777" w:rsidR="00A8743F" w:rsidRPr="004F6DF5" w:rsidRDefault="00A8743F" w:rsidP="00506E02">
            <w:pPr>
              <w:pStyle w:val="Tablebodytextnospaceafter"/>
            </w:pPr>
            <w:r w:rsidRPr="004F6DF5">
              <w:t>Refusal</w:t>
            </w:r>
            <w:r>
              <w:t xml:space="preserve"> – general information request</w:t>
            </w:r>
          </w:p>
        </w:tc>
        <w:tc>
          <w:tcPr>
            <w:tcW w:w="1494" w:type="dxa"/>
          </w:tcPr>
          <w:p w14:paraId="59AD5386" w14:textId="77777777" w:rsidR="00A8743F" w:rsidRDefault="00A8743F" w:rsidP="00506E02">
            <w:pPr>
              <w:pStyle w:val="Tablebodytextnospaceafter"/>
              <w:jc w:val="right"/>
            </w:pPr>
            <w:r>
              <w:t>158</w:t>
            </w:r>
          </w:p>
        </w:tc>
        <w:tc>
          <w:tcPr>
            <w:tcW w:w="1494" w:type="dxa"/>
          </w:tcPr>
          <w:p w14:paraId="696A2DA5" w14:textId="77777777" w:rsidR="00A8743F" w:rsidRDefault="00A8743F" w:rsidP="00252CF6">
            <w:pPr>
              <w:pStyle w:val="Tablebodytextnospaceafter"/>
              <w:jc w:val="right"/>
            </w:pPr>
            <w:r>
              <w:t>16</w:t>
            </w:r>
            <w:r w:rsidR="00252CF6">
              <w:t>8</w:t>
            </w:r>
          </w:p>
        </w:tc>
      </w:tr>
      <w:tr w:rsidR="00A8743F" w14:paraId="5265B502"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80" w:type="dxa"/>
          </w:tcPr>
          <w:p w14:paraId="47CED418" w14:textId="77777777" w:rsidR="00A8743F" w:rsidRPr="004F6DF5" w:rsidRDefault="00A8743F" w:rsidP="00506E02">
            <w:pPr>
              <w:pStyle w:val="Tablebodytextnospaceafter"/>
            </w:pPr>
            <w:r w:rsidRPr="004F6DF5">
              <w:t xml:space="preserve">Delay </w:t>
            </w:r>
            <w:r>
              <w:t>in making decision</w:t>
            </w:r>
          </w:p>
        </w:tc>
        <w:tc>
          <w:tcPr>
            <w:tcW w:w="1494" w:type="dxa"/>
          </w:tcPr>
          <w:p w14:paraId="64AB707D" w14:textId="77777777" w:rsidR="00A8743F" w:rsidRDefault="00A8743F" w:rsidP="00506E02">
            <w:pPr>
              <w:pStyle w:val="Tablebodytextnospaceafter"/>
              <w:jc w:val="right"/>
            </w:pPr>
            <w:r>
              <w:t>92</w:t>
            </w:r>
          </w:p>
        </w:tc>
        <w:tc>
          <w:tcPr>
            <w:tcW w:w="1494" w:type="dxa"/>
          </w:tcPr>
          <w:p w14:paraId="20074819" w14:textId="77777777" w:rsidR="00A8743F" w:rsidRDefault="00A8743F" w:rsidP="00252CF6">
            <w:pPr>
              <w:pStyle w:val="Tablebodytextnospaceafter"/>
              <w:jc w:val="right"/>
            </w:pPr>
            <w:r>
              <w:t>8</w:t>
            </w:r>
            <w:r w:rsidR="00252CF6">
              <w:t>7</w:t>
            </w:r>
          </w:p>
        </w:tc>
      </w:tr>
      <w:tr w:rsidR="00A8743F" w14:paraId="6B9FFFB2"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80" w:type="dxa"/>
          </w:tcPr>
          <w:p w14:paraId="22DDE3F9" w14:textId="77777777" w:rsidR="00A8743F" w:rsidRPr="004F6DF5" w:rsidRDefault="00A8743F" w:rsidP="00506E02">
            <w:pPr>
              <w:pStyle w:val="Tablebodytextnospaceafter"/>
            </w:pPr>
            <w:r>
              <w:t>Incomplete or inadequate response</w:t>
            </w:r>
          </w:p>
        </w:tc>
        <w:tc>
          <w:tcPr>
            <w:tcW w:w="1494" w:type="dxa"/>
          </w:tcPr>
          <w:p w14:paraId="357F7D8E" w14:textId="77777777" w:rsidR="00A8743F" w:rsidRDefault="00A8743F" w:rsidP="00506E02">
            <w:pPr>
              <w:pStyle w:val="Tablebodytextnospaceafter"/>
              <w:jc w:val="right"/>
            </w:pPr>
            <w:r>
              <w:t>49</w:t>
            </w:r>
          </w:p>
        </w:tc>
        <w:tc>
          <w:tcPr>
            <w:tcW w:w="1494" w:type="dxa"/>
          </w:tcPr>
          <w:p w14:paraId="77008FF7" w14:textId="77777777" w:rsidR="00A8743F" w:rsidRDefault="00A8743F" w:rsidP="00506E02">
            <w:pPr>
              <w:pStyle w:val="Tablebodytextnospaceafter"/>
              <w:jc w:val="right"/>
            </w:pPr>
            <w:r>
              <w:t>50</w:t>
            </w:r>
          </w:p>
        </w:tc>
      </w:tr>
      <w:tr w:rsidR="00A8743F" w14:paraId="0D72C8C2"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80" w:type="dxa"/>
          </w:tcPr>
          <w:p w14:paraId="7421515D" w14:textId="77777777" w:rsidR="00A8743F" w:rsidRPr="004F6DF5" w:rsidRDefault="00A8743F" w:rsidP="00506E02">
            <w:pPr>
              <w:pStyle w:val="Tablebodytextnospaceafter"/>
            </w:pPr>
            <w:r w:rsidRPr="004F6DF5">
              <w:t>Charge</w:t>
            </w:r>
          </w:p>
        </w:tc>
        <w:tc>
          <w:tcPr>
            <w:tcW w:w="1494" w:type="dxa"/>
          </w:tcPr>
          <w:p w14:paraId="3D3B46CF" w14:textId="77777777" w:rsidR="00A8743F" w:rsidRDefault="00A8743F" w:rsidP="00506E02">
            <w:pPr>
              <w:pStyle w:val="Tablebodytextnospaceafter"/>
              <w:jc w:val="right"/>
            </w:pPr>
            <w:r>
              <w:t>17</w:t>
            </w:r>
          </w:p>
        </w:tc>
        <w:tc>
          <w:tcPr>
            <w:tcW w:w="1494" w:type="dxa"/>
          </w:tcPr>
          <w:p w14:paraId="26184DF0" w14:textId="77777777" w:rsidR="00A8743F" w:rsidRDefault="00A8743F" w:rsidP="00506E02">
            <w:pPr>
              <w:pStyle w:val="Tablebodytextnospaceafter"/>
              <w:jc w:val="right"/>
            </w:pPr>
            <w:r>
              <w:t>13</w:t>
            </w:r>
          </w:p>
        </w:tc>
      </w:tr>
      <w:tr w:rsidR="00A8743F" w14:paraId="4605C224"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80" w:type="dxa"/>
          </w:tcPr>
          <w:p w14:paraId="078C626B" w14:textId="77777777" w:rsidR="00A8743F" w:rsidRPr="004F6DF5" w:rsidRDefault="00A8743F" w:rsidP="00506E02">
            <w:pPr>
              <w:pStyle w:val="Tablebodytextnospaceafter"/>
            </w:pPr>
            <w:r>
              <w:t>Decision not made as soon as reasonably practicable</w:t>
            </w:r>
          </w:p>
        </w:tc>
        <w:tc>
          <w:tcPr>
            <w:tcW w:w="1494" w:type="dxa"/>
          </w:tcPr>
          <w:p w14:paraId="2FA84F3B" w14:textId="77777777" w:rsidR="00A8743F" w:rsidRDefault="00A8743F" w:rsidP="00506E02">
            <w:pPr>
              <w:pStyle w:val="Tablebodytextnospaceafter"/>
              <w:jc w:val="right"/>
            </w:pPr>
            <w:r>
              <w:t>4</w:t>
            </w:r>
          </w:p>
        </w:tc>
        <w:tc>
          <w:tcPr>
            <w:tcW w:w="1494" w:type="dxa"/>
          </w:tcPr>
          <w:p w14:paraId="66F4524A" w14:textId="77777777" w:rsidR="00A8743F" w:rsidRDefault="00A8743F" w:rsidP="00506E02">
            <w:pPr>
              <w:pStyle w:val="Tablebodytextnospaceafter"/>
              <w:jc w:val="right"/>
            </w:pPr>
            <w:r>
              <w:t>7</w:t>
            </w:r>
          </w:p>
        </w:tc>
      </w:tr>
      <w:tr w:rsidR="00A8743F" w14:paraId="34F57844"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80" w:type="dxa"/>
          </w:tcPr>
          <w:p w14:paraId="65F5B013" w14:textId="77777777" w:rsidR="00A8743F" w:rsidRPr="004F6DF5" w:rsidRDefault="00A8743F" w:rsidP="00506E02">
            <w:pPr>
              <w:pStyle w:val="Tablebodytextnospaceafter"/>
            </w:pPr>
            <w:r w:rsidRPr="004F6DF5">
              <w:t>Extension</w:t>
            </w:r>
          </w:p>
        </w:tc>
        <w:tc>
          <w:tcPr>
            <w:tcW w:w="1494" w:type="dxa"/>
          </w:tcPr>
          <w:p w14:paraId="1D70B04E" w14:textId="77777777" w:rsidR="00A8743F" w:rsidRDefault="00A8743F" w:rsidP="00506E02">
            <w:pPr>
              <w:pStyle w:val="Tablebodytextnospaceafter"/>
              <w:jc w:val="right"/>
            </w:pPr>
            <w:r>
              <w:t>13</w:t>
            </w:r>
          </w:p>
        </w:tc>
        <w:tc>
          <w:tcPr>
            <w:tcW w:w="1494" w:type="dxa"/>
          </w:tcPr>
          <w:p w14:paraId="07286D4B" w14:textId="77777777" w:rsidR="00A8743F" w:rsidRDefault="00A8743F" w:rsidP="00506E02">
            <w:pPr>
              <w:pStyle w:val="Tablebodytextnospaceafter"/>
              <w:jc w:val="right"/>
            </w:pPr>
            <w:r>
              <w:t>7</w:t>
            </w:r>
          </w:p>
        </w:tc>
      </w:tr>
      <w:tr w:rsidR="00A8743F" w14:paraId="0A6F28C3"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80" w:type="dxa"/>
          </w:tcPr>
          <w:p w14:paraId="48138E03" w14:textId="77777777" w:rsidR="00A8743F" w:rsidRDefault="00A8743F" w:rsidP="00506E02">
            <w:pPr>
              <w:pStyle w:val="Tablebodytextnospaceafter"/>
            </w:pPr>
            <w:r>
              <w:t>Refusal – personal information about individual</w:t>
            </w:r>
          </w:p>
        </w:tc>
        <w:tc>
          <w:tcPr>
            <w:tcW w:w="1494" w:type="dxa"/>
          </w:tcPr>
          <w:p w14:paraId="313BE39B" w14:textId="77777777" w:rsidR="00A8743F" w:rsidRDefault="00A8743F" w:rsidP="00506E02">
            <w:pPr>
              <w:pStyle w:val="Tablebodytextnospaceafter"/>
              <w:jc w:val="right"/>
            </w:pPr>
            <w:r>
              <w:t>9</w:t>
            </w:r>
          </w:p>
        </w:tc>
        <w:tc>
          <w:tcPr>
            <w:tcW w:w="1494" w:type="dxa"/>
          </w:tcPr>
          <w:p w14:paraId="619774F8" w14:textId="77777777" w:rsidR="00A8743F" w:rsidRDefault="00A8743F" w:rsidP="00506E02">
            <w:pPr>
              <w:pStyle w:val="Tablebodytextnospaceafter"/>
              <w:jc w:val="right"/>
            </w:pPr>
            <w:r>
              <w:t>7</w:t>
            </w:r>
          </w:p>
        </w:tc>
      </w:tr>
      <w:tr w:rsidR="00A8743F" w14:paraId="046E52E2"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80" w:type="dxa"/>
          </w:tcPr>
          <w:p w14:paraId="657B6C12" w14:textId="77777777" w:rsidR="00A8743F" w:rsidRPr="004F6DF5" w:rsidRDefault="00A8743F" w:rsidP="00506E02">
            <w:pPr>
              <w:pStyle w:val="Tablebodytextnospaceafter"/>
            </w:pPr>
            <w:r w:rsidRPr="00443D17">
              <w:t>Delay</w:t>
            </w:r>
            <w:r>
              <w:t xml:space="preserve"> in releasing information</w:t>
            </w:r>
          </w:p>
        </w:tc>
        <w:tc>
          <w:tcPr>
            <w:tcW w:w="1494" w:type="dxa"/>
          </w:tcPr>
          <w:p w14:paraId="4AEDE753" w14:textId="77777777" w:rsidR="00A8743F" w:rsidRDefault="00A8743F" w:rsidP="00506E02">
            <w:pPr>
              <w:pStyle w:val="Tablebodytextnospaceafter"/>
              <w:jc w:val="right"/>
            </w:pPr>
            <w:r>
              <w:t>11</w:t>
            </w:r>
          </w:p>
        </w:tc>
        <w:tc>
          <w:tcPr>
            <w:tcW w:w="1494" w:type="dxa"/>
          </w:tcPr>
          <w:p w14:paraId="23D02D80" w14:textId="77777777" w:rsidR="00A8743F" w:rsidRDefault="00A8743F" w:rsidP="00506E02">
            <w:pPr>
              <w:pStyle w:val="Tablebodytextnospaceafter"/>
              <w:jc w:val="right"/>
            </w:pPr>
            <w:r>
              <w:t>5</w:t>
            </w:r>
          </w:p>
        </w:tc>
      </w:tr>
      <w:tr w:rsidR="00A8743F" w14:paraId="26B96996"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80" w:type="dxa"/>
          </w:tcPr>
          <w:p w14:paraId="176E513D" w14:textId="77777777" w:rsidR="00A8743F" w:rsidRPr="00443D17" w:rsidRDefault="00A8743F" w:rsidP="00506E02">
            <w:pPr>
              <w:pStyle w:val="Tablebodytextnospaceafter"/>
            </w:pPr>
            <w:r>
              <w:t>Manner or form of release</w:t>
            </w:r>
          </w:p>
        </w:tc>
        <w:tc>
          <w:tcPr>
            <w:tcW w:w="1494" w:type="dxa"/>
          </w:tcPr>
          <w:p w14:paraId="7E2F6048" w14:textId="77777777" w:rsidR="00A8743F" w:rsidRDefault="00A8743F" w:rsidP="00506E02">
            <w:pPr>
              <w:pStyle w:val="Tablebodytextnospaceafter"/>
              <w:jc w:val="right"/>
            </w:pPr>
            <w:r>
              <w:t>1</w:t>
            </w:r>
          </w:p>
        </w:tc>
        <w:tc>
          <w:tcPr>
            <w:tcW w:w="1494" w:type="dxa"/>
          </w:tcPr>
          <w:p w14:paraId="7A8DA32A" w14:textId="77777777" w:rsidR="00A8743F" w:rsidRDefault="00A8743F" w:rsidP="00506E02">
            <w:pPr>
              <w:pStyle w:val="Tablebodytextnospaceafter"/>
              <w:jc w:val="right"/>
            </w:pPr>
            <w:r>
              <w:t>3</w:t>
            </w:r>
          </w:p>
        </w:tc>
      </w:tr>
      <w:tr w:rsidR="00A8743F" w14:paraId="65BA4CBA"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80" w:type="dxa"/>
          </w:tcPr>
          <w:p w14:paraId="3214658D" w14:textId="77777777" w:rsidR="00A8743F" w:rsidRDefault="00A8743F" w:rsidP="00506E02">
            <w:pPr>
              <w:pStyle w:val="Tablebodytextnospaceafter"/>
            </w:pPr>
            <w:r>
              <w:t>Condition</w:t>
            </w:r>
          </w:p>
        </w:tc>
        <w:tc>
          <w:tcPr>
            <w:tcW w:w="1494" w:type="dxa"/>
          </w:tcPr>
          <w:p w14:paraId="5388A5B1" w14:textId="77777777" w:rsidR="00A8743F" w:rsidRDefault="00A8743F" w:rsidP="00506E02">
            <w:pPr>
              <w:pStyle w:val="Tablebodytextnospaceafter"/>
              <w:jc w:val="right"/>
            </w:pPr>
            <w:r>
              <w:t>2</w:t>
            </w:r>
          </w:p>
        </w:tc>
        <w:tc>
          <w:tcPr>
            <w:tcW w:w="1494" w:type="dxa"/>
          </w:tcPr>
          <w:p w14:paraId="3C495E7A" w14:textId="77777777" w:rsidR="00A8743F" w:rsidRDefault="00A8743F" w:rsidP="00506E02">
            <w:pPr>
              <w:pStyle w:val="Tablebodytextnospaceafter"/>
              <w:jc w:val="right"/>
            </w:pPr>
            <w:r>
              <w:t>3</w:t>
            </w:r>
          </w:p>
        </w:tc>
      </w:tr>
      <w:tr w:rsidR="00A8743F" w14:paraId="266508AE"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80" w:type="dxa"/>
          </w:tcPr>
          <w:p w14:paraId="371E76AE" w14:textId="77777777" w:rsidR="00A8743F" w:rsidRDefault="00A8743F" w:rsidP="00506E02">
            <w:pPr>
              <w:pStyle w:val="Tablebodytextnospaceafter"/>
            </w:pPr>
            <w:r>
              <w:t>Refusal – personal information about body corporate</w:t>
            </w:r>
          </w:p>
        </w:tc>
        <w:tc>
          <w:tcPr>
            <w:tcW w:w="1494" w:type="dxa"/>
          </w:tcPr>
          <w:p w14:paraId="26BBB566" w14:textId="77777777" w:rsidR="00A8743F" w:rsidRDefault="00A8743F" w:rsidP="00506E02">
            <w:pPr>
              <w:pStyle w:val="Tablebodytextnospaceafter"/>
              <w:jc w:val="right"/>
            </w:pPr>
            <w:r>
              <w:t>-</w:t>
            </w:r>
          </w:p>
        </w:tc>
        <w:tc>
          <w:tcPr>
            <w:tcW w:w="1494" w:type="dxa"/>
          </w:tcPr>
          <w:p w14:paraId="0A2AC8C6" w14:textId="77777777" w:rsidR="00A8743F" w:rsidRDefault="00A8743F" w:rsidP="00506E02">
            <w:pPr>
              <w:pStyle w:val="Tablebodytextnospaceafter"/>
              <w:jc w:val="right"/>
            </w:pPr>
            <w:r>
              <w:t>2</w:t>
            </w:r>
          </w:p>
        </w:tc>
      </w:tr>
      <w:tr w:rsidR="00A8743F" w14:paraId="70787FF3"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80" w:type="dxa"/>
          </w:tcPr>
          <w:p w14:paraId="0D0AD042" w14:textId="77777777" w:rsidR="00A8743F" w:rsidRPr="004F6DF5" w:rsidRDefault="00A8743F" w:rsidP="00506E02">
            <w:pPr>
              <w:pStyle w:val="Tablebodytextnospaceafter"/>
            </w:pPr>
            <w:r w:rsidRPr="004F6DF5">
              <w:t>Other</w:t>
            </w:r>
          </w:p>
        </w:tc>
        <w:tc>
          <w:tcPr>
            <w:tcW w:w="1494" w:type="dxa"/>
          </w:tcPr>
          <w:p w14:paraId="72E42DAB" w14:textId="77777777" w:rsidR="00A8743F" w:rsidRDefault="00A8743F" w:rsidP="00506E02">
            <w:pPr>
              <w:pStyle w:val="Tablebodytextnospaceafter"/>
              <w:jc w:val="right"/>
            </w:pPr>
            <w:r>
              <w:t>7</w:t>
            </w:r>
          </w:p>
        </w:tc>
        <w:tc>
          <w:tcPr>
            <w:tcW w:w="1494" w:type="dxa"/>
          </w:tcPr>
          <w:p w14:paraId="36B8F414" w14:textId="77777777" w:rsidR="00A8743F" w:rsidRDefault="00A8743F" w:rsidP="00506E02">
            <w:pPr>
              <w:pStyle w:val="Tablebodytextnospaceafter"/>
              <w:jc w:val="right"/>
            </w:pPr>
            <w:r>
              <w:t>2</w:t>
            </w:r>
          </w:p>
        </w:tc>
      </w:tr>
      <w:tr w:rsidR="00A8743F" w14:paraId="21C846C4"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80" w:type="dxa"/>
          </w:tcPr>
          <w:p w14:paraId="59D18191" w14:textId="77777777" w:rsidR="00A8743F" w:rsidRDefault="00A8743F" w:rsidP="00506E02">
            <w:pPr>
              <w:pStyle w:val="Tablebodytextnospaceafter"/>
            </w:pPr>
            <w:r>
              <w:t>Neither confirm nor deny</w:t>
            </w:r>
          </w:p>
        </w:tc>
        <w:tc>
          <w:tcPr>
            <w:tcW w:w="1494" w:type="dxa"/>
          </w:tcPr>
          <w:p w14:paraId="55646DEB" w14:textId="77777777" w:rsidR="00A8743F" w:rsidRDefault="00A8743F" w:rsidP="00506E02">
            <w:pPr>
              <w:pStyle w:val="Tablebodytextnospaceafter"/>
              <w:jc w:val="right"/>
            </w:pPr>
            <w:r>
              <w:t>1</w:t>
            </w:r>
          </w:p>
        </w:tc>
        <w:tc>
          <w:tcPr>
            <w:tcW w:w="1494" w:type="dxa"/>
          </w:tcPr>
          <w:p w14:paraId="08D9ACD6" w14:textId="77777777" w:rsidR="00A8743F" w:rsidRDefault="00A8743F" w:rsidP="00506E02">
            <w:pPr>
              <w:pStyle w:val="Tablebodytextnospaceafter"/>
              <w:jc w:val="right"/>
            </w:pPr>
            <w:r>
              <w:t>-</w:t>
            </w:r>
          </w:p>
        </w:tc>
      </w:tr>
      <w:tr w:rsidR="0041397D" w14:paraId="348D56B9" w14:textId="77777777" w:rsidTr="0041397D">
        <w:trPr>
          <w:cnfStyle w:val="000000010000" w:firstRow="0" w:lastRow="0" w:firstColumn="0" w:lastColumn="0" w:oddVBand="0" w:evenVBand="0" w:oddHBand="0" w:evenHBand="1" w:firstRowFirstColumn="0" w:firstRowLastColumn="0" w:lastRowFirstColumn="0" w:lastRowLastColumn="0"/>
          <w:trHeight w:val="295"/>
        </w:trPr>
        <w:tc>
          <w:tcPr>
            <w:tcW w:w="6280" w:type="dxa"/>
            <w:shd w:val="clear" w:color="auto" w:fill="BFBFBF"/>
          </w:tcPr>
          <w:p w14:paraId="1B4F8973" w14:textId="77777777" w:rsidR="0041397D" w:rsidRPr="00540CE1" w:rsidRDefault="0041397D" w:rsidP="00506E02">
            <w:pPr>
              <w:pStyle w:val="Tablebodytextnospaceafter"/>
              <w:rPr>
                <w:rStyle w:val="Emphasis"/>
              </w:rPr>
            </w:pPr>
            <w:r w:rsidRPr="00540CE1">
              <w:rPr>
                <w:rStyle w:val="Emphasis"/>
              </w:rPr>
              <w:t>Total</w:t>
            </w:r>
          </w:p>
        </w:tc>
        <w:tc>
          <w:tcPr>
            <w:tcW w:w="1494" w:type="dxa"/>
            <w:shd w:val="clear" w:color="auto" w:fill="BFBFBF"/>
          </w:tcPr>
          <w:p w14:paraId="5558B5C0" w14:textId="77777777" w:rsidR="0041397D" w:rsidRPr="00540CE1" w:rsidRDefault="0041397D" w:rsidP="00506E02">
            <w:pPr>
              <w:pStyle w:val="Tablebodytextnospaceafter"/>
              <w:jc w:val="right"/>
              <w:rPr>
                <w:rStyle w:val="Emphasis"/>
              </w:rPr>
            </w:pPr>
            <w:r>
              <w:rPr>
                <w:rStyle w:val="Emphasis"/>
              </w:rPr>
              <w:t>364</w:t>
            </w:r>
          </w:p>
        </w:tc>
        <w:tc>
          <w:tcPr>
            <w:tcW w:w="1494" w:type="dxa"/>
            <w:shd w:val="clear" w:color="auto" w:fill="BFBFBF"/>
          </w:tcPr>
          <w:p w14:paraId="474170B3" w14:textId="77777777" w:rsidR="0041397D" w:rsidRDefault="00A8743F" w:rsidP="00506E02">
            <w:pPr>
              <w:pStyle w:val="Tablebodytextnospaceafter"/>
              <w:jc w:val="right"/>
              <w:rPr>
                <w:rStyle w:val="Emphasis"/>
              </w:rPr>
            </w:pPr>
            <w:r>
              <w:rPr>
                <w:rStyle w:val="Emphasis"/>
              </w:rPr>
              <w:t>354</w:t>
            </w:r>
          </w:p>
        </w:tc>
      </w:tr>
    </w:tbl>
    <w:p w14:paraId="2D44CCED" w14:textId="5CDCF0C9" w:rsidR="00DF1795" w:rsidRDefault="005B795D" w:rsidP="00DF1795">
      <w:hyperlink w:anchor="Contents" w:history="1">
        <w:r w:rsidR="00DF1795" w:rsidRPr="00F5248A">
          <w:rPr>
            <w:rStyle w:val="Hyperlink"/>
          </w:rPr>
          <w:t>Back to contents</w:t>
        </w:r>
      </w:hyperlink>
      <w:r w:rsidR="00DF1795">
        <w:t>.</w:t>
      </w:r>
    </w:p>
    <w:p w14:paraId="43767225" w14:textId="77777777" w:rsidR="00DF1795" w:rsidRDefault="00DF1795" w:rsidP="00DF1795"/>
    <w:tbl>
      <w:tblPr>
        <w:tblStyle w:val="TableGridAnnualReport"/>
        <w:tblW w:w="9223" w:type="dxa"/>
        <w:tblLayout w:type="fixed"/>
        <w:tblLook w:val="0420" w:firstRow="1" w:lastRow="0" w:firstColumn="0" w:lastColumn="0" w:noHBand="0" w:noVBand="1"/>
        <w:tblCaption w:val="Table for formatting purposes"/>
      </w:tblPr>
      <w:tblGrid>
        <w:gridCol w:w="6249"/>
        <w:gridCol w:w="1487"/>
        <w:gridCol w:w="1487"/>
      </w:tblGrid>
      <w:tr w:rsidR="0041397D" w14:paraId="63C5ED42" w14:textId="77777777" w:rsidTr="0041397D">
        <w:trPr>
          <w:cnfStyle w:val="100000000000" w:firstRow="1" w:lastRow="0" w:firstColumn="0" w:lastColumn="0" w:oddVBand="0" w:evenVBand="0" w:oddHBand="0" w:evenHBand="0" w:firstRowFirstColumn="0" w:firstRowLastColumn="0" w:lastRowFirstColumn="0" w:lastRowLastColumn="0"/>
          <w:trHeight w:val="286"/>
        </w:trPr>
        <w:tc>
          <w:tcPr>
            <w:tcW w:w="6249" w:type="dxa"/>
          </w:tcPr>
          <w:p w14:paraId="3205CB4F" w14:textId="77777777" w:rsidR="0041397D" w:rsidRPr="00BE4BB3" w:rsidRDefault="001C7062" w:rsidP="00F15F11">
            <w:pPr>
              <w:pStyle w:val="Tableheadingrow1"/>
            </w:pPr>
            <w:r>
              <w:t>2</w:t>
            </w:r>
            <w:r w:rsidR="00F15F11">
              <w:t>0</w:t>
            </w:r>
            <w:r>
              <w:t xml:space="preserve">. </w:t>
            </w:r>
            <w:r w:rsidR="0041397D">
              <w:t>LGOIMA complaints received from</w:t>
            </w:r>
          </w:p>
        </w:tc>
        <w:tc>
          <w:tcPr>
            <w:tcW w:w="1487" w:type="dxa"/>
          </w:tcPr>
          <w:p w14:paraId="235575AF" w14:textId="77777777" w:rsidR="0041397D" w:rsidRDefault="0041397D" w:rsidP="00506E02">
            <w:pPr>
              <w:pStyle w:val="Tableheadingrow1"/>
              <w:jc w:val="right"/>
            </w:pPr>
            <w:r>
              <w:t>2018/19</w:t>
            </w:r>
          </w:p>
        </w:tc>
        <w:tc>
          <w:tcPr>
            <w:tcW w:w="1487" w:type="dxa"/>
          </w:tcPr>
          <w:p w14:paraId="20908834" w14:textId="77777777" w:rsidR="0041397D" w:rsidRDefault="0041397D" w:rsidP="00506E02">
            <w:pPr>
              <w:pStyle w:val="Tableheadingrow1"/>
              <w:jc w:val="right"/>
            </w:pPr>
          </w:p>
        </w:tc>
      </w:tr>
      <w:tr w:rsidR="00A8743F" w14:paraId="61229963"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49" w:type="dxa"/>
          </w:tcPr>
          <w:p w14:paraId="3B2BE9EC" w14:textId="77777777" w:rsidR="00A8743F" w:rsidRPr="00BE4BB3" w:rsidRDefault="00A8743F" w:rsidP="00506E02">
            <w:pPr>
              <w:pStyle w:val="Tablebodytextnospaceafter"/>
            </w:pPr>
            <w:r>
              <w:t>General public – i</w:t>
            </w:r>
            <w:r w:rsidRPr="00BE4BB3">
              <w:t>ndividuals</w:t>
            </w:r>
          </w:p>
        </w:tc>
        <w:tc>
          <w:tcPr>
            <w:tcW w:w="1487" w:type="dxa"/>
          </w:tcPr>
          <w:p w14:paraId="1EB9E09F" w14:textId="77777777" w:rsidR="00A8743F" w:rsidRDefault="00A8743F" w:rsidP="00506E02">
            <w:pPr>
              <w:pStyle w:val="Tablebodytextnospaceafter"/>
              <w:jc w:val="right"/>
            </w:pPr>
            <w:r>
              <w:t>300</w:t>
            </w:r>
          </w:p>
        </w:tc>
        <w:tc>
          <w:tcPr>
            <w:tcW w:w="1487" w:type="dxa"/>
          </w:tcPr>
          <w:p w14:paraId="5BEAFE17" w14:textId="77777777" w:rsidR="00A8743F" w:rsidRDefault="00A8743F" w:rsidP="00506E02">
            <w:pPr>
              <w:pStyle w:val="Tablebodytextnospaceafter"/>
              <w:jc w:val="right"/>
            </w:pPr>
            <w:r>
              <w:t>286</w:t>
            </w:r>
          </w:p>
        </w:tc>
      </w:tr>
      <w:tr w:rsidR="00A8743F" w14:paraId="61F08AF1"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49" w:type="dxa"/>
          </w:tcPr>
          <w:p w14:paraId="07634D6D" w14:textId="77777777" w:rsidR="00A8743F" w:rsidRPr="00BE4BB3" w:rsidRDefault="00A8743F" w:rsidP="00506E02">
            <w:pPr>
              <w:pStyle w:val="Tablebodytextnospaceafter"/>
            </w:pPr>
            <w:r w:rsidRPr="00BE4BB3">
              <w:t>Media</w:t>
            </w:r>
          </w:p>
        </w:tc>
        <w:tc>
          <w:tcPr>
            <w:tcW w:w="1487" w:type="dxa"/>
          </w:tcPr>
          <w:p w14:paraId="079DF5A4" w14:textId="77777777" w:rsidR="00A8743F" w:rsidRDefault="00A8743F" w:rsidP="00506E02">
            <w:pPr>
              <w:pStyle w:val="Tablebodytextnospaceafter"/>
              <w:jc w:val="right"/>
            </w:pPr>
            <w:r>
              <w:t>41</w:t>
            </w:r>
          </w:p>
        </w:tc>
        <w:tc>
          <w:tcPr>
            <w:tcW w:w="1487" w:type="dxa"/>
          </w:tcPr>
          <w:p w14:paraId="51E53A0B" w14:textId="77777777" w:rsidR="00A8743F" w:rsidRDefault="00A8743F" w:rsidP="00506E02">
            <w:pPr>
              <w:pStyle w:val="Tablebodytextnospaceafter"/>
              <w:jc w:val="right"/>
            </w:pPr>
            <w:r>
              <w:t>41</w:t>
            </w:r>
          </w:p>
        </w:tc>
      </w:tr>
      <w:tr w:rsidR="00A8743F" w14:paraId="345B1276"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49" w:type="dxa"/>
          </w:tcPr>
          <w:p w14:paraId="640F1C4F" w14:textId="77777777" w:rsidR="00A8743F" w:rsidRPr="00BE4BB3" w:rsidRDefault="00A8743F" w:rsidP="00506E02">
            <w:pPr>
              <w:pStyle w:val="Tablebodytextnospaceafter"/>
            </w:pPr>
            <w:r w:rsidRPr="00BE4BB3">
              <w:t>Companies, associations and incorporated societies</w:t>
            </w:r>
          </w:p>
        </w:tc>
        <w:tc>
          <w:tcPr>
            <w:tcW w:w="1487" w:type="dxa"/>
          </w:tcPr>
          <w:p w14:paraId="32BDFDF5" w14:textId="77777777" w:rsidR="00A8743F" w:rsidRDefault="00A8743F" w:rsidP="00506E02">
            <w:pPr>
              <w:pStyle w:val="Tablebodytextnospaceafter"/>
              <w:jc w:val="right"/>
            </w:pPr>
            <w:r>
              <w:t>17</w:t>
            </w:r>
          </w:p>
        </w:tc>
        <w:tc>
          <w:tcPr>
            <w:tcW w:w="1487" w:type="dxa"/>
          </w:tcPr>
          <w:p w14:paraId="3DC47220" w14:textId="77777777" w:rsidR="00A8743F" w:rsidRDefault="00A8743F" w:rsidP="00506E02">
            <w:pPr>
              <w:pStyle w:val="Tablebodytextnospaceafter"/>
              <w:jc w:val="right"/>
            </w:pPr>
            <w:r>
              <w:t>23</w:t>
            </w:r>
          </w:p>
        </w:tc>
      </w:tr>
      <w:tr w:rsidR="00A8743F" w14:paraId="5D66769C"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49" w:type="dxa"/>
          </w:tcPr>
          <w:p w14:paraId="24E014BB" w14:textId="77777777" w:rsidR="00A8743F" w:rsidRDefault="00A8743F" w:rsidP="00506E02">
            <w:pPr>
              <w:pStyle w:val="Tablebodytextnospaceafter"/>
            </w:pPr>
            <w:r>
              <w:t>Special interest groups</w:t>
            </w:r>
          </w:p>
        </w:tc>
        <w:tc>
          <w:tcPr>
            <w:tcW w:w="1487" w:type="dxa"/>
          </w:tcPr>
          <w:p w14:paraId="438817EF" w14:textId="77777777" w:rsidR="00A8743F" w:rsidRDefault="00A8743F" w:rsidP="00506E02">
            <w:pPr>
              <w:pStyle w:val="Tablebodytextnospaceafter"/>
              <w:jc w:val="right"/>
            </w:pPr>
            <w:r>
              <w:t>-</w:t>
            </w:r>
          </w:p>
        </w:tc>
        <w:tc>
          <w:tcPr>
            <w:tcW w:w="1487" w:type="dxa"/>
          </w:tcPr>
          <w:p w14:paraId="570B0909" w14:textId="77777777" w:rsidR="00A8743F" w:rsidRDefault="00A8743F" w:rsidP="00506E02">
            <w:pPr>
              <w:pStyle w:val="Tablebodytextnospaceafter"/>
              <w:jc w:val="right"/>
            </w:pPr>
            <w:r>
              <w:t>3</w:t>
            </w:r>
          </w:p>
        </w:tc>
      </w:tr>
      <w:tr w:rsidR="00A8743F" w14:paraId="483ECE2D"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49" w:type="dxa"/>
          </w:tcPr>
          <w:p w14:paraId="3EE11E6E" w14:textId="77777777" w:rsidR="00A8743F" w:rsidRDefault="00A8743F" w:rsidP="00506E02">
            <w:pPr>
              <w:pStyle w:val="Tablebodytextnospaceafter"/>
            </w:pPr>
            <w:r>
              <w:t>Researcher</w:t>
            </w:r>
          </w:p>
        </w:tc>
        <w:tc>
          <w:tcPr>
            <w:tcW w:w="1487" w:type="dxa"/>
          </w:tcPr>
          <w:p w14:paraId="5D59410B" w14:textId="77777777" w:rsidR="00A8743F" w:rsidRDefault="00A8743F" w:rsidP="00506E02">
            <w:pPr>
              <w:pStyle w:val="Tablebodytextnospaceafter"/>
              <w:jc w:val="right"/>
            </w:pPr>
            <w:r>
              <w:t>-</w:t>
            </w:r>
          </w:p>
        </w:tc>
        <w:tc>
          <w:tcPr>
            <w:tcW w:w="1487" w:type="dxa"/>
          </w:tcPr>
          <w:p w14:paraId="44213017" w14:textId="77777777" w:rsidR="00A8743F" w:rsidRDefault="00A8743F" w:rsidP="00506E02">
            <w:pPr>
              <w:pStyle w:val="Tablebodytextnospaceafter"/>
              <w:jc w:val="right"/>
            </w:pPr>
            <w:r>
              <w:t>1</w:t>
            </w:r>
          </w:p>
        </w:tc>
      </w:tr>
      <w:tr w:rsidR="00A8743F" w14:paraId="5F4DFA13"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49" w:type="dxa"/>
          </w:tcPr>
          <w:p w14:paraId="2C787CCD" w14:textId="77777777" w:rsidR="00A8743F" w:rsidRDefault="00A8743F" w:rsidP="00506E02">
            <w:pPr>
              <w:pStyle w:val="Tablebodytextnospaceafter"/>
            </w:pPr>
            <w:r>
              <w:t>Departments, government organisations and local authorities</w:t>
            </w:r>
          </w:p>
        </w:tc>
        <w:tc>
          <w:tcPr>
            <w:tcW w:w="1487" w:type="dxa"/>
          </w:tcPr>
          <w:p w14:paraId="25587FE5" w14:textId="77777777" w:rsidR="00A8743F" w:rsidRDefault="00A8743F" w:rsidP="00506E02">
            <w:pPr>
              <w:pStyle w:val="Tablebodytextnospaceafter"/>
              <w:jc w:val="right"/>
            </w:pPr>
            <w:r>
              <w:t>3</w:t>
            </w:r>
          </w:p>
        </w:tc>
        <w:tc>
          <w:tcPr>
            <w:tcW w:w="1487" w:type="dxa"/>
          </w:tcPr>
          <w:p w14:paraId="4F2F293D" w14:textId="77777777" w:rsidR="00A8743F" w:rsidRDefault="00A8743F" w:rsidP="00506E02">
            <w:pPr>
              <w:pStyle w:val="Tablebodytextnospaceafter"/>
              <w:jc w:val="right"/>
            </w:pPr>
            <w:r>
              <w:t>-</w:t>
            </w:r>
          </w:p>
        </w:tc>
      </w:tr>
      <w:tr w:rsidR="00A8743F" w14:paraId="1EC2BF5A"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49" w:type="dxa"/>
          </w:tcPr>
          <w:p w14:paraId="4D7FA0D7" w14:textId="77777777" w:rsidR="00A8743F" w:rsidRPr="00BE4BB3" w:rsidRDefault="00A8743F" w:rsidP="00506E02">
            <w:pPr>
              <w:pStyle w:val="Tablebodytextnospaceafter"/>
            </w:pPr>
            <w:r w:rsidRPr="00BE4BB3">
              <w:t>Members of Parliament</w:t>
            </w:r>
          </w:p>
        </w:tc>
        <w:tc>
          <w:tcPr>
            <w:tcW w:w="1487" w:type="dxa"/>
          </w:tcPr>
          <w:p w14:paraId="344A2E33" w14:textId="77777777" w:rsidR="00A8743F" w:rsidRDefault="00A8743F" w:rsidP="00506E02">
            <w:pPr>
              <w:pStyle w:val="Tablebodytextnospaceafter"/>
              <w:jc w:val="right"/>
            </w:pPr>
            <w:r>
              <w:t>3</w:t>
            </w:r>
          </w:p>
        </w:tc>
        <w:tc>
          <w:tcPr>
            <w:tcW w:w="1487" w:type="dxa"/>
          </w:tcPr>
          <w:p w14:paraId="1CDB290E" w14:textId="77777777" w:rsidR="00A8743F" w:rsidRDefault="00A8743F" w:rsidP="00506E02">
            <w:pPr>
              <w:pStyle w:val="Tablebodytextnospaceafter"/>
              <w:jc w:val="right"/>
            </w:pPr>
            <w:r>
              <w:t>-</w:t>
            </w:r>
          </w:p>
        </w:tc>
      </w:tr>
      <w:tr w:rsidR="0041397D" w14:paraId="50530128" w14:textId="77777777" w:rsidTr="0041397D">
        <w:trPr>
          <w:cnfStyle w:val="000000010000" w:firstRow="0" w:lastRow="0" w:firstColumn="0" w:lastColumn="0" w:oddVBand="0" w:evenVBand="0" w:oddHBand="0" w:evenHBand="1" w:firstRowFirstColumn="0" w:firstRowLastColumn="0" w:lastRowFirstColumn="0" w:lastRowLastColumn="0"/>
          <w:trHeight w:val="305"/>
        </w:trPr>
        <w:tc>
          <w:tcPr>
            <w:tcW w:w="6249" w:type="dxa"/>
            <w:shd w:val="clear" w:color="auto" w:fill="BFBFBF"/>
          </w:tcPr>
          <w:p w14:paraId="30339B31" w14:textId="77777777" w:rsidR="0041397D" w:rsidRPr="00FF1C66" w:rsidRDefault="0041397D" w:rsidP="00506E02">
            <w:pPr>
              <w:pStyle w:val="Tablebodytextnospaceafter"/>
              <w:rPr>
                <w:rStyle w:val="Emphasis"/>
              </w:rPr>
            </w:pPr>
            <w:r w:rsidRPr="00FF1C66">
              <w:rPr>
                <w:rStyle w:val="Emphasis"/>
              </w:rPr>
              <w:t>Total</w:t>
            </w:r>
          </w:p>
        </w:tc>
        <w:tc>
          <w:tcPr>
            <w:tcW w:w="1487" w:type="dxa"/>
            <w:shd w:val="clear" w:color="auto" w:fill="BFBFBF"/>
          </w:tcPr>
          <w:p w14:paraId="46D562D1" w14:textId="77777777" w:rsidR="0041397D" w:rsidRPr="00FF1C66" w:rsidRDefault="0041397D" w:rsidP="00506E02">
            <w:pPr>
              <w:pStyle w:val="Tablebodytextnospaceafter"/>
              <w:jc w:val="right"/>
              <w:rPr>
                <w:rStyle w:val="Emphasis"/>
              </w:rPr>
            </w:pPr>
            <w:r>
              <w:rPr>
                <w:rStyle w:val="Emphasis"/>
              </w:rPr>
              <w:t>364</w:t>
            </w:r>
          </w:p>
        </w:tc>
        <w:tc>
          <w:tcPr>
            <w:tcW w:w="1487" w:type="dxa"/>
            <w:shd w:val="clear" w:color="auto" w:fill="BFBFBF"/>
          </w:tcPr>
          <w:p w14:paraId="033CD8BA" w14:textId="77777777" w:rsidR="0041397D" w:rsidRDefault="00A8743F" w:rsidP="00506E02">
            <w:pPr>
              <w:pStyle w:val="Tablebodytextnospaceafter"/>
              <w:jc w:val="right"/>
              <w:rPr>
                <w:rStyle w:val="Emphasis"/>
              </w:rPr>
            </w:pPr>
            <w:r>
              <w:rPr>
                <w:rStyle w:val="Emphasis"/>
              </w:rPr>
              <w:t>354</w:t>
            </w:r>
          </w:p>
        </w:tc>
      </w:tr>
    </w:tbl>
    <w:p w14:paraId="1B602E1B" w14:textId="230E2A49" w:rsidR="00DF1795" w:rsidRDefault="005B795D" w:rsidP="00DF1795">
      <w:pPr>
        <w:pStyle w:val="BodyText"/>
      </w:pPr>
      <w:hyperlink w:anchor="Contents" w:history="1">
        <w:r w:rsidR="00DF1795" w:rsidRPr="00F5248A">
          <w:rPr>
            <w:rStyle w:val="Hyperlink"/>
          </w:rPr>
          <w:t>Back to contents</w:t>
        </w:r>
      </w:hyperlink>
    </w:p>
    <w:p w14:paraId="53D592BB" w14:textId="77777777" w:rsidR="00DF1795" w:rsidRDefault="00DF1795" w:rsidP="00DF1795">
      <w:pPr>
        <w:pStyle w:val="BodyText"/>
      </w:pPr>
    </w:p>
    <w:tbl>
      <w:tblPr>
        <w:tblStyle w:val="TableGridAnnualReport"/>
        <w:tblW w:w="9268" w:type="dxa"/>
        <w:tblInd w:w="20" w:type="dxa"/>
        <w:tblLayout w:type="fixed"/>
        <w:tblLook w:val="0420" w:firstRow="1" w:lastRow="0" w:firstColumn="0" w:lastColumn="0" w:noHBand="0" w:noVBand="1"/>
        <w:tblCaption w:val="Table for formatting purposes"/>
      </w:tblPr>
      <w:tblGrid>
        <w:gridCol w:w="6260"/>
        <w:gridCol w:w="1504"/>
        <w:gridCol w:w="1504"/>
      </w:tblGrid>
      <w:tr w:rsidR="0041397D" w14:paraId="46540E63" w14:textId="77777777" w:rsidTr="0041397D">
        <w:trPr>
          <w:cnfStyle w:val="100000000000" w:firstRow="1" w:lastRow="0" w:firstColumn="0" w:lastColumn="0" w:oddVBand="0" w:evenVBand="0" w:oddHBand="0" w:evenHBand="0" w:firstRowFirstColumn="0" w:firstRowLastColumn="0" w:lastRowFirstColumn="0" w:lastRowLastColumn="0"/>
          <w:trHeight w:val="326"/>
        </w:trPr>
        <w:tc>
          <w:tcPr>
            <w:tcW w:w="6260" w:type="dxa"/>
          </w:tcPr>
          <w:p w14:paraId="436AF05E" w14:textId="77777777" w:rsidR="0041397D" w:rsidRPr="00E02014" w:rsidRDefault="001C7062" w:rsidP="00F15F11">
            <w:pPr>
              <w:pStyle w:val="Tableheadingrow1"/>
            </w:pPr>
            <w:r>
              <w:t>2</w:t>
            </w:r>
            <w:r w:rsidR="00F15F11">
              <w:t>1</w:t>
            </w:r>
            <w:r>
              <w:t xml:space="preserve">. </w:t>
            </w:r>
            <w:r w:rsidR="0041397D">
              <w:t>LGOIMA</w:t>
            </w:r>
            <w:r w:rsidR="0041397D" w:rsidRPr="00E02014">
              <w:t xml:space="preserve"> complaints received against</w:t>
            </w:r>
          </w:p>
        </w:tc>
        <w:tc>
          <w:tcPr>
            <w:tcW w:w="1504" w:type="dxa"/>
          </w:tcPr>
          <w:p w14:paraId="78941738" w14:textId="77777777" w:rsidR="0041397D" w:rsidRDefault="0041397D" w:rsidP="00506E02">
            <w:pPr>
              <w:pStyle w:val="Tableheadingrow1"/>
              <w:jc w:val="right"/>
            </w:pPr>
            <w:r>
              <w:t>2018/19</w:t>
            </w:r>
          </w:p>
        </w:tc>
        <w:tc>
          <w:tcPr>
            <w:tcW w:w="1504" w:type="dxa"/>
          </w:tcPr>
          <w:p w14:paraId="644BADB6" w14:textId="77777777" w:rsidR="0041397D" w:rsidRDefault="00A8743F" w:rsidP="00506E02">
            <w:pPr>
              <w:pStyle w:val="Tableheadingrow1"/>
              <w:jc w:val="right"/>
            </w:pPr>
            <w:r>
              <w:t>2019/20</w:t>
            </w:r>
          </w:p>
        </w:tc>
      </w:tr>
      <w:tr w:rsidR="0041397D" w14:paraId="4CDDBD40"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60" w:type="dxa"/>
          </w:tcPr>
          <w:p w14:paraId="21B8BBB1" w14:textId="77777777" w:rsidR="0041397D" w:rsidRPr="00BE4BB3" w:rsidRDefault="0041397D" w:rsidP="00506E02">
            <w:pPr>
              <w:pStyle w:val="Tablebodytextnospaceafter"/>
            </w:pPr>
            <w:r w:rsidRPr="00BE4BB3">
              <w:t>District Councils</w:t>
            </w:r>
          </w:p>
        </w:tc>
        <w:tc>
          <w:tcPr>
            <w:tcW w:w="1504" w:type="dxa"/>
          </w:tcPr>
          <w:p w14:paraId="470532F7" w14:textId="77777777" w:rsidR="0041397D" w:rsidRDefault="0041397D" w:rsidP="00506E02">
            <w:pPr>
              <w:pStyle w:val="Tablebodytextnospaceafter"/>
              <w:jc w:val="right"/>
            </w:pPr>
            <w:r>
              <w:t>110</w:t>
            </w:r>
          </w:p>
        </w:tc>
        <w:tc>
          <w:tcPr>
            <w:tcW w:w="1504" w:type="dxa"/>
          </w:tcPr>
          <w:p w14:paraId="2D811A61" w14:textId="77777777" w:rsidR="0041397D" w:rsidRDefault="00A8743F" w:rsidP="00252CF6">
            <w:pPr>
              <w:pStyle w:val="Tablebodytextnospaceafter"/>
              <w:jc w:val="right"/>
            </w:pPr>
            <w:r>
              <w:t>12</w:t>
            </w:r>
            <w:r w:rsidR="00252CF6">
              <w:t>4</w:t>
            </w:r>
          </w:p>
        </w:tc>
      </w:tr>
      <w:tr w:rsidR="0041397D" w14:paraId="72E1A88E" w14:textId="77777777" w:rsidTr="0041397D">
        <w:trPr>
          <w:cnfStyle w:val="000000010000" w:firstRow="0" w:lastRow="0" w:firstColumn="0" w:lastColumn="0" w:oddVBand="0" w:evenVBand="0" w:oddHBand="0" w:evenHBand="1" w:firstRowFirstColumn="0" w:firstRowLastColumn="0" w:lastRowFirstColumn="0" w:lastRowLastColumn="0"/>
          <w:trHeight w:val="283"/>
        </w:trPr>
        <w:tc>
          <w:tcPr>
            <w:tcW w:w="6260" w:type="dxa"/>
          </w:tcPr>
          <w:p w14:paraId="71B21B0F" w14:textId="77777777" w:rsidR="0041397D" w:rsidRPr="00BE4BB3" w:rsidRDefault="0041397D" w:rsidP="00506E02">
            <w:pPr>
              <w:pStyle w:val="Tablebodytextnospaceafter"/>
            </w:pPr>
            <w:r w:rsidRPr="00BE4BB3">
              <w:t>City Councils</w:t>
            </w:r>
            <w:r>
              <w:t xml:space="preserve"> (not including Auckland Council)</w:t>
            </w:r>
          </w:p>
        </w:tc>
        <w:tc>
          <w:tcPr>
            <w:tcW w:w="1504" w:type="dxa"/>
          </w:tcPr>
          <w:p w14:paraId="58C51458" w14:textId="77777777" w:rsidR="0041397D" w:rsidRDefault="0041397D" w:rsidP="00506E02">
            <w:pPr>
              <w:pStyle w:val="Tablebodytextnospaceafter"/>
              <w:jc w:val="right"/>
            </w:pPr>
            <w:r>
              <w:t>92</w:t>
            </w:r>
          </w:p>
        </w:tc>
        <w:tc>
          <w:tcPr>
            <w:tcW w:w="1504" w:type="dxa"/>
          </w:tcPr>
          <w:p w14:paraId="1BAA6497" w14:textId="77777777" w:rsidR="0041397D" w:rsidRDefault="005E169F" w:rsidP="00506E02">
            <w:pPr>
              <w:pStyle w:val="Tablebodytextnospaceafter"/>
              <w:jc w:val="right"/>
            </w:pPr>
            <w:r>
              <w:t>117</w:t>
            </w:r>
          </w:p>
        </w:tc>
      </w:tr>
      <w:tr w:rsidR="0041397D" w14:paraId="6491DF17" w14:textId="77777777" w:rsidTr="0041397D">
        <w:trPr>
          <w:cnfStyle w:val="000000100000" w:firstRow="0" w:lastRow="0" w:firstColumn="0" w:lastColumn="0" w:oddVBand="0" w:evenVBand="0" w:oddHBand="1" w:evenHBand="0" w:firstRowFirstColumn="0" w:firstRowLastColumn="0" w:lastRowFirstColumn="0" w:lastRowLastColumn="0"/>
          <w:trHeight w:val="283"/>
        </w:trPr>
        <w:tc>
          <w:tcPr>
            <w:tcW w:w="6260" w:type="dxa"/>
          </w:tcPr>
          <w:p w14:paraId="560C3629" w14:textId="77777777" w:rsidR="0041397D" w:rsidRPr="00227F72" w:rsidRDefault="0041397D" w:rsidP="00506E02">
            <w:pPr>
              <w:pStyle w:val="Tablebodytextnospaceafter"/>
              <w:rPr>
                <w:rStyle w:val="Italics"/>
              </w:rPr>
            </w:pPr>
            <w:r>
              <w:rPr>
                <w:rStyle w:val="Italics"/>
              </w:rPr>
              <w:t xml:space="preserve">    </w:t>
            </w:r>
            <w:r w:rsidRPr="00227F72">
              <w:rPr>
                <w:rStyle w:val="Italics"/>
              </w:rPr>
              <w:t xml:space="preserve">Christchurch City Council </w:t>
            </w:r>
          </w:p>
        </w:tc>
        <w:tc>
          <w:tcPr>
            <w:tcW w:w="1504" w:type="dxa"/>
          </w:tcPr>
          <w:p w14:paraId="2D86B65C" w14:textId="77777777" w:rsidR="0041397D" w:rsidRPr="00227F72" w:rsidRDefault="0041397D" w:rsidP="00506E02">
            <w:pPr>
              <w:pStyle w:val="Tablebodytextnospaceafter"/>
              <w:rPr>
                <w:rStyle w:val="Italics"/>
              </w:rPr>
            </w:pPr>
            <w:r>
              <w:rPr>
                <w:rStyle w:val="Italics"/>
              </w:rPr>
              <w:t>23</w:t>
            </w:r>
          </w:p>
        </w:tc>
        <w:tc>
          <w:tcPr>
            <w:tcW w:w="1504" w:type="dxa"/>
          </w:tcPr>
          <w:p w14:paraId="240EBDBE" w14:textId="77777777" w:rsidR="0041397D" w:rsidRDefault="00003E25" w:rsidP="00506E02">
            <w:pPr>
              <w:pStyle w:val="Tablebodytextnospaceafter"/>
              <w:rPr>
                <w:rStyle w:val="Italics"/>
              </w:rPr>
            </w:pPr>
            <w:r>
              <w:rPr>
                <w:rStyle w:val="Italics"/>
              </w:rPr>
              <w:t>25</w:t>
            </w:r>
          </w:p>
        </w:tc>
      </w:tr>
      <w:tr w:rsidR="0041397D" w14:paraId="28B5CB6E" w14:textId="77777777" w:rsidTr="0041397D">
        <w:trPr>
          <w:cnfStyle w:val="000000010000" w:firstRow="0" w:lastRow="0" w:firstColumn="0" w:lastColumn="0" w:oddVBand="0" w:evenVBand="0" w:oddHBand="0" w:evenHBand="1" w:firstRowFirstColumn="0" w:firstRowLastColumn="0" w:lastRowFirstColumn="0" w:lastRowLastColumn="0"/>
          <w:trHeight w:val="283"/>
        </w:trPr>
        <w:tc>
          <w:tcPr>
            <w:tcW w:w="6260" w:type="dxa"/>
          </w:tcPr>
          <w:p w14:paraId="4B28509E" w14:textId="77777777" w:rsidR="0041397D" w:rsidRPr="00227F72" w:rsidRDefault="0041397D" w:rsidP="00506E02">
            <w:pPr>
              <w:pStyle w:val="Tablebodytextnospaceafter"/>
              <w:rPr>
                <w:rStyle w:val="Italics"/>
              </w:rPr>
            </w:pPr>
            <w:r>
              <w:rPr>
                <w:rStyle w:val="Italics"/>
              </w:rPr>
              <w:t xml:space="preserve">    </w:t>
            </w:r>
            <w:r w:rsidRPr="00227F72">
              <w:rPr>
                <w:rStyle w:val="Italics"/>
              </w:rPr>
              <w:t xml:space="preserve">Wellington City Council </w:t>
            </w:r>
          </w:p>
        </w:tc>
        <w:tc>
          <w:tcPr>
            <w:tcW w:w="1504" w:type="dxa"/>
          </w:tcPr>
          <w:p w14:paraId="64A9A060" w14:textId="77777777" w:rsidR="0041397D" w:rsidRPr="00227F72" w:rsidRDefault="0041397D" w:rsidP="00506E02">
            <w:pPr>
              <w:pStyle w:val="Tablebodytextnospaceafter"/>
              <w:rPr>
                <w:rStyle w:val="Italics"/>
              </w:rPr>
            </w:pPr>
            <w:r>
              <w:rPr>
                <w:rStyle w:val="Italics"/>
              </w:rPr>
              <w:t>13</w:t>
            </w:r>
          </w:p>
        </w:tc>
        <w:tc>
          <w:tcPr>
            <w:tcW w:w="1504" w:type="dxa"/>
          </w:tcPr>
          <w:p w14:paraId="5A7A810E" w14:textId="77777777" w:rsidR="0041397D" w:rsidRDefault="00003E25" w:rsidP="00506E02">
            <w:pPr>
              <w:pStyle w:val="Tablebodytextnospaceafter"/>
              <w:rPr>
                <w:rStyle w:val="Italics"/>
              </w:rPr>
            </w:pPr>
            <w:r>
              <w:rPr>
                <w:rStyle w:val="Italics"/>
              </w:rPr>
              <w:t>25</w:t>
            </w:r>
          </w:p>
        </w:tc>
      </w:tr>
      <w:tr w:rsidR="0041397D" w14:paraId="21D8F00C" w14:textId="77777777" w:rsidTr="0041397D">
        <w:trPr>
          <w:cnfStyle w:val="000000100000" w:firstRow="0" w:lastRow="0" w:firstColumn="0" w:lastColumn="0" w:oddVBand="0" w:evenVBand="0" w:oddHBand="1" w:evenHBand="0" w:firstRowFirstColumn="0" w:firstRowLastColumn="0" w:lastRowFirstColumn="0" w:lastRowLastColumn="0"/>
          <w:trHeight w:val="283"/>
        </w:trPr>
        <w:tc>
          <w:tcPr>
            <w:tcW w:w="6260" w:type="dxa"/>
            <w:tcBorders>
              <w:bottom w:val="single" w:sz="4" w:space="0" w:color="FFFFFF" w:themeColor="background1"/>
            </w:tcBorders>
          </w:tcPr>
          <w:p w14:paraId="614A1087" w14:textId="77777777" w:rsidR="0041397D" w:rsidRPr="00BE4BB3" w:rsidRDefault="0041397D" w:rsidP="00506E02">
            <w:pPr>
              <w:pStyle w:val="Tablebodytextnospaceafter"/>
            </w:pPr>
            <w:r>
              <w:t xml:space="preserve">Auckland Council </w:t>
            </w:r>
          </w:p>
        </w:tc>
        <w:tc>
          <w:tcPr>
            <w:tcW w:w="1504" w:type="dxa"/>
          </w:tcPr>
          <w:p w14:paraId="7168F583" w14:textId="77777777" w:rsidR="0041397D" w:rsidRDefault="0041397D" w:rsidP="00506E02">
            <w:pPr>
              <w:pStyle w:val="Tablebodytextnospaceafter"/>
              <w:jc w:val="right"/>
            </w:pPr>
            <w:r>
              <w:t>63</w:t>
            </w:r>
          </w:p>
        </w:tc>
        <w:tc>
          <w:tcPr>
            <w:tcW w:w="1504" w:type="dxa"/>
          </w:tcPr>
          <w:p w14:paraId="629FA710" w14:textId="77777777" w:rsidR="0041397D" w:rsidRDefault="005E169F" w:rsidP="00506E02">
            <w:pPr>
              <w:pStyle w:val="Tablebodytextnospaceafter"/>
              <w:jc w:val="right"/>
            </w:pPr>
            <w:r>
              <w:t>48</w:t>
            </w:r>
          </w:p>
        </w:tc>
      </w:tr>
      <w:tr w:rsidR="0041397D" w14:paraId="3671A49B" w14:textId="77777777" w:rsidTr="0041397D">
        <w:trPr>
          <w:cnfStyle w:val="000000010000" w:firstRow="0" w:lastRow="0" w:firstColumn="0" w:lastColumn="0" w:oddVBand="0" w:evenVBand="0" w:oddHBand="0" w:evenHBand="1" w:firstRowFirstColumn="0" w:firstRowLastColumn="0" w:lastRowFirstColumn="0" w:lastRowLastColumn="0"/>
          <w:trHeight w:val="283"/>
        </w:trPr>
        <w:tc>
          <w:tcPr>
            <w:tcW w:w="6260" w:type="dxa"/>
            <w:tcBorders>
              <w:top w:val="single" w:sz="4" w:space="0" w:color="FFFFFF" w:themeColor="background1"/>
            </w:tcBorders>
          </w:tcPr>
          <w:p w14:paraId="1A7DD108" w14:textId="77777777" w:rsidR="0041397D" w:rsidRPr="00BE4BB3" w:rsidRDefault="0041397D" w:rsidP="00506E02">
            <w:pPr>
              <w:pStyle w:val="Tablebodytextnospaceafter"/>
            </w:pPr>
            <w:r w:rsidRPr="00BE4BB3">
              <w:t xml:space="preserve">Regional </w:t>
            </w:r>
            <w:r>
              <w:t>c</w:t>
            </w:r>
            <w:r w:rsidRPr="00BE4BB3">
              <w:t xml:space="preserve">ouncils </w:t>
            </w:r>
          </w:p>
        </w:tc>
        <w:tc>
          <w:tcPr>
            <w:tcW w:w="1504" w:type="dxa"/>
          </w:tcPr>
          <w:p w14:paraId="67C8DD1F" w14:textId="77777777" w:rsidR="0041397D" w:rsidRDefault="0041397D" w:rsidP="00506E02">
            <w:pPr>
              <w:pStyle w:val="Tablebodytextnospaceafter"/>
              <w:jc w:val="right"/>
            </w:pPr>
            <w:r>
              <w:t>52</w:t>
            </w:r>
          </w:p>
        </w:tc>
        <w:tc>
          <w:tcPr>
            <w:tcW w:w="1504" w:type="dxa"/>
          </w:tcPr>
          <w:p w14:paraId="1FD7D777" w14:textId="77777777" w:rsidR="0041397D" w:rsidRDefault="005E169F" w:rsidP="00506E02">
            <w:pPr>
              <w:pStyle w:val="Tablebodytextnospaceafter"/>
              <w:jc w:val="right"/>
            </w:pPr>
            <w:r>
              <w:t>29</w:t>
            </w:r>
          </w:p>
        </w:tc>
      </w:tr>
      <w:tr w:rsidR="0041397D" w14:paraId="64A2E0E5" w14:textId="77777777" w:rsidTr="0041397D">
        <w:trPr>
          <w:cnfStyle w:val="000000100000" w:firstRow="0" w:lastRow="0" w:firstColumn="0" w:lastColumn="0" w:oddVBand="0" w:evenVBand="0" w:oddHBand="1" w:evenHBand="0" w:firstRowFirstColumn="0" w:firstRowLastColumn="0" w:lastRowFirstColumn="0" w:lastRowLastColumn="0"/>
          <w:trHeight w:val="283"/>
        </w:trPr>
        <w:tc>
          <w:tcPr>
            <w:tcW w:w="6260" w:type="dxa"/>
          </w:tcPr>
          <w:p w14:paraId="40C4A6E0" w14:textId="77777777" w:rsidR="0041397D" w:rsidRPr="00BE4BB3" w:rsidRDefault="0041397D" w:rsidP="00506E02">
            <w:pPr>
              <w:pStyle w:val="Tablebodytextnospaceafter"/>
            </w:pPr>
            <w:r w:rsidRPr="00BE4BB3">
              <w:t xml:space="preserve">Council </w:t>
            </w:r>
            <w:r>
              <w:t>C</w:t>
            </w:r>
            <w:r w:rsidRPr="00BE4BB3">
              <w:t xml:space="preserve">ontrolled </w:t>
            </w:r>
            <w:r>
              <w:t>O</w:t>
            </w:r>
            <w:r w:rsidRPr="00BE4BB3">
              <w:t>rganisations</w:t>
            </w:r>
            <w:r>
              <w:t xml:space="preserve"> (including Auckland Transport)</w:t>
            </w:r>
          </w:p>
        </w:tc>
        <w:tc>
          <w:tcPr>
            <w:tcW w:w="1504" w:type="dxa"/>
          </w:tcPr>
          <w:p w14:paraId="5342ADAD" w14:textId="77777777" w:rsidR="0041397D" w:rsidRDefault="0041397D" w:rsidP="00506E02">
            <w:pPr>
              <w:pStyle w:val="Tablebodytextnospaceafter"/>
              <w:jc w:val="right"/>
            </w:pPr>
            <w:r>
              <w:t>36</w:t>
            </w:r>
          </w:p>
        </w:tc>
        <w:tc>
          <w:tcPr>
            <w:tcW w:w="1504" w:type="dxa"/>
          </w:tcPr>
          <w:p w14:paraId="400D9892" w14:textId="77777777" w:rsidR="0041397D" w:rsidRDefault="005E169F" w:rsidP="00252CF6">
            <w:pPr>
              <w:pStyle w:val="Tablebodytextnospaceafter"/>
              <w:jc w:val="right"/>
            </w:pPr>
            <w:r>
              <w:t>3</w:t>
            </w:r>
            <w:r w:rsidR="00252CF6">
              <w:t>4</w:t>
            </w:r>
          </w:p>
        </w:tc>
      </w:tr>
      <w:tr w:rsidR="0041397D" w14:paraId="06EB36D6" w14:textId="77777777" w:rsidTr="0041397D">
        <w:trPr>
          <w:cnfStyle w:val="000000010000" w:firstRow="0" w:lastRow="0" w:firstColumn="0" w:lastColumn="0" w:oddVBand="0" w:evenVBand="0" w:oddHBand="0" w:evenHBand="1" w:firstRowFirstColumn="0" w:firstRowLastColumn="0" w:lastRowFirstColumn="0" w:lastRowLastColumn="0"/>
          <w:trHeight w:val="283"/>
        </w:trPr>
        <w:tc>
          <w:tcPr>
            <w:tcW w:w="6260" w:type="dxa"/>
          </w:tcPr>
          <w:p w14:paraId="579A9272" w14:textId="77777777" w:rsidR="0041397D" w:rsidRPr="00227F72" w:rsidRDefault="0041397D" w:rsidP="00506E02">
            <w:pPr>
              <w:pStyle w:val="Tablebodytextnospaceafter"/>
              <w:rPr>
                <w:rStyle w:val="Italics"/>
              </w:rPr>
            </w:pPr>
            <w:r>
              <w:rPr>
                <w:rStyle w:val="Italics"/>
              </w:rPr>
              <w:t xml:space="preserve">    </w:t>
            </w:r>
            <w:r w:rsidRPr="00227F72">
              <w:rPr>
                <w:rStyle w:val="Italics"/>
              </w:rPr>
              <w:t>Auckland Transport</w:t>
            </w:r>
          </w:p>
        </w:tc>
        <w:tc>
          <w:tcPr>
            <w:tcW w:w="1504" w:type="dxa"/>
          </w:tcPr>
          <w:p w14:paraId="5FF116C6" w14:textId="77777777" w:rsidR="0041397D" w:rsidRPr="00227F72" w:rsidRDefault="0041397D" w:rsidP="00506E02">
            <w:pPr>
              <w:pStyle w:val="Tablebodytextnospaceafter"/>
              <w:rPr>
                <w:rStyle w:val="Italics"/>
              </w:rPr>
            </w:pPr>
            <w:r>
              <w:rPr>
                <w:rStyle w:val="Italics"/>
              </w:rPr>
              <w:t>27</w:t>
            </w:r>
          </w:p>
        </w:tc>
        <w:tc>
          <w:tcPr>
            <w:tcW w:w="1504" w:type="dxa"/>
          </w:tcPr>
          <w:p w14:paraId="3F039155" w14:textId="77777777" w:rsidR="0041397D" w:rsidRDefault="005E169F" w:rsidP="00506E02">
            <w:pPr>
              <w:pStyle w:val="Tablebodytextnospaceafter"/>
              <w:rPr>
                <w:rStyle w:val="Italics"/>
              </w:rPr>
            </w:pPr>
            <w:r>
              <w:rPr>
                <w:rStyle w:val="Italics"/>
              </w:rPr>
              <w:t>20</w:t>
            </w:r>
          </w:p>
        </w:tc>
      </w:tr>
      <w:tr w:rsidR="0041397D" w14:paraId="0D94EC74"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60" w:type="dxa"/>
          </w:tcPr>
          <w:p w14:paraId="08A351C3" w14:textId="77777777" w:rsidR="0041397D" w:rsidRPr="00BE4BB3" w:rsidRDefault="0041397D" w:rsidP="00506E02">
            <w:pPr>
              <w:pStyle w:val="Tablebodytextnospaceafter"/>
            </w:pPr>
            <w:r>
              <w:t>Other</w:t>
            </w:r>
          </w:p>
        </w:tc>
        <w:tc>
          <w:tcPr>
            <w:tcW w:w="1504" w:type="dxa"/>
          </w:tcPr>
          <w:p w14:paraId="7C846B25" w14:textId="77777777" w:rsidR="0041397D" w:rsidRDefault="0041397D" w:rsidP="00506E02">
            <w:pPr>
              <w:pStyle w:val="Tablebodytextnospaceafter"/>
              <w:jc w:val="right"/>
            </w:pPr>
            <w:r>
              <w:t>11</w:t>
            </w:r>
          </w:p>
        </w:tc>
        <w:tc>
          <w:tcPr>
            <w:tcW w:w="1504" w:type="dxa"/>
          </w:tcPr>
          <w:p w14:paraId="7F0F6B51" w14:textId="77777777" w:rsidR="0041397D" w:rsidRDefault="005E169F" w:rsidP="00506E02">
            <w:pPr>
              <w:pStyle w:val="Tablebodytextnospaceafter"/>
              <w:jc w:val="right"/>
            </w:pPr>
            <w:r>
              <w:t>2</w:t>
            </w:r>
          </w:p>
        </w:tc>
      </w:tr>
      <w:tr w:rsidR="0041397D" w14:paraId="40FD861F" w14:textId="77777777" w:rsidTr="0041397D">
        <w:trPr>
          <w:cnfStyle w:val="000000010000" w:firstRow="0" w:lastRow="0" w:firstColumn="0" w:lastColumn="0" w:oddVBand="0" w:evenVBand="0" w:oddHBand="0" w:evenHBand="1" w:firstRowFirstColumn="0" w:firstRowLastColumn="0" w:lastRowFirstColumn="0" w:lastRowLastColumn="0"/>
          <w:trHeight w:val="283"/>
        </w:trPr>
        <w:tc>
          <w:tcPr>
            <w:tcW w:w="6260" w:type="dxa"/>
            <w:shd w:val="clear" w:color="auto" w:fill="BFBFBF"/>
          </w:tcPr>
          <w:p w14:paraId="253FD284" w14:textId="77777777" w:rsidR="0041397D" w:rsidRPr="00F75F26" w:rsidRDefault="0041397D" w:rsidP="00506E02">
            <w:pPr>
              <w:pStyle w:val="Tablebodytextnospaceafter"/>
              <w:rPr>
                <w:rStyle w:val="Emphasis"/>
              </w:rPr>
            </w:pPr>
            <w:r w:rsidRPr="00F75F26">
              <w:rPr>
                <w:rStyle w:val="Emphasis"/>
              </w:rPr>
              <w:t>Total</w:t>
            </w:r>
          </w:p>
        </w:tc>
        <w:tc>
          <w:tcPr>
            <w:tcW w:w="1504" w:type="dxa"/>
            <w:shd w:val="clear" w:color="auto" w:fill="BFBFBF"/>
          </w:tcPr>
          <w:p w14:paraId="1C7BEA85" w14:textId="77777777" w:rsidR="0041397D" w:rsidRPr="00F75F26" w:rsidRDefault="0041397D" w:rsidP="00506E02">
            <w:pPr>
              <w:pStyle w:val="Tablebodytextnospaceafter"/>
              <w:jc w:val="right"/>
              <w:rPr>
                <w:rStyle w:val="Emphasis"/>
              </w:rPr>
            </w:pPr>
            <w:r>
              <w:rPr>
                <w:rStyle w:val="Emphasis"/>
              </w:rPr>
              <w:t>364</w:t>
            </w:r>
          </w:p>
        </w:tc>
        <w:tc>
          <w:tcPr>
            <w:tcW w:w="1504" w:type="dxa"/>
            <w:shd w:val="clear" w:color="auto" w:fill="BFBFBF"/>
          </w:tcPr>
          <w:p w14:paraId="58E0BE9E" w14:textId="77777777" w:rsidR="0041397D" w:rsidRDefault="005E169F" w:rsidP="00506E02">
            <w:pPr>
              <w:pStyle w:val="Tablebodytextnospaceafter"/>
              <w:jc w:val="right"/>
              <w:rPr>
                <w:rStyle w:val="Emphasis"/>
              </w:rPr>
            </w:pPr>
            <w:r>
              <w:rPr>
                <w:rStyle w:val="Emphasis"/>
              </w:rPr>
              <w:t>354</w:t>
            </w:r>
          </w:p>
        </w:tc>
      </w:tr>
    </w:tbl>
    <w:p w14:paraId="590F1B1E" w14:textId="7178EF22" w:rsidR="00DF1795" w:rsidRDefault="005B795D" w:rsidP="00DF1795">
      <w:hyperlink w:anchor="Contents" w:history="1">
        <w:r w:rsidR="00DF1795" w:rsidRPr="00F5248A">
          <w:rPr>
            <w:rStyle w:val="Hyperlink"/>
          </w:rPr>
          <w:t>Back to contents</w:t>
        </w:r>
      </w:hyperlink>
      <w:r w:rsidR="00DF1795">
        <w:t>.</w:t>
      </w:r>
    </w:p>
    <w:p w14:paraId="33902F28" w14:textId="77777777" w:rsidR="00DF1795" w:rsidRDefault="00DF1795" w:rsidP="00DF1795">
      <w:pPr>
        <w:pStyle w:val="BodyText"/>
      </w:pPr>
    </w:p>
    <w:tbl>
      <w:tblPr>
        <w:tblStyle w:val="TableGridAnnualReport"/>
        <w:tblW w:w="9318" w:type="dxa"/>
        <w:tblInd w:w="-40" w:type="dxa"/>
        <w:tblLayout w:type="fixed"/>
        <w:tblLook w:val="0420" w:firstRow="1" w:lastRow="0" w:firstColumn="0" w:lastColumn="0" w:noHBand="0" w:noVBand="1"/>
        <w:tblCaption w:val="How LGOIMA complaints were dealt with"/>
      </w:tblPr>
      <w:tblGrid>
        <w:gridCol w:w="6224"/>
        <w:gridCol w:w="1547"/>
        <w:gridCol w:w="1547"/>
      </w:tblGrid>
      <w:tr w:rsidR="0041397D" w14:paraId="57551487" w14:textId="77777777" w:rsidTr="0041397D">
        <w:trPr>
          <w:cnfStyle w:val="100000000000" w:firstRow="1" w:lastRow="0" w:firstColumn="0" w:lastColumn="0" w:oddVBand="0" w:evenVBand="0" w:oddHBand="0" w:evenHBand="0" w:firstRowFirstColumn="0" w:firstRowLastColumn="0" w:lastRowFirstColumn="0" w:lastRowLastColumn="0"/>
          <w:trHeight w:val="60"/>
        </w:trPr>
        <w:tc>
          <w:tcPr>
            <w:tcW w:w="6224" w:type="dxa"/>
          </w:tcPr>
          <w:p w14:paraId="3D6DE287" w14:textId="77777777" w:rsidR="0041397D" w:rsidRPr="00BE4BB3" w:rsidRDefault="001C7062" w:rsidP="00F15F11">
            <w:pPr>
              <w:pStyle w:val="Tableheadingrow1"/>
            </w:pPr>
            <w:r>
              <w:t>2</w:t>
            </w:r>
            <w:r w:rsidR="00F15F11">
              <w:t>2</w:t>
            </w:r>
            <w:r>
              <w:t xml:space="preserve">. </w:t>
            </w:r>
            <w:r w:rsidR="0041397D" w:rsidRPr="00BE4BB3">
              <w:t>Ho</w:t>
            </w:r>
            <w:r w:rsidR="0041397D">
              <w:t>w LGOIMA complaints were dealt with</w:t>
            </w:r>
          </w:p>
        </w:tc>
        <w:tc>
          <w:tcPr>
            <w:tcW w:w="1547" w:type="dxa"/>
          </w:tcPr>
          <w:p w14:paraId="3B983C72" w14:textId="77777777" w:rsidR="0041397D" w:rsidRDefault="0041397D" w:rsidP="00506E02">
            <w:pPr>
              <w:pStyle w:val="Tableheadingrow1"/>
              <w:jc w:val="right"/>
            </w:pPr>
            <w:r>
              <w:t>2018/19</w:t>
            </w:r>
          </w:p>
        </w:tc>
        <w:tc>
          <w:tcPr>
            <w:tcW w:w="1547" w:type="dxa"/>
          </w:tcPr>
          <w:p w14:paraId="5A53AE5D" w14:textId="77777777" w:rsidR="0041397D" w:rsidRDefault="0041397D" w:rsidP="00506E02">
            <w:pPr>
              <w:pStyle w:val="Tableheadingrow1"/>
              <w:jc w:val="right"/>
            </w:pPr>
            <w:r>
              <w:t>2019/20</w:t>
            </w:r>
          </w:p>
        </w:tc>
      </w:tr>
      <w:tr w:rsidR="0041397D" w14:paraId="1CDD1846"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24" w:type="dxa"/>
            <w:shd w:val="clear" w:color="auto" w:fill="BFBFBF"/>
          </w:tcPr>
          <w:p w14:paraId="76016AB6" w14:textId="77777777" w:rsidR="0041397D" w:rsidRPr="00DB31AB" w:rsidRDefault="0041397D" w:rsidP="00506E02">
            <w:pPr>
              <w:pStyle w:val="Tablebodytextnospaceafter"/>
              <w:keepNext/>
              <w:rPr>
                <w:rStyle w:val="Emphasis"/>
              </w:rPr>
            </w:pPr>
            <w:r w:rsidRPr="00DB31AB">
              <w:rPr>
                <w:rStyle w:val="Emphasis"/>
              </w:rPr>
              <w:t>Outside jurisdiction</w:t>
            </w:r>
          </w:p>
        </w:tc>
        <w:tc>
          <w:tcPr>
            <w:tcW w:w="1547" w:type="dxa"/>
            <w:shd w:val="clear" w:color="auto" w:fill="BFBFBF"/>
          </w:tcPr>
          <w:p w14:paraId="2F67C8FF" w14:textId="77777777" w:rsidR="0041397D" w:rsidRPr="00DB31AB" w:rsidRDefault="0041397D" w:rsidP="00506E02">
            <w:pPr>
              <w:pStyle w:val="Tablebodytextnospaceafter"/>
              <w:rPr>
                <w:rStyle w:val="Emphasis"/>
              </w:rPr>
            </w:pPr>
          </w:p>
        </w:tc>
        <w:tc>
          <w:tcPr>
            <w:tcW w:w="1547" w:type="dxa"/>
            <w:shd w:val="clear" w:color="auto" w:fill="BFBFBF"/>
          </w:tcPr>
          <w:p w14:paraId="3B96A24C" w14:textId="77777777" w:rsidR="0041397D" w:rsidRPr="00DB31AB" w:rsidRDefault="0041397D" w:rsidP="00506E02">
            <w:pPr>
              <w:pStyle w:val="Tablebodytextnospaceafter"/>
              <w:rPr>
                <w:rStyle w:val="Emphasis"/>
              </w:rPr>
            </w:pPr>
          </w:p>
        </w:tc>
      </w:tr>
      <w:tr w:rsidR="0041397D" w14:paraId="5E0CF9A4"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24" w:type="dxa"/>
          </w:tcPr>
          <w:p w14:paraId="68F90706" w14:textId="77777777" w:rsidR="0041397D" w:rsidRPr="00BE4BB3" w:rsidRDefault="0041397D" w:rsidP="00506E02">
            <w:pPr>
              <w:pStyle w:val="Tablebodytextnospaceafter"/>
              <w:keepNext/>
            </w:pPr>
            <w:r>
              <w:t>A</w:t>
            </w:r>
            <w:r w:rsidRPr="00BE4BB3">
              <w:t xml:space="preserve">gency not listed in schedule </w:t>
            </w:r>
          </w:p>
        </w:tc>
        <w:tc>
          <w:tcPr>
            <w:tcW w:w="1547" w:type="dxa"/>
          </w:tcPr>
          <w:p w14:paraId="348F69F7" w14:textId="77777777" w:rsidR="0041397D" w:rsidRDefault="0041397D" w:rsidP="00506E02">
            <w:pPr>
              <w:pStyle w:val="Tablebodytextnospaceafter"/>
            </w:pPr>
            <w:r>
              <w:t>2</w:t>
            </w:r>
          </w:p>
        </w:tc>
        <w:tc>
          <w:tcPr>
            <w:tcW w:w="1547" w:type="dxa"/>
          </w:tcPr>
          <w:p w14:paraId="7CE0FB13" w14:textId="77777777" w:rsidR="0041397D" w:rsidRDefault="005E169F" w:rsidP="00506E02">
            <w:pPr>
              <w:pStyle w:val="Tablebodytextnospaceafter"/>
            </w:pPr>
            <w:r>
              <w:t>-</w:t>
            </w:r>
          </w:p>
        </w:tc>
      </w:tr>
      <w:tr w:rsidR="0041397D" w14:paraId="47710BEE"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24" w:type="dxa"/>
          </w:tcPr>
          <w:p w14:paraId="32D1FE97" w14:textId="77777777" w:rsidR="0041397D" w:rsidRPr="00BE4BB3" w:rsidRDefault="0041397D" w:rsidP="00506E02">
            <w:pPr>
              <w:pStyle w:val="Tablebodytextnospaceafter"/>
            </w:pPr>
            <w:r>
              <w:t>S</w:t>
            </w:r>
            <w:r w:rsidRPr="00BE4BB3">
              <w:t>cheduled agency otherwise outside jurisdiction</w:t>
            </w:r>
          </w:p>
        </w:tc>
        <w:tc>
          <w:tcPr>
            <w:tcW w:w="1547" w:type="dxa"/>
          </w:tcPr>
          <w:p w14:paraId="3D20C3EB" w14:textId="77777777" w:rsidR="0041397D" w:rsidRDefault="0041397D" w:rsidP="00506E02">
            <w:pPr>
              <w:pStyle w:val="Tablebodytextnospaceafter"/>
            </w:pPr>
            <w:r>
              <w:t>18</w:t>
            </w:r>
          </w:p>
        </w:tc>
        <w:tc>
          <w:tcPr>
            <w:tcW w:w="1547" w:type="dxa"/>
          </w:tcPr>
          <w:p w14:paraId="2D08D8C7" w14:textId="77777777" w:rsidR="0041397D" w:rsidRDefault="005E169F" w:rsidP="00506E02">
            <w:pPr>
              <w:pStyle w:val="Tablebodytextnospaceafter"/>
            </w:pPr>
            <w:r>
              <w:t>7</w:t>
            </w:r>
          </w:p>
        </w:tc>
      </w:tr>
      <w:tr w:rsidR="0041397D" w14:paraId="618CC058"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24" w:type="dxa"/>
          </w:tcPr>
          <w:p w14:paraId="56E387CB" w14:textId="77777777" w:rsidR="0041397D" w:rsidRPr="006B0835" w:rsidRDefault="0041397D" w:rsidP="00506E02">
            <w:pPr>
              <w:pStyle w:val="Tablebodytextnospaceafter"/>
              <w:rPr>
                <w:rStyle w:val="EmphasisItalics"/>
              </w:rPr>
            </w:pPr>
            <w:r w:rsidRPr="006B0835">
              <w:rPr>
                <w:rStyle w:val="EmphasisItalics"/>
              </w:rPr>
              <w:t>Subtotal</w:t>
            </w:r>
          </w:p>
        </w:tc>
        <w:tc>
          <w:tcPr>
            <w:tcW w:w="1547" w:type="dxa"/>
          </w:tcPr>
          <w:p w14:paraId="71DD6AE2" w14:textId="77777777" w:rsidR="0041397D" w:rsidRPr="006B0835" w:rsidRDefault="0041397D" w:rsidP="00506E02">
            <w:pPr>
              <w:pStyle w:val="Tablebodytextnospaceafter"/>
              <w:jc w:val="right"/>
              <w:rPr>
                <w:rStyle w:val="EmphasisItalics"/>
              </w:rPr>
            </w:pPr>
            <w:r>
              <w:rPr>
                <w:rStyle w:val="EmphasisItalics"/>
              </w:rPr>
              <w:t>20</w:t>
            </w:r>
          </w:p>
        </w:tc>
        <w:tc>
          <w:tcPr>
            <w:tcW w:w="1547" w:type="dxa"/>
          </w:tcPr>
          <w:p w14:paraId="565A4EC5" w14:textId="77777777" w:rsidR="0041397D" w:rsidRDefault="005E169F" w:rsidP="00506E02">
            <w:pPr>
              <w:pStyle w:val="Tablebodytextnospaceafter"/>
              <w:jc w:val="right"/>
              <w:rPr>
                <w:rStyle w:val="EmphasisItalics"/>
              </w:rPr>
            </w:pPr>
            <w:r>
              <w:rPr>
                <w:rStyle w:val="EmphasisItalics"/>
              </w:rPr>
              <w:t>7</w:t>
            </w:r>
          </w:p>
        </w:tc>
      </w:tr>
      <w:tr w:rsidR="0041397D" w14:paraId="49EEF459"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24" w:type="dxa"/>
            <w:shd w:val="clear" w:color="auto" w:fill="BFBFBF"/>
          </w:tcPr>
          <w:p w14:paraId="6FBBD592" w14:textId="77777777" w:rsidR="0041397D" w:rsidRPr="00DB31AB" w:rsidRDefault="0041397D" w:rsidP="00506E02">
            <w:pPr>
              <w:pStyle w:val="Tablebodytextnospaceafter"/>
              <w:rPr>
                <w:rStyle w:val="Emphasis"/>
              </w:rPr>
            </w:pPr>
            <w:r w:rsidRPr="00DB31AB">
              <w:rPr>
                <w:rStyle w:val="Emphasis"/>
              </w:rPr>
              <w:t>Referred</w:t>
            </w:r>
          </w:p>
        </w:tc>
        <w:tc>
          <w:tcPr>
            <w:tcW w:w="1547" w:type="dxa"/>
            <w:shd w:val="clear" w:color="auto" w:fill="BFBFBF"/>
          </w:tcPr>
          <w:p w14:paraId="13FD2792" w14:textId="77777777" w:rsidR="0041397D" w:rsidRPr="00DB31AB" w:rsidRDefault="0041397D" w:rsidP="00506E02">
            <w:pPr>
              <w:pStyle w:val="Tablebodytextnospaceafter"/>
              <w:rPr>
                <w:rStyle w:val="Emphasis"/>
              </w:rPr>
            </w:pPr>
          </w:p>
        </w:tc>
        <w:tc>
          <w:tcPr>
            <w:tcW w:w="1547" w:type="dxa"/>
            <w:shd w:val="clear" w:color="auto" w:fill="BFBFBF"/>
          </w:tcPr>
          <w:p w14:paraId="71E3C44F" w14:textId="77777777" w:rsidR="0041397D" w:rsidRPr="00DB31AB" w:rsidRDefault="0041397D" w:rsidP="00506E02">
            <w:pPr>
              <w:pStyle w:val="Tablebodytextnospaceafter"/>
              <w:rPr>
                <w:rStyle w:val="Emphasis"/>
              </w:rPr>
            </w:pPr>
          </w:p>
        </w:tc>
      </w:tr>
      <w:tr w:rsidR="0041397D" w14:paraId="5DC04C5E"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24" w:type="dxa"/>
          </w:tcPr>
          <w:p w14:paraId="6F20D8AA" w14:textId="77777777" w:rsidR="0041397D" w:rsidRPr="00BE4BB3" w:rsidRDefault="0041397D" w:rsidP="00506E02">
            <w:pPr>
              <w:pStyle w:val="Tablebodytextnospaceafter"/>
            </w:pPr>
            <w:r>
              <w:t>R</w:t>
            </w:r>
            <w:r w:rsidRPr="00BE4BB3">
              <w:t>eferred to Privacy Commissioner</w:t>
            </w:r>
          </w:p>
        </w:tc>
        <w:tc>
          <w:tcPr>
            <w:tcW w:w="1547" w:type="dxa"/>
          </w:tcPr>
          <w:p w14:paraId="5A24E5E5" w14:textId="77777777" w:rsidR="0041397D" w:rsidRDefault="0041397D" w:rsidP="00506E02">
            <w:pPr>
              <w:pStyle w:val="Tablebodytextnospaceafter"/>
            </w:pPr>
            <w:r>
              <w:t>11</w:t>
            </w:r>
          </w:p>
        </w:tc>
        <w:tc>
          <w:tcPr>
            <w:tcW w:w="1547" w:type="dxa"/>
          </w:tcPr>
          <w:p w14:paraId="54947102" w14:textId="77777777" w:rsidR="0041397D" w:rsidRDefault="005E169F" w:rsidP="00506E02">
            <w:pPr>
              <w:pStyle w:val="Tablebodytextnospaceafter"/>
            </w:pPr>
            <w:r>
              <w:t>8</w:t>
            </w:r>
          </w:p>
        </w:tc>
      </w:tr>
      <w:tr w:rsidR="0041397D" w14:paraId="63943636"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24" w:type="dxa"/>
          </w:tcPr>
          <w:p w14:paraId="353E888B" w14:textId="77777777" w:rsidR="0041397D" w:rsidRPr="006B0835" w:rsidRDefault="0041397D" w:rsidP="00506E02">
            <w:pPr>
              <w:pStyle w:val="Tablesinglespacedparagraph"/>
              <w:rPr>
                <w:rStyle w:val="EmphasisItalics"/>
              </w:rPr>
            </w:pPr>
            <w:r w:rsidRPr="006B0835">
              <w:rPr>
                <w:rStyle w:val="EmphasisItalics"/>
              </w:rPr>
              <w:t>Subtotal</w:t>
            </w:r>
          </w:p>
        </w:tc>
        <w:tc>
          <w:tcPr>
            <w:tcW w:w="1547" w:type="dxa"/>
          </w:tcPr>
          <w:p w14:paraId="3B090088" w14:textId="77777777" w:rsidR="0041397D" w:rsidRPr="006B0835" w:rsidRDefault="0041397D" w:rsidP="00506E02">
            <w:pPr>
              <w:pStyle w:val="Tablebodytextnospaceafter"/>
              <w:jc w:val="right"/>
              <w:rPr>
                <w:rStyle w:val="EmphasisItalics"/>
              </w:rPr>
            </w:pPr>
            <w:r>
              <w:rPr>
                <w:rStyle w:val="EmphasisItalics"/>
              </w:rPr>
              <w:t>11</w:t>
            </w:r>
          </w:p>
        </w:tc>
        <w:tc>
          <w:tcPr>
            <w:tcW w:w="1547" w:type="dxa"/>
          </w:tcPr>
          <w:p w14:paraId="6366388C" w14:textId="77777777" w:rsidR="0041397D" w:rsidRDefault="005E169F" w:rsidP="00506E02">
            <w:pPr>
              <w:pStyle w:val="Tablebodytextnospaceafter"/>
              <w:jc w:val="right"/>
              <w:rPr>
                <w:rStyle w:val="EmphasisItalics"/>
              </w:rPr>
            </w:pPr>
            <w:r>
              <w:rPr>
                <w:rStyle w:val="EmphasisItalics"/>
              </w:rPr>
              <w:t>8</w:t>
            </w:r>
          </w:p>
        </w:tc>
      </w:tr>
      <w:tr w:rsidR="0041397D" w14:paraId="0BF3A9C7"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24" w:type="dxa"/>
            <w:shd w:val="clear" w:color="auto" w:fill="BFBFBF"/>
          </w:tcPr>
          <w:p w14:paraId="47F0B046" w14:textId="77777777" w:rsidR="0041397D" w:rsidRPr="00DB31AB" w:rsidRDefault="0041397D" w:rsidP="00506E02">
            <w:pPr>
              <w:pStyle w:val="Tablebodytextnospaceafter"/>
              <w:rPr>
                <w:rStyle w:val="Emphasis"/>
              </w:rPr>
            </w:pPr>
            <w:r w:rsidRPr="00DB31AB">
              <w:rPr>
                <w:rStyle w:val="Emphasis"/>
              </w:rPr>
              <w:t>No investigation undertaken</w:t>
            </w:r>
          </w:p>
        </w:tc>
        <w:tc>
          <w:tcPr>
            <w:tcW w:w="1547" w:type="dxa"/>
            <w:shd w:val="clear" w:color="auto" w:fill="BFBFBF"/>
          </w:tcPr>
          <w:p w14:paraId="77A75487" w14:textId="77777777" w:rsidR="0041397D" w:rsidRPr="00DB31AB" w:rsidRDefault="0041397D" w:rsidP="00506E02">
            <w:pPr>
              <w:pStyle w:val="Tablebodytextnospaceafter"/>
              <w:rPr>
                <w:rStyle w:val="Emphasis"/>
              </w:rPr>
            </w:pPr>
          </w:p>
        </w:tc>
        <w:tc>
          <w:tcPr>
            <w:tcW w:w="1547" w:type="dxa"/>
            <w:shd w:val="clear" w:color="auto" w:fill="BFBFBF"/>
          </w:tcPr>
          <w:p w14:paraId="6962BCD8" w14:textId="77777777" w:rsidR="0041397D" w:rsidRPr="00DB31AB" w:rsidRDefault="0041397D" w:rsidP="00506E02">
            <w:pPr>
              <w:pStyle w:val="Tablebodytextnospaceafter"/>
              <w:rPr>
                <w:rStyle w:val="Emphasis"/>
              </w:rPr>
            </w:pPr>
          </w:p>
        </w:tc>
      </w:tr>
      <w:tr w:rsidR="0041397D" w14:paraId="67E3C0B1"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24" w:type="dxa"/>
          </w:tcPr>
          <w:p w14:paraId="1DC4DBB6" w14:textId="77777777" w:rsidR="0041397D" w:rsidRPr="00BE4BB3" w:rsidRDefault="0041397D" w:rsidP="00506E02">
            <w:pPr>
              <w:pStyle w:val="Tablebodytextnospaceafter"/>
            </w:pPr>
            <w:r>
              <w:t>W</w:t>
            </w:r>
            <w:r w:rsidRPr="00BE4BB3">
              <w:t>ithdrawn by complainant or no response from complainant</w:t>
            </w:r>
          </w:p>
        </w:tc>
        <w:tc>
          <w:tcPr>
            <w:tcW w:w="1547" w:type="dxa"/>
          </w:tcPr>
          <w:p w14:paraId="242D933C" w14:textId="77777777" w:rsidR="0041397D" w:rsidRDefault="0041397D" w:rsidP="00506E02">
            <w:pPr>
              <w:pStyle w:val="Tablebodytextnospaceafter"/>
            </w:pPr>
            <w:r>
              <w:t>39</w:t>
            </w:r>
          </w:p>
        </w:tc>
        <w:tc>
          <w:tcPr>
            <w:tcW w:w="1547" w:type="dxa"/>
          </w:tcPr>
          <w:p w14:paraId="03762E88" w14:textId="77777777" w:rsidR="0041397D" w:rsidRDefault="005E169F" w:rsidP="00506E02">
            <w:pPr>
              <w:pStyle w:val="Tablebodytextnospaceafter"/>
            </w:pPr>
            <w:r>
              <w:t>44</w:t>
            </w:r>
          </w:p>
        </w:tc>
      </w:tr>
      <w:tr w:rsidR="0041397D" w14:paraId="0FBB7507"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24" w:type="dxa"/>
          </w:tcPr>
          <w:p w14:paraId="2764235D" w14:textId="77777777" w:rsidR="0041397D" w:rsidRPr="00BE4BB3" w:rsidRDefault="0041397D" w:rsidP="00506E02">
            <w:pPr>
              <w:pStyle w:val="Tablebodytextnospaceafter"/>
            </w:pPr>
            <w:r>
              <w:t>A</w:t>
            </w:r>
            <w:r w:rsidRPr="00BE4BB3">
              <w:t>dequate alternative remedy – complain to agency first</w:t>
            </w:r>
          </w:p>
        </w:tc>
        <w:tc>
          <w:tcPr>
            <w:tcW w:w="1547" w:type="dxa"/>
          </w:tcPr>
          <w:p w14:paraId="47AD7130" w14:textId="77777777" w:rsidR="0041397D" w:rsidRDefault="0041397D" w:rsidP="00506E02">
            <w:pPr>
              <w:pStyle w:val="Tablebodytextnospaceafter"/>
            </w:pPr>
            <w:r>
              <w:t>5</w:t>
            </w:r>
          </w:p>
        </w:tc>
        <w:tc>
          <w:tcPr>
            <w:tcW w:w="1547" w:type="dxa"/>
          </w:tcPr>
          <w:p w14:paraId="63DC2670" w14:textId="77777777" w:rsidR="0041397D" w:rsidRDefault="005E169F" w:rsidP="00506E02">
            <w:pPr>
              <w:pStyle w:val="Tablebodytextnospaceafter"/>
            </w:pPr>
            <w:r>
              <w:t>7</w:t>
            </w:r>
          </w:p>
        </w:tc>
      </w:tr>
      <w:tr w:rsidR="0041397D" w14:paraId="6CB3F80D"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24" w:type="dxa"/>
          </w:tcPr>
          <w:p w14:paraId="258534F5" w14:textId="77777777" w:rsidR="0041397D" w:rsidRDefault="0041397D" w:rsidP="00506E02">
            <w:pPr>
              <w:pStyle w:val="Tablebodytextnospaceafter"/>
            </w:pPr>
            <w:r>
              <w:t>A</w:t>
            </w:r>
            <w:r w:rsidRPr="00BE4BB3">
              <w:t>dequate alternative r</w:t>
            </w:r>
            <w:r>
              <w:t xml:space="preserve">emedy – complaint referred to agency by Ombudsman </w:t>
            </w:r>
          </w:p>
        </w:tc>
        <w:tc>
          <w:tcPr>
            <w:tcW w:w="1547" w:type="dxa"/>
          </w:tcPr>
          <w:p w14:paraId="024D6350" w14:textId="77777777" w:rsidR="0041397D" w:rsidRDefault="0041397D" w:rsidP="00506E02">
            <w:pPr>
              <w:pStyle w:val="Tablebodytextnospaceafter"/>
            </w:pPr>
            <w:r>
              <w:t>1</w:t>
            </w:r>
          </w:p>
        </w:tc>
        <w:tc>
          <w:tcPr>
            <w:tcW w:w="1547" w:type="dxa"/>
          </w:tcPr>
          <w:p w14:paraId="6DE7B266" w14:textId="77777777" w:rsidR="0041397D" w:rsidRDefault="005E169F" w:rsidP="00506E02">
            <w:pPr>
              <w:pStyle w:val="Tablebodytextnospaceafter"/>
            </w:pPr>
            <w:r>
              <w:t>-</w:t>
            </w:r>
          </w:p>
        </w:tc>
      </w:tr>
      <w:tr w:rsidR="00003E25" w14:paraId="0A5DE557" w14:textId="77777777" w:rsidTr="002B580F">
        <w:trPr>
          <w:cnfStyle w:val="000000010000" w:firstRow="0" w:lastRow="0" w:firstColumn="0" w:lastColumn="0" w:oddVBand="0" w:evenVBand="0" w:oddHBand="0" w:evenHBand="1" w:firstRowFirstColumn="0" w:firstRowLastColumn="0" w:lastRowFirstColumn="0" w:lastRowLastColumn="0"/>
          <w:trHeight w:val="60"/>
        </w:trPr>
        <w:tc>
          <w:tcPr>
            <w:tcW w:w="6224" w:type="dxa"/>
          </w:tcPr>
          <w:p w14:paraId="4F400B60" w14:textId="77777777" w:rsidR="00003E25" w:rsidRPr="00AE78F1" w:rsidRDefault="00003E25" w:rsidP="002B580F">
            <w:pPr>
              <w:pStyle w:val="Tablebodytextnospaceafter"/>
            </w:pPr>
            <w:r>
              <w:t>E</w:t>
            </w:r>
            <w:r w:rsidRPr="00AE78F1">
              <w:t>xplanation, advice or assistance provided</w:t>
            </w:r>
          </w:p>
        </w:tc>
        <w:tc>
          <w:tcPr>
            <w:tcW w:w="1547" w:type="dxa"/>
          </w:tcPr>
          <w:p w14:paraId="67013711" w14:textId="77777777" w:rsidR="00003E25" w:rsidRDefault="00003E25" w:rsidP="002B580F">
            <w:pPr>
              <w:pStyle w:val="Tablebodytextnospaceafter"/>
            </w:pPr>
            <w:r>
              <w:t>15</w:t>
            </w:r>
          </w:p>
        </w:tc>
        <w:tc>
          <w:tcPr>
            <w:tcW w:w="1547" w:type="dxa"/>
          </w:tcPr>
          <w:p w14:paraId="34AA752C" w14:textId="77777777" w:rsidR="00003E25" w:rsidRDefault="00003E25" w:rsidP="002B580F">
            <w:pPr>
              <w:pStyle w:val="Tablebodytextnospaceafter"/>
            </w:pPr>
            <w:r>
              <w:t>18</w:t>
            </w:r>
          </w:p>
        </w:tc>
      </w:tr>
      <w:tr w:rsidR="0041397D" w14:paraId="4683038A"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24" w:type="dxa"/>
          </w:tcPr>
          <w:p w14:paraId="4F33F19A" w14:textId="77777777" w:rsidR="0041397D" w:rsidRPr="00BE4BB3" w:rsidRDefault="0041397D" w:rsidP="006D7187">
            <w:pPr>
              <w:pStyle w:val="Tablebodytextnospaceafter"/>
            </w:pPr>
            <w:r>
              <w:t>Investigation unnecessary</w:t>
            </w:r>
          </w:p>
        </w:tc>
        <w:tc>
          <w:tcPr>
            <w:tcW w:w="1547" w:type="dxa"/>
          </w:tcPr>
          <w:p w14:paraId="16C8873A" w14:textId="77777777" w:rsidR="0041397D" w:rsidRDefault="0041397D" w:rsidP="00506E02">
            <w:pPr>
              <w:pStyle w:val="Tablebodytextnospaceafter"/>
            </w:pPr>
            <w:r>
              <w:t>70</w:t>
            </w:r>
          </w:p>
        </w:tc>
        <w:tc>
          <w:tcPr>
            <w:tcW w:w="1547" w:type="dxa"/>
          </w:tcPr>
          <w:p w14:paraId="25F86D3A" w14:textId="77777777" w:rsidR="0041397D" w:rsidRDefault="005E169F" w:rsidP="00506E02">
            <w:pPr>
              <w:pStyle w:val="Tablebodytextnospaceafter"/>
            </w:pPr>
            <w:r>
              <w:t>66</w:t>
            </w:r>
          </w:p>
        </w:tc>
      </w:tr>
      <w:tr w:rsidR="0041397D" w14:paraId="0F0BEF85"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24" w:type="dxa"/>
          </w:tcPr>
          <w:p w14:paraId="2B2BAB30" w14:textId="77777777" w:rsidR="0041397D" w:rsidRPr="00AE78F1" w:rsidRDefault="0041397D" w:rsidP="00506E02">
            <w:pPr>
              <w:pStyle w:val="Tablebodytextnospaceafter"/>
              <w:rPr>
                <w:rStyle w:val="EmphasisItalics"/>
              </w:rPr>
            </w:pPr>
            <w:r w:rsidRPr="00AE78F1">
              <w:rPr>
                <w:rStyle w:val="EmphasisItalics"/>
              </w:rPr>
              <w:t>Subtotal</w:t>
            </w:r>
          </w:p>
        </w:tc>
        <w:tc>
          <w:tcPr>
            <w:tcW w:w="1547" w:type="dxa"/>
          </w:tcPr>
          <w:p w14:paraId="4553130C" w14:textId="77777777" w:rsidR="0041397D" w:rsidRDefault="0041397D" w:rsidP="00506E02">
            <w:pPr>
              <w:pStyle w:val="Tablebodytextnospaceafter"/>
              <w:jc w:val="right"/>
              <w:rPr>
                <w:rStyle w:val="EmphasisItalics"/>
              </w:rPr>
            </w:pPr>
            <w:r>
              <w:rPr>
                <w:rStyle w:val="EmphasisItalics"/>
              </w:rPr>
              <w:t>130</w:t>
            </w:r>
          </w:p>
        </w:tc>
        <w:tc>
          <w:tcPr>
            <w:tcW w:w="1547" w:type="dxa"/>
          </w:tcPr>
          <w:p w14:paraId="1F0E9F8F" w14:textId="77777777" w:rsidR="0041397D" w:rsidRDefault="005E169F" w:rsidP="00506E02">
            <w:pPr>
              <w:pStyle w:val="Tablebodytextnospaceafter"/>
              <w:jc w:val="right"/>
              <w:rPr>
                <w:rStyle w:val="EmphasisItalics"/>
              </w:rPr>
            </w:pPr>
            <w:r>
              <w:rPr>
                <w:rStyle w:val="EmphasisItalics"/>
              </w:rPr>
              <w:t>135</w:t>
            </w:r>
          </w:p>
        </w:tc>
      </w:tr>
      <w:tr w:rsidR="0041397D" w14:paraId="030E294D"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24" w:type="dxa"/>
            <w:shd w:val="clear" w:color="auto" w:fill="BFBFBF"/>
          </w:tcPr>
          <w:p w14:paraId="57F06821" w14:textId="77777777" w:rsidR="0041397D" w:rsidRPr="00643338" w:rsidRDefault="0041397D" w:rsidP="00506E02">
            <w:pPr>
              <w:pStyle w:val="Tablebodytextnospaceafter"/>
              <w:rPr>
                <w:rStyle w:val="Emphasis"/>
              </w:rPr>
            </w:pPr>
            <w:r w:rsidRPr="00643338">
              <w:rPr>
                <w:rStyle w:val="Emphasis"/>
              </w:rPr>
              <w:t>Resolved without investigation</w:t>
            </w:r>
          </w:p>
        </w:tc>
        <w:tc>
          <w:tcPr>
            <w:tcW w:w="1547" w:type="dxa"/>
            <w:shd w:val="clear" w:color="auto" w:fill="BFBFBF"/>
          </w:tcPr>
          <w:p w14:paraId="3CD79746" w14:textId="77777777" w:rsidR="0041397D" w:rsidRPr="004E5EBA" w:rsidRDefault="0041397D" w:rsidP="00506E02">
            <w:pPr>
              <w:pStyle w:val="Tablebodytextnospaceafter"/>
              <w:rPr>
                <w:rStyle w:val="Emphasis"/>
                <w:b w:val="0"/>
                <w:bCs w:val="0"/>
                <w:iCs w:val="0"/>
              </w:rPr>
            </w:pPr>
          </w:p>
        </w:tc>
        <w:tc>
          <w:tcPr>
            <w:tcW w:w="1547" w:type="dxa"/>
            <w:shd w:val="clear" w:color="auto" w:fill="BFBFBF"/>
          </w:tcPr>
          <w:p w14:paraId="35D337BD" w14:textId="77777777" w:rsidR="0041397D" w:rsidRPr="004E5EBA" w:rsidRDefault="0041397D" w:rsidP="00506E02">
            <w:pPr>
              <w:pStyle w:val="Tablebodytextnospaceafter"/>
              <w:rPr>
                <w:rStyle w:val="Emphasis"/>
                <w:b w:val="0"/>
                <w:bCs w:val="0"/>
                <w:iCs w:val="0"/>
              </w:rPr>
            </w:pPr>
          </w:p>
        </w:tc>
      </w:tr>
      <w:tr w:rsidR="0041397D" w14:paraId="234DB76D"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24" w:type="dxa"/>
          </w:tcPr>
          <w:p w14:paraId="51532811" w14:textId="77777777" w:rsidR="0041397D" w:rsidRPr="00BE4BB3" w:rsidRDefault="0041397D" w:rsidP="00506E02">
            <w:pPr>
              <w:pStyle w:val="Tablebodytextnospaceafter"/>
            </w:pPr>
            <w:r>
              <w:t>R</w:t>
            </w:r>
            <w:r w:rsidRPr="00BE4BB3">
              <w:t xml:space="preserve">emedial action to benefit complainant </w:t>
            </w:r>
          </w:p>
        </w:tc>
        <w:tc>
          <w:tcPr>
            <w:tcW w:w="1547" w:type="dxa"/>
          </w:tcPr>
          <w:p w14:paraId="7E34FDC0" w14:textId="77777777" w:rsidR="0041397D" w:rsidRDefault="0041397D" w:rsidP="00506E02">
            <w:pPr>
              <w:pStyle w:val="Tablebodytextnospaceafter"/>
            </w:pPr>
            <w:r>
              <w:t>39</w:t>
            </w:r>
          </w:p>
        </w:tc>
        <w:tc>
          <w:tcPr>
            <w:tcW w:w="1547" w:type="dxa"/>
          </w:tcPr>
          <w:p w14:paraId="51F79CF8" w14:textId="77777777" w:rsidR="0041397D" w:rsidRDefault="005E169F" w:rsidP="00506E02">
            <w:pPr>
              <w:pStyle w:val="Tablebodytextnospaceafter"/>
            </w:pPr>
            <w:r>
              <w:t>40</w:t>
            </w:r>
          </w:p>
        </w:tc>
      </w:tr>
      <w:tr w:rsidR="0041397D" w14:paraId="28C11A97"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24" w:type="dxa"/>
            <w:tcBorders>
              <w:top w:val="single" w:sz="4" w:space="0" w:color="FFFFFF" w:themeColor="background1"/>
            </w:tcBorders>
          </w:tcPr>
          <w:p w14:paraId="7782A88F" w14:textId="77777777" w:rsidR="0041397D" w:rsidRPr="00BE4BB3" w:rsidRDefault="0041397D" w:rsidP="00506E02">
            <w:pPr>
              <w:pStyle w:val="Tablebodytextnospaceafter"/>
            </w:pPr>
            <w:r>
              <w:t>Remedial action to benefit complainant and improve state sector administration</w:t>
            </w:r>
          </w:p>
        </w:tc>
        <w:tc>
          <w:tcPr>
            <w:tcW w:w="1547" w:type="dxa"/>
          </w:tcPr>
          <w:p w14:paraId="6A897F97" w14:textId="77777777" w:rsidR="0041397D" w:rsidRDefault="0041397D" w:rsidP="00506E02">
            <w:pPr>
              <w:pStyle w:val="Tablebodytextnospaceafter"/>
            </w:pPr>
            <w:r>
              <w:t>2</w:t>
            </w:r>
          </w:p>
        </w:tc>
        <w:tc>
          <w:tcPr>
            <w:tcW w:w="1547" w:type="dxa"/>
          </w:tcPr>
          <w:p w14:paraId="37F0B79F" w14:textId="77777777" w:rsidR="0041397D" w:rsidRDefault="005E169F" w:rsidP="00506E02">
            <w:pPr>
              <w:pStyle w:val="Tablebodytextnospaceafter"/>
            </w:pPr>
            <w:r>
              <w:t>-</w:t>
            </w:r>
          </w:p>
        </w:tc>
      </w:tr>
      <w:tr w:rsidR="0041397D" w14:paraId="161F186D"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24" w:type="dxa"/>
          </w:tcPr>
          <w:p w14:paraId="1325E5CE" w14:textId="77777777" w:rsidR="0041397D" w:rsidRPr="00BE4BB3" w:rsidRDefault="0041397D" w:rsidP="00506E02">
            <w:pPr>
              <w:pStyle w:val="Tablebodytextnospaceafter"/>
            </w:pPr>
            <w:r>
              <w:t>P</w:t>
            </w:r>
            <w:r w:rsidRPr="00BE4BB3">
              <w:t xml:space="preserve">rovision of advice/explanation by agency or Ombudsman </w:t>
            </w:r>
            <w:r>
              <w:t>that</w:t>
            </w:r>
            <w:r w:rsidRPr="00BE4BB3">
              <w:t xml:space="preserve"> satisfies complainant</w:t>
            </w:r>
          </w:p>
        </w:tc>
        <w:tc>
          <w:tcPr>
            <w:tcW w:w="1547" w:type="dxa"/>
          </w:tcPr>
          <w:p w14:paraId="2FEDC63C" w14:textId="77777777" w:rsidR="0041397D" w:rsidRDefault="0041397D" w:rsidP="00506E02">
            <w:pPr>
              <w:pStyle w:val="Tablebodytextnospaceafter"/>
            </w:pPr>
            <w:r>
              <w:t>6</w:t>
            </w:r>
          </w:p>
        </w:tc>
        <w:tc>
          <w:tcPr>
            <w:tcW w:w="1547" w:type="dxa"/>
          </w:tcPr>
          <w:p w14:paraId="4FDAC0B1" w14:textId="77777777" w:rsidR="0041397D" w:rsidRDefault="005E169F" w:rsidP="00506E02">
            <w:pPr>
              <w:pStyle w:val="Tablebodytextnospaceafter"/>
            </w:pPr>
            <w:r>
              <w:t>4</w:t>
            </w:r>
          </w:p>
        </w:tc>
      </w:tr>
      <w:tr w:rsidR="0041397D" w14:paraId="01756129"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24" w:type="dxa"/>
          </w:tcPr>
          <w:p w14:paraId="41F8C412" w14:textId="77777777" w:rsidR="0041397D" w:rsidRPr="00AE78F1" w:rsidRDefault="0041397D" w:rsidP="00506E02">
            <w:pPr>
              <w:pStyle w:val="Tablebodytextnospaceafter"/>
              <w:rPr>
                <w:rStyle w:val="EmphasisItalics"/>
              </w:rPr>
            </w:pPr>
            <w:r w:rsidRPr="00AE78F1">
              <w:rPr>
                <w:rStyle w:val="EmphasisItalics"/>
              </w:rPr>
              <w:t>Subtotal</w:t>
            </w:r>
          </w:p>
        </w:tc>
        <w:tc>
          <w:tcPr>
            <w:tcW w:w="1547" w:type="dxa"/>
          </w:tcPr>
          <w:p w14:paraId="7F86C266" w14:textId="77777777" w:rsidR="0041397D" w:rsidRPr="00AE78F1" w:rsidRDefault="0041397D" w:rsidP="00506E02">
            <w:pPr>
              <w:pStyle w:val="Tablebodytextnospaceafter"/>
              <w:jc w:val="right"/>
              <w:rPr>
                <w:rStyle w:val="EmphasisItalics"/>
              </w:rPr>
            </w:pPr>
            <w:r>
              <w:rPr>
                <w:rStyle w:val="EmphasisItalics"/>
              </w:rPr>
              <w:t>47</w:t>
            </w:r>
          </w:p>
        </w:tc>
        <w:tc>
          <w:tcPr>
            <w:tcW w:w="1547" w:type="dxa"/>
          </w:tcPr>
          <w:p w14:paraId="6FDCB76A" w14:textId="77777777" w:rsidR="0041397D" w:rsidRDefault="005E169F" w:rsidP="00506E02">
            <w:pPr>
              <w:pStyle w:val="Tablebodytextnospaceafter"/>
              <w:jc w:val="right"/>
              <w:rPr>
                <w:rStyle w:val="EmphasisItalics"/>
              </w:rPr>
            </w:pPr>
            <w:r>
              <w:rPr>
                <w:rStyle w:val="EmphasisItalics"/>
              </w:rPr>
              <w:t>44</w:t>
            </w:r>
          </w:p>
        </w:tc>
      </w:tr>
      <w:tr w:rsidR="0041397D" w14:paraId="618649A5"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24" w:type="dxa"/>
            <w:shd w:val="clear" w:color="auto" w:fill="BFBFBF"/>
          </w:tcPr>
          <w:p w14:paraId="0F1D1AEB" w14:textId="77777777" w:rsidR="0041397D" w:rsidRPr="00643338" w:rsidRDefault="0041397D" w:rsidP="00506E02">
            <w:pPr>
              <w:pStyle w:val="Tablebodytextnospaceafter"/>
              <w:rPr>
                <w:rStyle w:val="Emphasis"/>
              </w:rPr>
            </w:pPr>
            <w:r w:rsidRPr="00643338">
              <w:rPr>
                <w:rStyle w:val="Emphasis"/>
              </w:rPr>
              <w:t>Investigation discontinued</w:t>
            </w:r>
          </w:p>
        </w:tc>
        <w:tc>
          <w:tcPr>
            <w:tcW w:w="1547" w:type="dxa"/>
            <w:shd w:val="clear" w:color="auto" w:fill="BFBFBF"/>
          </w:tcPr>
          <w:p w14:paraId="6A9E659D" w14:textId="77777777" w:rsidR="0041397D" w:rsidRPr="004E5EBA" w:rsidRDefault="0041397D" w:rsidP="00506E02">
            <w:pPr>
              <w:pStyle w:val="Tablebodytextnospaceafter"/>
              <w:rPr>
                <w:rStyle w:val="Emphasis"/>
                <w:b w:val="0"/>
                <w:bCs w:val="0"/>
                <w:iCs w:val="0"/>
              </w:rPr>
            </w:pPr>
          </w:p>
        </w:tc>
        <w:tc>
          <w:tcPr>
            <w:tcW w:w="1547" w:type="dxa"/>
            <w:shd w:val="clear" w:color="auto" w:fill="BFBFBF"/>
          </w:tcPr>
          <w:p w14:paraId="59AD1EDF" w14:textId="77777777" w:rsidR="0041397D" w:rsidRPr="004E5EBA" w:rsidRDefault="0041397D" w:rsidP="00506E02">
            <w:pPr>
              <w:pStyle w:val="Tablebodytextnospaceafter"/>
              <w:rPr>
                <w:rStyle w:val="Emphasis"/>
                <w:b w:val="0"/>
                <w:bCs w:val="0"/>
                <w:iCs w:val="0"/>
              </w:rPr>
            </w:pPr>
          </w:p>
        </w:tc>
      </w:tr>
      <w:tr w:rsidR="0041397D" w14:paraId="1694C556"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24" w:type="dxa"/>
          </w:tcPr>
          <w:p w14:paraId="77C429B6" w14:textId="77777777" w:rsidR="0041397D" w:rsidRPr="00BE4BB3" w:rsidRDefault="0041397D" w:rsidP="00506E02">
            <w:pPr>
              <w:pStyle w:val="Tablebodytextnospaceafter"/>
            </w:pPr>
            <w:r>
              <w:t>W</w:t>
            </w:r>
            <w:r w:rsidRPr="00BE4BB3">
              <w:t>ithdrawn by complainant or no response from complainant</w:t>
            </w:r>
          </w:p>
        </w:tc>
        <w:tc>
          <w:tcPr>
            <w:tcW w:w="1547" w:type="dxa"/>
          </w:tcPr>
          <w:p w14:paraId="3B81251A" w14:textId="77777777" w:rsidR="0041397D" w:rsidRDefault="0041397D" w:rsidP="00506E02">
            <w:pPr>
              <w:pStyle w:val="Tablebodytextnospaceafter"/>
            </w:pPr>
            <w:r>
              <w:t>17</w:t>
            </w:r>
          </w:p>
        </w:tc>
        <w:tc>
          <w:tcPr>
            <w:tcW w:w="1547" w:type="dxa"/>
          </w:tcPr>
          <w:p w14:paraId="64792531" w14:textId="77777777" w:rsidR="0041397D" w:rsidRDefault="005E169F" w:rsidP="00506E02">
            <w:pPr>
              <w:pStyle w:val="Tablebodytextnospaceafter"/>
            </w:pPr>
            <w:r>
              <w:t>14</w:t>
            </w:r>
          </w:p>
        </w:tc>
      </w:tr>
      <w:tr w:rsidR="0041397D" w14:paraId="6082966F"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24" w:type="dxa"/>
          </w:tcPr>
          <w:p w14:paraId="6463235F" w14:textId="77777777" w:rsidR="0041397D" w:rsidRPr="00BE4BB3" w:rsidRDefault="0041397D" w:rsidP="00506E02">
            <w:pPr>
              <w:pStyle w:val="Tablebodytextnospaceafter"/>
            </w:pPr>
            <w:r>
              <w:t>F</w:t>
            </w:r>
            <w:r w:rsidRPr="00BE4BB3">
              <w:t>urther investigation unnecessary</w:t>
            </w:r>
          </w:p>
        </w:tc>
        <w:tc>
          <w:tcPr>
            <w:tcW w:w="1547" w:type="dxa"/>
          </w:tcPr>
          <w:p w14:paraId="4A50D704" w14:textId="77777777" w:rsidR="0041397D" w:rsidRDefault="0041397D" w:rsidP="00506E02">
            <w:pPr>
              <w:pStyle w:val="Tablebodytextnospaceafter"/>
            </w:pPr>
            <w:r>
              <w:t>11</w:t>
            </w:r>
          </w:p>
        </w:tc>
        <w:tc>
          <w:tcPr>
            <w:tcW w:w="1547" w:type="dxa"/>
          </w:tcPr>
          <w:p w14:paraId="1A5596B0" w14:textId="77777777" w:rsidR="0041397D" w:rsidRDefault="005E169F" w:rsidP="00506E02">
            <w:pPr>
              <w:pStyle w:val="Tablebodytextnospaceafter"/>
            </w:pPr>
            <w:r>
              <w:t>9</w:t>
            </w:r>
          </w:p>
        </w:tc>
      </w:tr>
      <w:tr w:rsidR="0041397D" w14:paraId="01C70A0A"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24" w:type="dxa"/>
          </w:tcPr>
          <w:p w14:paraId="0CD1F885" w14:textId="77777777" w:rsidR="0041397D" w:rsidRPr="00BE4BB3" w:rsidRDefault="0041397D" w:rsidP="00506E02">
            <w:pPr>
              <w:pStyle w:val="Tablebodytextnospaceafter"/>
            </w:pPr>
            <w:r>
              <w:t>Agency to review</w:t>
            </w:r>
          </w:p>
        </w:tc>
        <w:tc>
          <w:tcPr>
            <w:tcW w:w="1547" w:type="dxa"/>
          </w:tcPr>
          <w:p w14:paraId="6E37B1C6" w14:textId="77777777" w:rsidR="0041397D" w:rsidRDefault="0041397D" w:rsidP="00506E02">
            <w:pPr>
              <w:pStyle w:val="Tablebodytextnospaceafter"/>
            </w:pPr>
            <w:r>
              <w:t>-</w:t>
            </w:r>
          </w:p>
        </w:tc>
        <w:tc>
          <w:tcPr>
            <w:tcW w:w="1547" w:type="dxa"/>
          </w:tcPr>
          <w:p w14:paraId="69ABE041" w14:textId="77777777" w:rsidR="0041397D" w:rsidRDefault="005E169F" w:rsidP="00506E02">
            <w:pPr>
              <w:pStyle w:val="Tablebodytextnospaceafter"/>
            </w:pPr>
            <w:r>
              <w:t>5</w:t>
            </w:r>
          </w:p>
        </w:tc>
      </w:tr>
      <w:tr w:rsidR="0041397D" w14:paraId="19171C36"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24" w:type="dxa"/>
          </w:tcPr>
          <w:p w14:paraId="4BD8CEBD" w14:textId="77777777" w:rsidR="0041397D" w:rsidRPr="00AE78F1" w:rsidRDefault="0041397D" w:rsidP="00506E02">
            <w:pPr>
              <w:pStyle w:val="Tablebodytextnospaceafter"/>
              <w:rPr>
                <w:rStyle w:val="EmphasisItalics"/>
              </w:rPr>
            </w:pPr>
            <w:r w:rsidRPr="00AE78F1">
              <w:rPr>
                <w:rStyle w:val="EmphasisItalics"/>
              </w:rPr>
              <w:t>Subtotal</w:t>
            </w:r>
          </w:p>
        </w:tc>
        <w:tc>
          <w:tcPr>
            <w:tcW w:w="1547" w:type="dxa"/>
          </w:tcPr>
          <w:p w14:paraId="57800FD6" w14:textId="77777777" w:rsidR="0041397D" w:rsidRPr="00AE78F1" w:rsidRDefault="0041397D" w:rsidP="00506E02">
            <w:pPr>
              <w:pStyle w:val="Tablebodytextnospaceafter"/>
              <w:jc w:val="right"/>
              <w:rPr>
                <w:rStyle w:val="EmphasisItalics"/>
              </w:rPr>
            </w:pPr>
            <w:r>
              <w:rPr>
                <w:rStyle w:val="EmphasisItalics"/>
              </w:rPr>
              <w:t>28</w:t>
            </w:r>
          </w:p>
        </w:tc>
        <w:tc>
          <w:tcPr>
            <w:tcW w:w="1547" w:type="dxa"/>
          </w:tcPr>
          <w:p w14:paraId="66EC7A27" w14:textId="77777777" w:rsidR="0041397D" w:rsidRDefault="005E169F" w:rsidP="00506E02">
            <w:pPr>
              <w:pStyle w:val="Tablebodytextnospaceafter"/>
              <w:jc w:val="right"/>
              <w:rPr>
                <w:rStyle w:val="EmphasisItalics"/>
              </w:rPr>
            </w:pPr>
            <w:r>
              <w:rPr>
                <w:rStyle w:val="EmphasisItalics"/>
              </w:rPr>
              <w:t>28</w:t>
            </w:r>
          </w:p>
        </w:tc>
      </w:tr>
      <w:tr w:rsidR="0041397D" w14:paraId="6CEB1E84"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24" w:type="dxa"/>
            <w:shd w:val="clear" w:color="auto" w:fill="BFBFBF"/>
          </w:tcPr>
          <w:p w14:paraId="26A208A1" w14:textId="77777777" w:rsidR="0041397D" w:rsidRPr="00643338" w:rsidRDefault="0041397D" w:rsidP="00506E02">
            <w:pPr>
              <w:pStyle w:val="Tablebodytextnospaceafter"/>
              <w:rPr>
                <w:b/>
              </w:rPr>
            </w:pPr>
            <w:r w:rsidRPr="00643338">
              <w:rPr>
                <w:b/>
              </w:rPr>
              <w:t>Resolved during investigation</w:t>
            </w:r>
          </w:p>
        </w:tc>
        <w:tc>
          <w:tcPr>
            <w:tcW w:w="1547" w:type="dxa"/>
            <w:shd w:val="clear" w:color="auto" w:fill="BFBFBF"/>
          </w:tcPr>
          <w:p w14:paraId="3131C721" w14:textId="77777777" w:rsidR="0041397D" w:rsidRPr="004E5EBA" w:rsidRDefault="0041397D" w:rsidP="00506E02">
            <w:pPr>
              <w:pStyle w:val="Tablebodytextnospaceafter"/>
            </w:pPr>
          </w:p>
        </w:tc>
        <w:tc>
          <w:tcPr>
            <w:tcW w:w="1547" w:type="dxa"/>
            <w:shd w:val="clear" w:color="auto" w:fill="BFBFBF"/>
          </w:tcPr>
          <w:p w14:paraId="5DB11122" w14:textId="77777777" w:rsidR="0041397D" w:rsidRPr="004E5EBA" w:rsidRDefault="0041397D" w:rsidP="00506E02">
            <w:pPr>
              <w:pStyle w:val="Tablebodytextnospaceafter"/>
            </w:pPr>
          </w:p>
        </w:tc>
      </w:tr>
      <w:tr w:rsidR="0041397D" w14:paraId="6F145445"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24" w:type="dxa"/>
          </w:tcPr>
          <w:p w14:paraId="12FE8DA4" w14:textId="77777777" w:rsidR="0041397D" w:rsidRPr="00BE4BB3" w:rsidRDefault="0041397D" w:rsidP="00506E02">
            <w:pPr>
              <w:pStyle w:val="Tablebodytextnospaceafter"/>
            </w:pPr>
            <w:r>
              <w:t>R</w:t>
            </w:r>
            <w:r w:rsidRPr="00BE4BB3">
              <w:t>emedial action to benefit complainant</w:t>
            </w:r>
          </w:p>
        </w:tc>
        <w:tc>
          <w:tcPr>
            <w:tcW w:w="1547" w:type="dxa"/>
          </w:tcPr>
          <w:p w14:paraId="4A8C7E68" w14:textId="77777777" w:rsidR="0041397D" w:rsidRDefault="0041397D" w:rsidP="00506E02">
            <w:pPr>
              <w:pStyle w:val="Tablebodytextnospaceafter"/>
            </w:pPr>
            <w:r>
              <w:t>47</w:t>
            </w:r>
          </w:p>
        </w:tc>
        <w:tc>
          <w:tcPr>
            <w:tcW w:w="1547" w:type="dxa"/>
          </w:tcPr>
          <w:p w14:paraId="0ADA2D9B" w14:textId="77777777" w:rsidR="0041397D" w:rsidRDefault="005E169F" w:rsidP="00506E02">
            <w:pPr>
              <w:pStyle w:val="Tablebodytextnospaceafter"/>
            </w:pPr>
            <w:r>
              <w:t>45</w:t>
            </w:r>
          </w:p>
        </w:tc>
      </w:tr>
      <w:tr w:rsidR="0041397D" w14:paraId="13A419DF"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24" w:type="dxa"/>
          </w:tcPr>
          <w:p w14:paraId="79F1C769" w14:textId="77777777" w:rsidR="0041397D" w:rsidRPr="00BE4BB3" w:rsidRDefault="0041397D" w:rsidP="00506E02">
            <w:pPr>
              <w:pStyle w:val="Tablebodytextnospaceafter"/>
            </w:pPr>
            <w:r>
              <w:t>P</w:t>
            </w:r>
            <w:r w:rsidRPr="00BE4BB3">
              <w:t xml:space="preserve">rovision of advice/explanation by agency or Ombudsman </w:t>
            </w:r>
            <w:r>
              <w:t xml:space="preserve">that </w:t>
            </w:r>
            <w:r w:rsidRPr="00BE4BB3">
              <w:t xml:space="preserve"> satisfies complainant</w:t>
            </w:r>
          </w:p>
        </w:tc>
        <w:tc>
          <w:tcPr>
            <w:tcW w:w="1547" w:type="dxa"/>
          </w:tcPr>
          <w:p w14:paraId="4B7BFA29" w14:textId="77777777" w:rsidR="0041397D" w:rsidRDefault="0041397D" w:rsidP="00506E02">
            <w:pPr>
              <w:pStyle w:val="Tablebodytextnospaceafter"/>
            </w:pPr>
            <w:r>
              <w:t>4</w:t>
            </w:r>
          </w:p>
        </w:tc>
        <w:tc>
          <w:tcPr>
            <w:tcW w:w="1547" w:type="dxa"/>
          </w:tcPr>
          <w:p w14:paraId="6E38C9D6" w14:textId="77777777" w:rsidR="0041397D" w:rsidRDefault="005E169F" w:rsidP="00506E02">
            <w:pPr>
              <w:pStyle w:val="Tablebodytextnospaceafter"/>
            </w:pPr>
            <w:r>
              <w:t>3</w:t>
            </w:r>
          </w:p>
        </w:tc>
      </w:tr>
      <w:tr w:rsidR="0041397D" w14:paraId="3EDFD811"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24" w:type="dxa"/>
          </w:tcPr>
          <w:p w14:paraId="19812EB2" w14:textId="77777777" w:rsidR="0041397D" w:rsidRPr="00AE78F1" w:rsidRDefault="0041397D" w:rsidP="00506E02">
            <w:pPr>
              <w:pStyle w:val="Tablebodytextnospaceafter"/>
              <w:rPr>
                <w:rStyle w:val="EmphasisItalics"/>
              </w:rPr>
            </w:pPr>
            <w:r w:rsidRPr="00AE78F1">
              <w:rPr>
                <w:rStyle w:val="EmphasisItalics"/>
              </w:rPr>
              <w:t>Subtotal</w:t>
            </w:r>
          </w:p>
        </w:tc>
        <w:tc>
          <w:tcPr>
            <w:tcW w:w="1547" w:type="dxa"/>
          </w:tcPr>
          <w:p w14:paraId="0BE91C5D" w14:textId="77777777" w:rsidR="0041397D" w:rsidRPr="00AE78F1" w:rsidRDefault="0041397D" w:rsidP="00506E02">
            <w:pPr>
              <w:pStyle w:val="Tablebodytextnospaceafter"/>
              <w:jc w:val="right"/>
              <w:rPr>
                <w:rStyle w:val="EmphasisItalics"/>
              </w:rPr>
            </w:pPr>
            <w:r>
              <w:rPr>
                <w:rStyle w:val="EmphasisItalics"/>
              </w:rPr>
              <w:t>51</w:t>
            </w:r>
          </w:p>
        </w:tc>
        <w:tc>
          <w:tcPr>
            <w:tcW w:w="1547" w:type="dxa"/>
          </w:tcPr>
          <w:p w14:paraId="08F1CA05" w14:textId="77777777" w:rsidR="0041397D" w:rsidRDefault="005E169F" w:rsidP="00506E02">
            <w:pPr>
              <w:pStyle w:val="Tablebodytextnospaceafter"/>
              <w:jc w:val="right"/>
              <w:rPr>
                <w:rStyle w:val="EmphasisItalics"/>
              </w:rPr>
            </w:pPr>
            <w:r>
              <w:rPr>
                <w:rStyle w:val="EmphasisItalics"/>
              </w:rPr>
              <w:t>48</w:t>
            </w:r>
          </w:p>
        </w:tc>
      </w:tr>
      <w:tr w:rsidR="0041397D" w14:paraId="5001BEA8"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24" w:type="dxa"/>
            <w:shd w:val="clear" w:color="auto" w:fill="BFBFBF"/>
          </w:tcPr>
          <w:p w14:paraId="2C70CB22" w14:textId="77777777" w:rsidR="0041397D" w:rsidRPr="00643338" w:rsidRDefault="0041397D" w:rsidP="00506E02">
            <w:pPr>
              <w:pStyle w:val="Tablebodytextnospaceafter"/>
              <w:rPr>
                <w:rStyle w:val="Emphasis"/>
              </w:rPr>
            </w:pPr>
            <w:r w:rsidRPr="00643338">
              <w:rPr>
                <w:rStyle w:val="Emphasis"/>
              </w:rPr>
              <w:t>Investigation finalised (final opinion formed)</w:t>
            </w:r>
          </w:p>
        </w:tc>
        <w:tc>
          <w:tcPr>
            <w:tcW w:w="1547" w:type="dxa"/>
            <w:shd w:val="clear" w:color="auto" w:fill="BFBFBF"/>
          </w:tcPr>
          <w:p w14:paraId="7E2DB1B6" w14:textId="77777777" w:rsidR="0041397D" w:rsidRPr="004E5EBA" w:rsidRDefault="0041397D" w:rsidP="00506E02">
            <w:pPr>
              <w:pStyle w:val="Tablebodytextnospaceafter"/>
              <w:rPr>
                <w:rStyle w:val="Emphasis"/>
                <w:b w:val="0"/>
              </w:rPr>
            </w:pPr>
          </w:p>
        </w:tc>
        <w:tc>
          <w:tcPr>
            <w:tcW w:w="1547" w:type="dxa"/>
            <w:shd w:val="clear" w:color="auto" w:fill="BFBFBF"/>
          </w:tcPr>
          <w:p w14:paraId="3A079591" w14:textId="77777777" w:rsidR="0041397D" w:rsidRPr="004E5EBA" w:rsidRDefault="0041397D" w:rsidP="00506E02">
            <w:pPr>
              <w:pStyle w:val="Tablebodytextnospaceafter"/>
              <w:rPr>
                <w:rStyle w:val="Emphasis"/>
                <w:b w:val="0"/>
              </w:rPr>
            </w:pPr>
          </w:p>
        </w:tc>
      </w:tr>
      <w:tr w:rsidR="0041397D" w14:paraId="1CEB1E6E"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24" w:type="dxa"/>
          </w:tcPr>
          <w:p w14:paraId="6DFC0AD8" w14:textId="77777777" w:rsidR="0041397D" w:rsidRPr="00BE4BB3" w:rsidRDefault="0041397D" w:rsidP="00506E02">
            <w:pPr>
              <w:pStyle w:val="Tablebodytextnospaceafter"/>
            </w:pPr>
            <w:r>
              <w:t>A</w:t>
            </w:r>
            <w:r w:rsidRPr="00BE4BB3">
              <w:t>dministrative deficiency identified – recommendation/s</w:t>
            </w:r>
          </w:p>
        </w:tc>
        <w:tc>
          <w:tcPr>
            <w:tcW w:w="1547" w:type="dxa"/>
          </w:tcPr>
          <w:p w14:paraId="7938FC2C" w14:textId="77777777" w:rsidR="0041397D" w:rsidRDefault="0041397D" w:rsidP="00506E02">
            <w:pPr>
              <w:pStyle w:val="Tablebodytextnospaceafter"/>
            </w:pPr>
            <w:r>
              <w:t>6</w:t>
            </w:r>
          </w:p>
        </w:tc>
        <w:tc>
          <w:tcPr>
            <w:tcW w:w="1547" w:type="dxa"/>
          </w:tcPr>
          <w:p w14:paraId="1A2F1FFE" w14:textId="77777777" w:rsidR="0041397D" w:rsidRDefault="005E169F" w:rsidP="00506E02">
            <w:pPr>
              <w:pStyle w:val="Tablebodytextnospaceafter"/>
            </w:pPr>
            <w:r>
              <w:t>25</w:t>
            </w:r>
          </w:p>
        </w:tc>
      </w:tr>
      <w:tr w:rsidR="0041397D" w14:paraId="32760121"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24" w:type="dxa"/>
          </w:tcPr>
          <w:p w14:paraId="02FB1C8F" w14:textId="77777777" w:rsidR="0041397D" w:rsidRPr="00BE4BB3" w:rsidRDefault="0041397D" w:rsidP="00506E02">
            <w:pPr>
              <w:pStyle w:val="Tablebodytextnospaceafter"/>
            </w:pPr>
            <w:r>
              <w:t>A</w:t>
            </w:r>
            <w:r w:rsidRPr="00BE4BB3">
              <w:t>dministrative deficiency identified – no recommendation</w:t>
            </w:r>
          </w:p>
        </w:tc>
        <w:tc>
          <w:tcPr>
            <w:tcW w:w="1547" w:type="dxa"/>
          </w:tcPr>
          <w:p w14:paraId="76834F12" w14:textId="77777777" w:rsidR="0041397D" w:rsidRDefault="0041397D" w:rsidP="00506E02">
            <w:pPr>
              <w:pStyle w:val="Tablebodytextnospaceafter"/>
            </w:pPr>
            <w:r>
              <w:t>3</w:t>
            </w:r>
          </w:p>
        </w:tc>
        <w:tc>
          <w:tcPr>
            <w:tcW w:w="1547" w:type="dxa"/>
          </w:tcPr>
          <w:p w14:paraId="267D5D6E" w14:textId="77777777" w:rsidR="0041397D" w:rsidRDefault="005E169F" w:rsidP="00506E02">
            <w:pPr>
              <w:pStyle w:val="Tablebodytextnospaceafter"/>
            </w:pPr>
            <w:r>
              <w:t>13</w:t>
            </w:r>
          </w:p>
        </w:tc>
      </w:tr>
      <w:tr w:rsidR="0041397D" w14:paraId="107DA8D0"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24" w:type="dxa"/>
          </w:tcPr>
          <w:p w14:paraId="7416235B" w14:textId="77777777" w:rsidR="0041397D" w:rsidRPr="00BE4BB3" w:rsidRDefault="0041397D" w:rsidP="00506E02">
            <w:pPr>
              <w:pStyle w:val="Tablebodytextnospaceafter"/>
            </w:pPr>
            <w:r>
              <w:t>N</w:t>
            </w:r>
            <w:r w:rsidRPr="00BE4BB3">
              <w:t>o administrative deficiency identified</w:t>
            </w:r>
          </w:p>
        </w:tc>
        <w:tc>
          <w:tcPr>
            <w:tcW w:w="1547" w:type="dxa"/>
          </w:tcPr>
          <w:p w14:paraId="10574822" w14:textId="77777777" w:rsidR="0041397D" w:rsidRDefault="0041397D" w:rsidP="00506E02">
            <w:pPr>
              <w:pStyle w:val="Tablebodytextnospaceafter"/>
            </w:pPr>
            <w:r>
              <w:t>43</w:t>
            </w:r>
          </w:p>
        </w:tc>
        <w:tc>
          <w:tcPr>
            <w:tcW w:w="1547" w:type="dxa"/>
          </w:tcPr>
          <w:p w14:paraId="7F76ED61" w14:textId="77777777" w:rsidR="0041397D" w:rsidRDefault="005E169F" w:rsidP="00506E02">
            <w:pPr>
              <w:pStyle w:val="Tablebodytextnospaceafter"/>
            </w:pPr>
            <w:r>
              <w:t>45</w:t>
            </w:r>
          </w:p>
        </w:tc>
      </w:tr>
      <w:tr w:rsidR="0041397D" w14:paraId="7548E650"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24" w:type="dxa"/>
          </w:tcPr>
          <w:p w14:paraId="3FC1EFBB" w14:textId="77777777" w:rsidR="0041397D" w:rsidRPr="00AE78F1" w:rsidRDefault="0041397D" w:rsidP="00506E02">
            <w:pPr>
              <w:pStyle w:val="Tablebodytextnospaceafter"/>
              <w:rPr>
                <w:rStyle w:val="EmphasisItalics"/>
              </w:rPr>
            </w:pPr>
            <w:r w:rsidRPr="00AE78F1">
              <w:rPr>
                <w:rStyle w:val="EmphasisItalics"/>
              </w:rPr>
              <w:t>Subtotal</w:t>
            </w:r>
          </w:p>
        </w:tc>
        <w:tc>
          <w:tcPr>
            <w:tcW w:w="1547" w:type="dxa"/>
          </w:tcPr>
          <w:p w14:paraId="0E16AD4E" w14:textId="77777777" w:rsidR="0041397D" w:rsidRPr="00AE78F1" w:rsidRDefault="0041397D" w:rsidP="00506E02">
            <w:pPr>
              <w:pStyle w:val="Tablebodytextnospaceafter"/>
              <w:jc w:val="right"/>
              <w:rPr>
                <w:rStyle w:val="EmphasisItalics"/>
              </w:rPr>
            </w:pPr>
            <w:r>
              <w:rPr>
                <w:rStyle w:val="EmphasisItalics"/>
              </w:rPr>
              <w:t>52</w:t>
            </w:r>
          </w:p>
        </w:tc>
        <w:tc>
          <w:tcPr>
            <w:tcW w:w="1547" w:type="dxa"/>
          </w:tcPr>
          <w:p w14:paraId="1703510C" w14:textId="77777777" w:rsidR="0041397D" w:rsidRDefault="005E169F" w:rsidP="00506E02">
            <w:pPr>
              <w:pStyle w:val="Tablebodytextnospaceafter"/>
              <w:jc w:val="right"/>
              <w:rPr>
                <w:rStyle w:val="EmphasisItalics"/>
              </w:rPr>
            </w:pPr>
            <w:r>
              <w:rPr>
                <w:rStyle w:val="EmphasisItalics"/>
              </w:rPr>
              <w:t>83</w:t>
            </w:r>
          </w:p>
        </w:tc>
      </w:tr>
      <w:tr w:rsidR="0041397D" w14:paraId="7B84FC32" w14:textId="77777777" w:rsidTr="0041397D">
        <w:trPr>
          <w:cnfStyle w:val="000000010000" w:firstRow="0" w:lastRow="0" w:firstColumn="0" w:lastColumn="0" w:oddVBand="0" w:evenVBand="0" w:oddHBand="0" w:evenHBand="1" w:firstRowFirstColumn="0" w:firstRowLastColumn="0" w:lastRowFirstColumn="0" w:lastRowLastColumn="0"/>
          <w:trHeight w:val="60"/>
        </w:trPr>
        <w:tc>
          <w:tcPr>
            <w:tcW w:w="6224" w:type="dxa"/>
          </w:tcPr>
          <w:p w14:paraId="08B88AAB" w14:textId="77777777" w:rsidR="0041397D" w:rsidRPr="00B60F9F" w:rsidRDefault="0041397D" w:rsidP="00506E02">
            <w:pPr>
              <w:pStyle w:val="Tablebodytextnospaceafter"/>
              <w:rPr>
                <w:rStyle w:val="EmphasisItalics"/>
              </w:rPr>
            </w:pPr>
            <w:r w:rsidRPr="00B60F9F">
              <w:rPr>
                <w:rStyle w:val="EmphasisItalics"/>
              </w:rPr>
              <w:t>Under consideration at 30 June</w:t>
            </w:r>
          </w:p>
        </w:tc>
        <w:tc>
          <w:tcPr>
            <w:tcW w:w="1547" w:type="dxa"/>
          </w:tcPr>
          <w:p w14:paraId="2AAC827C" w14:textId="77777777" w:rsidR="0041397D" w:rsidRPr="00B60F9F" w:rsidRDefault="0041397D" w:rsidP="00506E02">
            <w:pPr>
              <w:pStyle w:val="Tablebodytextnospaceafter"/>
              <w:jc w:val="right"/>
              <w:rPr>
                <w:rStyle w:val="EmphasisItalics"/>
              </w:rPr>
            </w:pPr>
            <w:r>
              <w:rPr>
                <w:rStyle w:val="EmphasisItalics"/>
              </w:rPr>
              <w:t>122</w:t>
            </w:r>
          </w:p>
        </w:tc>
        <w:tc>
          <w:tcPr>
            <w:tcW w:w="1547" w:type="dxa"/>
          </w:tcPr>
          <w:p w14:paraId="3716AA03" w14:textId="77777777" w:rsidR="0041397D" w:rsidRDefault="005E169F" w:rsidP="00506E02">
            <w:pPr>
              <w:pStyle w:val="Tablebodytextnospaceafter"/>
              <w:jc w:val="right"/>
              <w:rPr>
                <w:rStyle w:val="EmphasisItalics"/>
              </w:rPr>
            </w:pPr>
            <w:r>
              <w:rPr>
                <w:rStyle w:val="EmphasisItalics"/>
              </w:rPr>
              <w:t>123</w:t>
            </w:r>
          </w:p>
        </w:tc>
      </w:tr>
      <w:tr w:rsidR="0041397D" w14:paraId="2CA4EEC1" w14:textId="77777777" w:rsidTr="0041397D">
        <w:trPr>
          <w:cnfStyle w:val="000000100000" w:firstRow="0" w:lastRow="0" w:firstColumn="0" w:lastColumn="0" w:oddVBand="0" w:evenVBand="0" w:oddHBand="1" w:evenHBand="0" w:firstRowFirstColumn="0" w:firstRowLastColumn="0" w:lastRowFirstColumn="0" w:lastRowLastColumn="0"/>
          <w:trHeight w:val="60"/>
        </w:trPr>
        <w:tc>
          <w:tcPr>
            <w:tcW w:w="6224" w:type="dxa"/>
            <w:shd w:val="clear" w:color="auto" w:fill="BFBFBF"/>
          </w:tcPr>
          <w:p w14:paraId="37CBF277" w14:textId="77777777" w:rsidR="0041397D" w:rsidRPr="00B60F9F" w:rsidRDefault="0041397D" w:rsidP="00506E02">
            <w:pPr>
              <w:pStyle w:val="Tablebodytextnospaceafter"/>
              <w:rPr>
                <w:rStyle w:val="Emphasis"/>
              </w:rPr>
            </w:pPr>
            <w:r w:rsidRPr="00B60F9F">
              <w:rPr>
                <w:rStyle w:val="Emphasis"/>
              </w:rPr>
              <w:t>Total</w:t>
            </w:r>
          </w:p>
        </w:tc>
        <w:tc>
          <w:tcPr>
            <w:tcW w:w="1547" w:type="dxa"/>
            <w:shd w:val="clear" w:color="auto" w:fill="BFBFBF"/>
          </w:tcPr>
          <w:p w14:paraId="26219314" w14:textId="77777777" w:rsidR="0041397D" w:rsidRPr="00B60F9F" w:rsidRDefault="0041397D" w:rsidP="00506E02">
            <w:pPr>
              <w:pStyle w:val="Tablebodytextnospaceafter"/>
              <w:jc w:val="right"/>
              <w:rPr>
                <w:rStyle w:val="Emphasis"/>
              </w:rPr>
            </w:pPr>
            <w:r>
              <w:rPr>
                <w:rStyle w:val="Emphasis"/>
              </w:rPr>
              <w:t>461</w:t>
            </w:r>
          </w:p>
        </w:tc>
        <w:tc>
          <w:tcPr>
            <w:tcW w:w="1547" w:type="dxa"/>
            <w:shd w:val="clear" w:color="auto" w:fill="BFBFBF"/>
          </w:tcPr>
          <w:p w14:paraId="7114238E" w14:textId="77777777" w:rsidR="0041397D" w:rsidRDefault="005E169F" w:rsidP="00506E02">
            <w:pPr>
              <w:pStyle w:val="Tablebodytextnospaceafter"/>
              <w:jc w:val="right"/>
              <w:rPr>
                <w:rStyle w:val="Emphasis"/>
              </w:rPr>
            </w:pPr>
            <w:r>
              <w:rPr>
                <w:rStyle w:val="Emphasis"/>
              </w:rPr>
              <w:t>476</w:t>
            </w:r>
          </w:p>
        </w:tc>
      </w:tr>
    </w:tbl>
    <w:p w14:paraId="4E6838CE" w14:textId="477AE988" w:rsidR="00DF1795" w:rsidRDefault="005B795D" w:rsidP="00DF1795">
      <w:hyperlink w:anchor="Contents" w:history="1">
        <w:r w:rsidR="00DF1795" w:rsidRPr="00F5248A">
          <w:rPr>
            <w:rStyle w:val="Hyperlink"/>
          </w:rPr>
          <w:t>Back to contents</w:t>
        </w:r>
      </w:hyperlink>
    </w:p>
    <w:p w14:paraId="0F5816BF" w14:textId="77777777" w:rsidR="00DF1795" w:rsidRDefault="00DF1795" w:rsidP="00DF1795"/>
    <w:tbl>
      <w:tblPr>
        <w:tblStyle w:val="TableGridAnnualReport"/>
        <w:tblW w:w="9336" w:type="dxa"/>
        <w:tblInd w:w="10" w:type="dxa"/>
        <w:tblLayout w:type="fixed"/>
        <w:tblLook w:val="0420" w:firstRow="1" w:lastRow="0" w:firstColumn="0" w:lastColumn="0" w:noHBand="0" w:noVBand="1"/>
        <w:tblCaption w:val="Nature of deficiency identified where final opinion formed on LGOIMA complaints – Administrative deficiency in an individual case"/>
      </w:tblPr>
      <w:tblGrid>
        <w:gridCol w:w="6501"/>
        <w:gridCol w:w="1417"/>
        <w:gridCol w:w="1418"/>
      </w:tblGrid>
      <w:tr w:rsidR="0041397D" w14:paraId="52F3ABD3" w14:textId="77777777" w:rsidTr="00364FD2">
        <w:trPr>
          <w:cnfStyle w:val="100000000000" w:firstRow="1" w:lastRow="0" w:firstColumn="0" w:lastColumn="0" w:oddVBand="0" w:evenVBand="0" w:oddHBand="0" w:evenHBand="0" w:firstRowFirstColumn="0" w:firstRowLastColumn="0" w:lastRowFirstColumn="0" w:lastRowLastColumn="0"/>
          <w:trHeight w:val="556"/>
        </w:trPr>
        <w:tc>
          <w:tcPr>
            <w:tcW w:w="6501" w:type="dxa"/>
          </w:tcPr>
          <w:p w14:paraId="416D640B" w14:textId="77777777" w:rsidR="0041397D" w:rsidRPr="007C71F9" w:rsidRDefault="001C7062" w:rsidP="00364FD2">
            <w:pPr>
              <w:pStyle w:val="Tableheadingrow1"/>
            </w:pPr>
            <w:r>
              <w:t>2</w:t>
            </w:r>
            <w:r w:rsidR="00F15F11">
              <w:t>3</w:t>
            </w:r>
            <w:r>
              <w:t xml:space="preserve">. </w:t>
            </w:r>
            <w:r w:rsidR="0041397D" w:rsidRPr="007C71F9">
              <w:t>Nature of deficiency identified where final opinion formed on</w:t>
            </w:r>
            <w:r w:rsidR="0041397D">
              <w:t xml:space="preserve"> LGOIMA</w:t>
            </w:r>
            <w:r w:rsidR="0041397D" w:rsidRPr="007C71F9">
              <w:t xml:space="preserve"> complaints</w:t>
            </w:r>
            <w:r w:rsidR="0041397D">
              <w:t xml:space="preserve">  </w:t>
            </w:r>
          </w:p>
        </w:tc>
        <w:tc>
          <w:tcPr>
            <w:tcW w:w="1417" w:type="dxa"/>
          </w:tcPr>
          <w:p w14:paraId="1CA3DEDA" w14:textId="77777777" w:rsidR="0041397D" w:rsidRPr="007C71F9" w:rsidRDefault="0041397D" w:rsidP="00506E02">
            <w:pPr>
              <w:pStyle w:val="Tableheadingrow1"/>
              <w:jc w:val="right"/>
            </w:pPr>
            <w:r>
              <w:t>2018/19</w:t>
            </w:r>
          </w:p>
        </w:tc>
        <w:tc>
          <w:tcPr>
            <w:tcW w:w="1418" w:type="dxa"/>
          </w:tcPr>
          <w:p w14:paraId="55A91767" w14:textId="77777777" w:rsidR="0041397D" w:rsidRDefault="0041397D" w:rsidP="00506E02">
            <w:pPr>
              <w:pStyle w:val="Tableheadingrow1"/>
              <w:jc w:val="right"/>
            </w:pPr>
            <w:r>
              <w:t>2019/20</w:t>
            </w:r>
          </w:p>
        </w:tc>
      </w:tr>
      <w:tr w:rsidR="00C463EB" w:rsidRPr="00364FD2" w14:paraId="306B05A7" w14:textId="77777777" w:rsidTr="00222C74">
        <w:trPr>
          <w:cnfStyle w:val="000000100000" w:firstRow="0" w:lastRow="0" w:firstColumn="0" w:lastColumn="0" w:oddVBand="0" w:evenVBand="0" w:oddHBand="1" w:evenHBand="0" w:firstRowFirstColumn="0" w:firstRowLastColumn="0" w:lastRowFirstColumn="0" w:lastRowLastColumn="0"/>
          <w:trHeight w:val="263"/>
        </w:trPr>
        <w:tc>
          <w:tcPr>
            <w:tcW w:w="6501" w:type="dxa"/>
            <w:shd w:val="clear" w:color="auto" w:fill="BFBFBF"/>
          </w:tcPr>
          <w:p w14:paraId="5AC3034A" w14:textId="77777777" w:rsidR="00C463EB" w:rsidRPr="00364FD2" w:rsidRDefault="00C463EB" w:rsidP="00364FD2">
            <w:pPr>
              <w:pStyle w:val="Tablesinglespacedparagraph"/>
              <w:rPr>
                <w:rStyle w:val="Emphasis"/>
              </w:rPr>
            </w:pPr>
            <w:r w:rsidRPr="00364FD2">
              <w:rPr>
                <w:rStyle w:val="Emphasis"/>
              </w:rPr>
              <w:t>Administrative deficiency in an individual case</w:t>
            </w:r>
          </w:p>
        </w:tc>
        <w:tc>
          <w:tcPr>
            <w:tcW w:w="1417" w:type="dxa"/>
            <w:shd w:val="clear" w:color="auto" w:fill="BFBFBF"/>
          </w:tcPr>
          <w:p w14:paraId="06622014" w14:textId="77777777" w:rsidR="00C463EB" w:rsidRPr="00364FD2" w:rsidRDefault="00C463EB" w:rsidP="00364FD2">
            <w:pPr>
              <w:pStyle w:val="Tablesinglespacedparagraph"/>
              <w:rPr>
                <w:rStyle w:val="Emphasis"/>
              </w:rPr>
            </w:pPr>
          </w:p>
        </w:tc>
        <w:tc>
          <w:tcPr>
            <w:tcW w:w="1418" w:type="dxa"/>
            <w:shd w:val="clear" w:color="auto" w:fill="BFBFBF"/>
          </w:tcPr>
          <w:p w14:paraId="69139C96" w14:textId="0F4B6735" w:rsidR="00C463EB" w:rsidRPr="00364FD2" w:rsidRDefault="00C463EB" w:rsidP="00364FD2">
            <w:pPr>
              <w:pStyle w:val="Tablesinglespacedparagraph"/>
              <w:rPr>
                <w:rStyle w:val="Emphasis"/>
              </w:rPr>
            </w:pPr>
          </w:p>
        </w:tc>
      </w:tr>
      <w:tr w:rsidR="00D16FB5" w14:paraId="388D824B" w14:textId="77777777" w:rsidTr="00364FD2">
        <w:trPr>
          <w:cnfStyle w:val="000000010000" w:firstRow="0" w:lastRow="0" w:firstColumn="0" w:lastColumn="0" w:oddVBand="0" w:evenVBand="0" w:oddHBand="0" w:evenHBand="1" w:firstRowFirstColumn="0" w:firstRowLastColumn="0" w:lastRowFirstColumn="0" w:lastRowLastColumn="0"/>
          <w:trHeight w:val="283"/>
        </w:trPr>
        <w:tc>
          <w:tcPr>
            <w:tcW w:w="6501" w:type="dxa"/>
          </w:tcPr>
          <w:p w14:paraId="14C4A55F" w14:textId="77777777" w:rsidR="00D16FB5" w:rsidRPr="00BE4BB3" w:rsidRDefault="00D16FB5" w:rsidP="00506E02">
            <w:pPr>
              <w:pStyle w:val="Tablesinglespacedparagraph"/>
            </w:pPr>
            <w:r>
              <w:t>Refusal not justified – in part</w:t>
            </w:r>
          </w:p>
        </w:tc>
        <w:tc>
          <w:tcPr>
            <w:tcW w:w="1417" w:type="dxa"/>
          </w:tcPr>
          <w:p w14:paraId="5708EED9" w14:textId="77777777" w:rsidR="00D16FB5" w:rsidRDefault="00D16FB5" w:rsidP="00506E02">
            <w:pPr>
              <w:pStyle w:val="Tablesinglespacedparagraph"/>
              <w:jc w:val="right"/>
            </w:pPr>
            <w:r>
              <w:t>1</w:t>
            </w:r>
          </w:p>
        </w:tc>
        <w:tc>
          <w:tcPr>
            <w:tcW w:w="1418" w:type="dxa"/>
          </w:tcPr>
          <w:p w14:paraId="0CBFE3A9" w14:textId="77777777" w:rsidR="00D16FB5" w:rsidRDefault="00D16FB5" w:rsidP="00506E02">
            <w:pPr>
              <w:pStyle w:val="Tablesinglespacedparagraph"/>
              <w:jc w:val="right"/>
            </w:pPr>
            <w:r>
              <w:t>6</w:t>
            </w:r>
          </w:p>
        </w:tc>
      </w:tr>
      <w:tr w:rsidR="00D16FB5" w14:paraId="53EE6D87" w14:textId="77777777" w:rsidTr="00364FD2">
        <w:trPr>
          <w:cnfStyle w:val="000000100000" w:firstRow="0" w:lastRow="0" w:firstColumn="0" w:lastColumn="0" w:oddVBand="0" w:evenVBand="0" w:oddHBand="1" w:evenHBand="0" w:firstRowFirstColumn="0" w:firstRowLastColumn="0" w:lastRowFirstColumn="0" w:lastRowLastColumn="0"/>
          <w:trHeight w:val="283"/>
        </w:trPr>
        <w:tc>
          <w:tcPr>
            <w:tcW w:w="6501" w:type="dxa"/>
          </w:tcPr>
          <w:p w14:paraId="27CC3E0E" w14:textId="77777777" w:rsidR="00D16FB5" w:rsidRPr="00BE4BB3" w:rsidRDefault="00D16FB5" w:rsidP="002B580F">
            <w:pPr>
              <w:pStyle w:val="Tablesinglespacedparagraph"/>
            </w:pPr>
            <w:r>
              <w:t>Refusal not justified – in whole</w:t>
            </w:r>
          </w:p>
        </w:tc>
        <w:tc>
          <w:tcPr>
            <w:tcW w:w="1417" w:type="dxa"/>
          </w:tcPr>
          <w:p w14:paraId="61756B83" w14:textId="77777777" w:rsidR="00D16FB5" w:rsidRDefault="00D16FB5" w:rsidP="002B580F">
            <w:pPr>
              <w:pStyle w:val="Tablesinglespacedparagraph"/>
              <w:jc w:val="right"/>
            </w:pPr>
            <w:r>
              <w:t>6</w:t>
            </w:r>
          </w:p>
        </w:tc>
        <w:tc>
          <w:tcPr>
            <w:tcW w:w="1418" w:type="dxa"/>
          </w:tcPr>
          <w:p w14:paraId="70AA64EB" w14:textId="77777777" w:rsidR="00D16FB5" w:rsidRDefault="00D16FB5" w:rsidP="002B580F">
            <w:pPr>
              <w:pStyle w:val="Tablesinglespacedparagraph"/>
              <w:jc w:val="right"/>
            </w:pPr>
            <w:r>
              <w:t>2</w:t>
            </w:r>
          </w:p>
        </w:tc>
      </w:tr>
      <w:tr w:rsidR="00D16FB5" w14:paraId="48C96BE4" w14:textId="77777777" w:rsidTr="00364FD2">
        <w:trPr>
          <w:cnfStyle w:val="000000010000" w:firstRow="0" w:lastRow="0" w:firstColumn="0" w:lastColumn="0" w:oddVBand="0" w:evenVBand="0" w:oddHBand="0" w:evenHBand="1" w:firstRowFirstColumn="0" w:firstRowLastColumn="0" w:lastRowFirstColumn="0" w:lastRowLastColumn="0"/>
          <w:trHeight w:val="283"/>
        </w:trPr>
        <w:tc>
          <w:tcPr>
            <w:tcW w:w="6501" w:type="dxa"/>
          </w:tcPr>
          <w:p w14:paraId="7CECAC15" w14:textId="77777777" w:rsidR="00D16FB5" w:rsidRPr="00BE4BB3" w:rsidRDefault="00D16FB5" w:rsidP="00506E02">
            <w:pPr>
              <w:pStyle w:val="Tablesinglespacedparagraph"/>
            </w:pPr>
            <w:r>
              <w:t>Unreasonable charge</w:t>
            </w:r>
          </w:p>
        </w:tc>
        <w:tc>
          <w:tcPr>
            <w:tcW w:w="1417" w:type="dxa"/>
          </w:tcPr>
          <w:p w14:paraId="1E928BE1" w14:textId="77777777" w:rsidR="00D16FB5" w:rsidRDefault="00D16FB5" w:rsidP="00506E02">
            <w:pPr>
              <w:pStyle w:val="Tablesinglespacedparagraph"/>
              <w:jc w:val="right"/>
            </w:pPr>
            <w:r>
              <w:t>-</w:t>
            </w:r>
          </w:p>
        </w:tc>
        <w:tc>
          <w:tcPr>
            <w:tcW w:w="1418" w:type="dxa"/>
          </w:tcPr>
          <w:p w14:paraId="770D0017" w14:textId="77777777" w:rsidR="00D16FB5" w:rsidRDefault="00D16FB5" w:rsidP="00506E02">
            <w:pPr>
              <w:pStyle w:val="Tablesinglespacedparagraph"/>
              <w:jc w:val="right"/>
            </w:pPr>
            <w:r>
              <w:t>1</w:t>
            </w:r>
          </w:p>
        </w:tc>
      </w:tr>
      <w:tr w:rsidR="00D16FB5" w14:paraId="53F5DEC0" w14:textId="77777777" w:rsidTr="00364FD2">
        <w:trPr>
          <w:cnfStyle w:val="000000100000" w:firstRow="0" w:lastRow="0" w:firstColumn="0" w:lastColumn="0" w:oddVBand="0" w:evenVBand="0" w:oddHBand="1" w:evenHBand="0" w:firstRowFirstColumn="0" w:firstRowLastColumn="0" w:lastRowFirstColumn="0" w:lastRowLastColumn="0"/>
          <w:trHeight w:val="283"/>
        </w:trPr>
        <w:tc>
          <w:tcPr>
            <w:tcW w:w="6501" w:type="dxa"/>
          </w:tcPr>
          <w:p w14:paraId="723CD547" w14:textId="77777777" w:rsidR="00D16FB5" w:rsidRPr="00BE4BB3" w:rsidRDefault="00D16FB5" w:rsidP="00506E02">
            <w:pPr>
              <w:pStyle w:val="Tablesinglespacedparagraph"/>
            </w:pPr>
            <w:r>
              <w:t>Delay deemed refusal</w:t>
            </w:r>
          </w:p>
        </w:tc>
        <w:tc>
          <w:tcPr>
            <w:tcW w:w="1417" w:type="dxa"/>
          </w:tcPr>
          <w:p w14:paraId="22CF01A0" w14:textId="77777777" w:rsidR="00D16FB5" w:rsidRDefault="00D16FB5" w:rsidP="00506E02">
            <w:pPr>
              <w:pStyle w:val="Tablesinglespacedparagraph"/>
              <w:jc w:val="right"/>
            </w:pPr>
            <w:r>
              <w:t>-</w:t>
            </w:r>
          </w:p>
        </w:tc>
        <w:tc>
          <w:tcPr>
            <w:tcW w:w="1418" w:type="dxa"/>
          </w:tcPr>
          <w:p w14:paraId="7A7E2246" w14:textId="77777777" w:rsidR="00D16FB5" w:rsidRDefault="00D16FB5" w:rsidP="00506E02">
            <w:pPr>
              <w:pStyle w:val="Tablesinglespacedparagraph"/>
              <w:jc w:val="right"/>
            </w:pPr>
            <w:r>
              <w:t>1</w:t>
            </w:r>
          </w:p>
        </w:tc>
      </w:tr>
      <w:tr w:rsidR="00D16FB5" w14:paraId="0754146B" w14:textId="77777777" w:rsidTr="00364FD2">
        <w:trPr>
          <w:cnfStyle w:val="000000010000" w:firstRow="0" w:lastRow="0" w:firstColumn="0" w:lastColumn="0" w:oddVBand="0" w:evenVBand="0" w:oddHBand="0" w:evenHBand="1" w:firstRowFirstColumn="0" w:firstRowLastColumn="0" w:lastRowFirstColumn="0" w:lastRowLastColumn="0"/>
          <w:trHeight w:val="283"/>
        </w:trPr>
        <w:tc>
          <w:tcPr>
            <w:tcW w:w="6501" w:type="dxa"/>
          </w:tcPr>
          <w:p w14:paraId="1A6F4764" w14:textId="77777777" w:rsidR="00D16FB5" w:rsidRDefault="00D16FB5" w:rsidP="00506E02">
            <w:pPr>
              <w:pStyle w:val="Tablesinglespacedparagraph"/>
            </w:pPr>
            <w:r>
              <w:t>Inadequate statement of reasons</w:t>
            </w:r>
          </w:p>
        </w:tc>
        <w:tc>
          <w:tcPr>
            <w:tcW w:w="1417" w:type="dxa"/>
          </w:tcPr>
          <w:p w14:paraId="3A12806D" w14:textId="77777777" w:rsidR="00D16FB5" w:rsidRDefault="00D16FB5" w:rsidP="00506E02">
            <w:pPr>
              <w:pStyle w:val="Tablesinglespacedparagraph"/>
              <w:jc w:val="right"/>
            </w:pPr>
            <w:r>
              <w:t>1</w:t>
            </w:r>
          </w:p>
        </w:tc>
        <w:tc>
          <w:tcPr>
            <w:tcW w:w="1418" w:type="dxa"/>
          </w:tcPr>
          <w:p w14:paraId="72D598CE" w14:textId="77777777" w:rsidR="00D16FB5" w:rsidRDefault="00D16FB5" w:rsidP="00506E02">
            <w:pPr>
              <w:pStyle w:val="Tablesinglespacedparagraph"/>
              <w:jc w:val="right"/>
            </w:pPr>
            <w:r>
              <w:t>-</w:t>
            </w:r>
          </w:p>
        </w:tc>
      </w:tr>
      <w:tr w:rsidR="00D16FB5" w14:paraId="5F82B205" w14:textId="77777777" w:rsidTr="00364FD2">
        <w:trPr>
          <w:cnfStyle w:val="000000100000" w:firstRow="0" w:lastRow="0" w:firstColumn="0" w:lastColumn="0" w:oddVBand="0" w:evenVBand="0" w:oddHBand="1" w:evenHBand="0" w:firstRowFirstColumn="0" w:firstRowLastColumn="0" w:lastRowFirstColumn="0" w:lastRowLastColumn="0"/>
          <w:trHeight w:val="283"/>
        </w:trPr>
        <w:tc>
          <w:tcPr>
            <w:tcW w:w="6501" w:type="dxa"/>
          </w:tcPr>
          <w:p w14:paraId="3FA010D5" w14:textId="77777777" w:rsidR="00D16FB5" w:rsidRDefault="00D16FB5" w:rsidP="00506E02">
            <w:pPr>
              <w:pStyle w:val="Tablesinglespacedparagraph"/>
            </w:pPr>
            <w:r>
              <w:t>Otherwise wrong or unreasonable</w:t>
            </w:r>
          </w:p>
        </w:tc>
        <w:tc>
          <w:tcPr>
            <w:tcW w:w="1417" w:type="dxa"/>
          </w:tcPr>
          <w:p w14:paraId="7AB28B8D" w14:textId="77777777" w:rsidR="00D16FB5" w:rsidRDefault="00D16FB5" w:rsidP="00506E02">
            <w:pPr>
              <w:pStyle w:val="Tablesinglespacedparagraph"/>
              <w:jc w:val="right"/>
            </w:pPr>
            <w:r>
              <w:t>1</w:t>
            </w:r>
          </w:p>
        </w:tc>
        <w:tc>
          <w:tcPr>
            <w:tcW w:w="1418" w:type="dxa"/>
          </w:tcPr>
          <w:p w14:paraId="2EA087B3" w14:textId="77777777" w:rsidR="00D16FB5" w:rsidRDefault="00D16FB5" w:rsidP="00506E02">
            <w:pPr>
              <w:pStyle w:val="Tablesinglespacedparagraph"/>
              <w:jc w:val="right"/>
            </w:pPr>
            <w:r>
              <w:t>-</w:t>
            </w:r>
          </w:p>
        </w:tc>
      </w:tr>
    </w:tbl>
    <w:p w14:paraId="33F45B69" w14:textId="515DDBC0" w:rsidR="00DF1795" w:rsidRDefault="005B795D" w:rsidP="00DF1795">
      <w:hyperlink w:anchor="Contents" w:history="1">
        <w:r w:rsidR="00DF1795" w:rsidRPr="00F5248A">
          <w:rPr>
            <w:rStyle w:val="Hyperlink"/>
          </w:rPr>
          <w:t>Back to contents</w:t>
        </w:r>
      </w:hyperlink>
      <w:r w:rsidR="00DF1795">
        <w:t>.</w:t>
      </w:r>
    </w:p>
    <w:p w14:paraId="40638CB5" w14:textId="77777777" w:rsidR="00DF1795" w:rsidRDefault="00DF1795" w:rsidP="00DF1795"/>
    <w:tbl>
      <w:tblPr>
        <w:tblStyle w:val="TableGridAnnualReport"/>
        <w:tblW w:w="9420" w:type="dxa"/>
        <w:tblInd w:w="-152" w:type="dxa"/>
        <w:tblLayout w:type="fixed"/>
        <w:tblLook w:val="0420" w:firstRow="1" w:lastRow="0" w:firstColumn="0" w:lastColumn="0" w:noHBand="0" w:noVBand="1"/>
        <w:tblCaption w:val="Nature of remedy obtained for LGOIMA complaints – Individual benefit"/>
      </w:tblPr>
      <w:tblGrid>
        <w:gridCol w:w="6521"/>
        <w:gridCol w:w="1559"/>
        <w:gridCol w:w="1340"/>
      </w:tblGrid>
      <w:tr w:rsidR="0041397D" w14:paraId="22FED0E1" w14:textId="77777777" w:rsidTr="00222C74">
        <w:trPr>
          <w:cnfStyle w:val="100000000000" w:firstRow="1" w:lastRow="0" w:firstColumn="0" w:lastColumn="0" w:oddVBand="0" w:evenVBand="0" w:oddHBand="0" w:evenHBand="0" w:firstRowFirstColumn="0" w:firstRowLastColumn="0" w:lastRowFirstColumn="0" w:lastRowLastColumn="0"/>
          <w:trHeight w:val="406"/>
        </w:trPr>
        <w:tc>
          <w:tcPr>
            <w:tcW w:w="6521" w:type="dxa"/>
          </w:tcPr>
          <w:p w14:paraId="4619D31F" w14:textId="77777777" w:rsidR="0041397D" w:rsidRPr="00BE4BB3" w:rsidRDefault="001C7062" w:rsidP="00364FD2">
            <w:pPr>
              <w:pStyle w:val="Tableheadingrow1"/>
            </w:pPr>
            <w:r>
              <w:t>2</w:t>
            </w:r>
            <w:r w:rsidR="00F15F11">
              <w:t>4</w:t>
            </w:r>
            <w:r>
              <w:t xml:space="preserve">. </w:t>
            </w:r>
            <w:r w:rsidR="0041397D" w:rsidRPr="00BE4BB3">
              <w:t xml:space="preserve">Nature of remedy obtained for </w:t>
            </w:r>
            <w:r w:rsidR="0041397D">
              <w:t>LGOIMA</w:t>
            </w:r>
            <w:r w:rsidR="0041397D" w:rsidRPr="00BE4BB3">
              <w:t xml:space="preserve"> complaints</w:t>
            </w:r>
            <w:r w:rsidR="00364FD2">
              <w:t xml:space="preserve"> </w:t>
            </w:r>
          </w:p>
        </w:tc>
        <w:tc>
          <w:tcPr>
            <w:tcW w:w="1559" w:type="dxa"/>
          </w:tcPr>
          <w:p w14:paraId="67C51E28" w14:textId="77777777" w:rsidR="0041397D" w:rsidRDefault="0041397D" w:rsidP="00506E02">
            <w:pPr>
              <w:pStyle w:val="Tableheadingrow1"/>
              <w:jc w:val="right"/>
            </w:pPr>
            <w:r>
              <w:t>2018/19</w:t>
            </w:r>
          </w:p>
        </w:tc>
        <w:tc>
          <w:tcPr>
            <w:tcW w:w="1340" w:type="dxa"/>
          </w:tcPr>
          <w:p w14:paraId="1022D2D4" w14:textId="77777777" w:rsidR="0041397D" w:rsidRDefault="0041397D" w:rsidP="00506E02">
            <w:pPr>
              <w:pStyle w:val="Tableheadingrow1"/>
              <w:jc w:val="right"/>
            </w:pPr>
            <w:r>
              <w:t>2019/20</w:t>
            </w:r>
          </w:p>
        </w:tc>
      </w:tr>
      <w:tr w:rsidR="00C463EB" w:rsidRPr="00364FD2" w14:paraId="2C43B2D0" w14:textId="77777777" w:rsidTr="00222C74">
        <w:trPr>
          <w:cnfStyle w:val="000000100000" w:firstRow="0" w:lastRow="0" w:firstColumn="0" w:lastColumn="0" w:oddVBand="0" w:evenVBand="0" w:oddHBand="1" w:evenHBand="0" w:firstRowFirstColumn="0" w:firstRowLastColumn="0" w:lastRowFirstColumn="0" w:lastRowLastColumn="0"/>
          <w:trHeight w:val="406"/>
        </w:trPr>
        <w:tc>
          <w:tcPr>
            <w:tcW w:w="6521" w:type="dxa"/>
            <w:shd w:val="clear" w:color="auto" w:fill="BFBFBF"/>
          </w:tcPr>
          <w:p w14:paraId="71B80DEF" w14:textId="77777777" w:rsidR="00C463EB" w:rsidRPr="00364FD2" w:rsidRDefault="00C463EB" w:rsidP="00364FD2">
            <w:pPr>
              <w:pStyle w:val="Tableheadingrow1"/>
              <w:rPr>
                <w:rStyle w:val="Emphasis"/>
                <w:color w:val="auto"/>
              </w:rPr>
            </w:pPr>
            <w:r w:rsidRPr="00364FD2">
              <w:rPr>
                <w:rStyle w:val="Emphasis"/>
                <w:color w:val="auto"/>
              </w:rPr>
              <w:t>Individual benefit</w:t>
            </w:r>
          </w:p>
        </w:tc>
        <w:tc>
          <w:tcPr>
            <w:tcW w:w="1559" w:type="dxa"/>
            <w:shd w:val="clear" w:color="auto" w:fill="BFBFBF"/>
          </w:tcPr>
          <w:p w14:paraId="3CFB7CEA" w14:textId="77777777" w:rsidR="00C463EB" w:rsidRPr="00364FD2" w:rsidRDefault="00C463EB" w:rsidP="00364FD2">
            <w:pPr>
              <w:pStyle w:val="Tableheadingrow1"/>
              <w:rPr>
                <w:rStyle w:val="Emphasis"/>
                <w:color w:val="auto"/>
              </w:rPr>
            </w:pPr>
          </w:p>
        </w:tc>
        <w:tc>
          <w:tcPr>
            <w:tcW w:w="1340" w:type="dxa"/>
            <w:shd w:val="clear" w:color="auto" w:fill="BFBFBF"/>
          </w:tcPr>
          <w:p w14:paraId="24A0149E" w14:textId="11FB5351" w:rsidR="00C463EB" w:rsidRPr="00364FD2" w:rsidRDefault="00C463EB" w:rsidP="00364FD2">
            <w:pPr>
              <w:pStyle w:val="Tableheadingrow1"/>
              <w:rPr>
                <w:rStyle w:val="Emphasis"/>
                <w:color w:val="auto"/>
              </w:rPr>
            </w:pPr>
          </w:p>
        </w:tc>
      </w:tr>
      <w:tr w:rsidR="00D16FB5" w14:paraId="57C08434" w14:textId="77777777" w:rsidTr="00222C74">
        <w:trPr>
          <w:cnfStyle w:val="000000010000" w:firstRow="0" w:lastRow="0" w:firstColumn="0" w:lastColumn="0" w:oddVBand="0" w:evenVBand="0" w:oddHBand="0" w:evenHBand="1" w:firstRowFirstColumn="0" w:firstRowLastColumn="0" w:lastRowFirstColumn="0" w:lastRowLastColumn="0"/>
          <w:trHeight w:val="283"/>
        </w:trPr>
        <w:tc>
          <w:tcPr>
            <w:tcW w:w="6521" w:type="dxa"/>
          </w:tcPr>
          <w:p w14:paraId="3C2F9EFE" w14:textId="77777777" w:rsidR="00D16FB5" w:rsidRPr="00BE4BB3" w:rsidRDefault="00D16FB5" w:rsidP="00506E02">
            <w:pPr>
              <w:pStyle w:val="Tablesinglespacedparagraph"/>
            </w:pPr>
            <w:r w:rsidRPr="00BE4BB3">
              <w:rPr>
                <w:rFonts w:eastAsia="Calibri"/>
              </w:rPr>
              <w:t xml:space="preserve">Decision changed </w:t>
            </w:r>
          </w:p>
        </w:tc>
        <w:tc>
          <w:tcPr>
            <w:tcW w:w="1559" w:type="dxa"/>
          </w:tcPr>
          <w:p w14:paraId="09F3506A" w14:textId="77777777" w:rsidR="00D16FB5" w:rsidRDefault="00D16FB5" w:rsidP="00506E02">
            <w:pPr>
              <w:pStyle w:val="Tablesinglespacedparagraph"/>
              <w:jc w:val="right"/>
            </w:pPr>
            <w:r>
              <w:t>77</w:t>
            </w:r>
          </w:p>
        </w:tc>
        <w:tc>
          <w:tcPr>
            <w:tcW w:w="1340" w:type="dxa"/>
          </w:tcPr>
          <w:p w14:paraId="5660B9B0" w14:textId="77777777" w:rsidR="00D16FB5" w:rsidRDefault="00D16FB5" w:rsidP="00506E02">
            <w:pPr>
              <w:pStyle w:val="Tablesinglespacedparagraph"/>
              <w:jc w:val="right"/>
            </w:pPr>
            <w:r>
              <w:t>85</w:t>
            </w:r>
          </w:p>
        </w:tc>
      </w:tr>
      <w:tr w:rsidR="00D16FB5" w14:paraId="7D116BB1" w14:textId="77777777" w:rsidTr="00222C74">
        <w:trPr>
          <w:cnfStyle w:val="000000100000" w:firstRow="0" w:lastRow="0" w:firstColumn="0" w:lastColumn="0" w:oddVBand="0" w:evenVBand="0" w:oddHBand="1" w:evenHBand="0" w:firstRowFirstColumn="0" w:firstRowLastColumn="0" w:lastRowFirstColumn="0" w:lastRowLastColumn="0"/>
          <w:trHeight w:val="283"/>
        </w:trPr>
        <w:tc>
          <w:tcPr>
            <w:tcW w:w="6521" w:type="dxa"/>
          </w:tcPr>
          <w:p w14:paraId="0F9CB4FB" w14:textId="77777777" w:rsidR="00D16FB5" w:rsidRPr="00BE4BB3" w:rsidRDefault="00D16FB5" w:rsidP="00506E02">
            <w:pPr>
              <w:pStyle w:val="Tablesinglespacedparagraph"/>
              <w:rPr>
                <w:rFonts w:eastAsia="Calibri"/>
              </w:rPr>
            </w:pPr>
            <w:r w:rsidRPr="00BE4BB3">
              <w:rPr>
                <w:rFonts w:eastAsia="Calibri"/>
              </w:rPr>
              <w:t>Omission rectified</w:t>
            </w:r>
          </w:p>
        </w:tc>
        <w:tc>
          <w:tcPr>
            <w:tcW w:w="1559" w:type="dxa"/>
          </w:tcPr>
          <w:p w14:paraId="09D7BEDA" w14:textId="77777777" w:rsidR="00D16FB5" w:rsidRDefault="00D16FB5" w:rsidP="00506E02">
            <w:pPr>
              <w:pStyle w:val="Tablesinglespacedparagraph"/>
              <w:jc w:val="right"/>
            </w:pPr>
            <w:r>
              <w:t>39</w:t>
            </w:r>
          </w:p>
        </w:tc>
        <w:tc>
          <w:tcPr>
            <w:tcW w:w="1340" w:type="dxa"/>
          </w:tcPr>
          <w:p w14:paraId="34C1777B" w14:textId="77777777" w:rsidR="00D16FB5" w:rsidRDefault="00D16FB5" w:rsidP="001C7C2A">
            <w:pPr>
              <w:pStyle w:val="Tablesinglespacedparagraph"/>
              <w:jc w:val="right"/>
            </w:pPr>
            <w:r>
              <w:t>58</w:t>
            </w:r>
          </w:p>
        </w:tc>
      </w:tr>
      <w:tr w:rsidR="00D16FB5" w14:paraId="4F8011C1" w14:textId="77777777" w:rsidTr="00222C74">
        <w:trPr>
          <w:cnfStyle w:val="000000010000" w:firstRow="0" w:lastRow="0" w:firstColumn="0" w:lastColumn="0" w:oddVBand="0" w:evenVBand="0" w:oddHBand="0" w:evenHBand="1" w:firstRowFirstColumn="0" w:firstRowLastColumn="0" w:lastRowFirstColumn="0" w:lastRowLastColumn="0"/>
          <w:trHeight w:val="283"/>
        </w:trPr>
        <w:tc>
          <w:tcPr>
            <w:tcW w:w="6521" w:type="dxa"/>
          </w:tcPr>
          <w:p w14:paraId="205D667B" w14:textId="77777777" w:rsidR="00D16FB5" w:rsidRPr="00BE4BB3" w:rsidRDefault="00D16FB5" w:rsidP="00506E02">
            <w:pPr>
              <w:pStyle w:val="Tablesinglespacedparagraph"/>
            </w:pPr>
            <w:r w:rsidRPr="00BE4BB3">
              <w:rPr>
                <w:rFonts w:eastAsia="Calibri"/>
              </w:rPr>
              <w:t>Decision to be reconsidered</w:t>
            </w:r>
          </w:p>
        </w:tc>
        <w:tc>
          <w:tcPr>
            <w:tcW w:w="1559" w:type="dxa"/>
          </w:tcPr>
          <w:p w14:paraId="3A3135DB" w14:textId="77777777" w:rsidR="00D16FB5" w:rsidRDefault="00D16FB5" w:rsidP="00506E02">
            <w:pPr>
              <w:pStyle w:val="Tablesinglespacedparagraph"/>
              <w:jc w:val="right"/>
            </w:pPr>
            <w:r>
              <w:t>4</w:t>
            </w:r>
          </w:p>
        </w:tc>
        <w:tc>
          <w:tcPr>
            <w:tcW w:w="1340" w:type="dxa"/>
          </w:tcPr>
          <w:p w14:paraId="0CEBDCBE" w14:textId="77777777" w:rsidR="00D16FB5" w:rsidRDefault="00D16FB5" w:rsidP="00506E02">
            <w:pPr>
              <w:pStyle w:val="Tablesinglespacedparagraph"/>
              <w:jc w:val="right"/>
            </w:pPr>
            <w:r>
              <w:t>14</w:t>
            </w:r>
          </w:p>
        </w:tc>
      </w:tr>
      <w:tr w:rsidR="00D16FB5" w14:paraId="0D3AF7DD" w14:textId="77777777" w:rsidTr="00222C74">
        <w:trPr>
          <w:cnfStyle w:val="000000100000" w:firstRow="0" w:lastRow="0" w:firstColumn="0" w:lastColumn="0" w:oddVBand="0" w:evenVBand="0" w:oddHBand="1" w:evenHBand="0" w:firstRowFirstColumn="0" w:firstRowLastColumn="0" w:lastRowFirstColumn="0" w:lastRowLastColumn="0"/>
          <w:trHeight w:val="283"/>
        </w:trPr>
        <w:tc>
          <w:tcPr>
            <w:tcW w:w="6521" w:type="dxa"/>
          </w:tcPr>
          <w:p w14:paraId="7F3603CF" w14:textId="77777777" w:rsidR="00D16FB5" w:rsidRPr="00BE4BB3" w:rsidRDefault="00D16FB5" w:rsidP="002B580F">
            <w:pPr>
              <w:pStyle w:val="Tablesinglespacedparagraph"/>
            </w:pPr>
            <w:r w:rsidRPr="00BE4BB3">
              <w:rPr>
                <w:rFonts w:eastAsia="Calibri"/>
              </w:rPr>
              <w:t>Reasons/explanation given</w:t>
            </w:r>
          </w:p>
        </w:tc>
        <w:tc>
          <w:tcPr>
            <w:tcW w:w="1559" w:type="dxa"/>
          </w:tcPr>
          <w:p w14:paraId="563D0F37" w14:textId="77777777" w:rsidR="00D16FB5" w:rsidRDefault="00D16FB5" w:rsidP="002B580F">
            <w:pPr>
              <w:pStyle w:val="Tablesinglespacedparagraph"/>
              <w:jc w:val="right"/>
            </w:pPr>
            <w:r>
              <w:t>18</w:t>
            </w:r>
          </w:p>
        </w:tc>
        <w:tc>
          <w:tcPr>
            <w:tcW w:w="1340" w:type="dxa"/>
          </w:tcPr>
          <w:p w14:paraId="7F7D83EC" w14:textId="77777777" w:rsidR="00D16FB5" w:rsidRDefault="00D16FB5" w:rsidP="002B580F">
            <w:pPr>
              <w:pStyle w:val="Tablesinglespacedparagraph"/>
              <w:jc w:val="right"/>
            </w:pPr>
            <w:r>
              <w:t>11</w:t>
            </w:r>
          </w:p>
        </w:tc>
      </w:tr>
      <w:tr w:rsidR="00D16FB5" w14:paraId="451C4682" w14:textId="77777777" w:rsidTr="00222C74">
        <w:trPr>
          <w:cnfStyle w:val="000000010000" w:firstRow="0" w:lastRow="0" w:firstColumn="0" w:lastColumn="0" w:oddVBand="0" w:evenVBand="0" w:oddHBand="0" w:evenHBand="1" w:firstRowFirstColumn="0" w:firstRowLastColumn="0" w:lastRowFirstColumn="0" w:lastRowLastColumn="0"/>
          <w:trHeight w:val="373"/>
        </w:trPr>
        <w:tc>
          <w:tcPr>
            <w:tcW w:w="6521" w:type="dxa"/>
          </w:tcPr>
          <w:p w14:paraId="2A4387F8" w14:textId="77777777" w:rsidR="00D16FB5" w:rsidRDefault="00D16FB5" w:rsidP="00506E02">
            <w:pPr>
              <w:pStyle w:val="Tablesinglespacedparagraph"/>
              <w:rPr>
                <w:rFonts w:eastAsia="Calibri"/>
              </w:rPr>
            </w:pPr>
            <w:r>
              <w:rPr>
                <w:rFonts w:eastAsia="Calibri"/>
              </w:rPr>
              <w:t>Apology</w:t>
            </w:r>
          </w:p>
        </w:tc>
        <w:tc>
          <w:tcPr>
            <w:tcW w:w="1559" w:type="dxa"/>
          </w:tcPr>
          <w:p w14:paraId="7BC3EEC9" w14:textId="77777777" w:rsidR="00D16FB5" w:rsidRDefault="00D16FB5" w:rsidP="00506E02">
            <w:pPr>
              <w:pStyle w:val="Tablesinglespacedparagraph"/>
              <w:jc w:val="right"/>
            </w:pPr>
            <w:r>
              <w:t>4</w:t>
            </w:r>
          </w:p>
        </w:tc>
        <w:tc>
          <w:tcPr>
            <w:tcW w:w="1340" w:type="dxa"/>
          </w:tcPr>
          <w:p w14:paraId="26AC8FFB" w14:textId="77777777" w:rsidR="00D16FB5" w:rsidRDefault="00D16FB5" w:rsidP="00506E02">
            <w:pPr>
              <w:pStyle w:val="Tablesinglespacedparagraph"/>
              <w:jc w:val="right"/>
            </w:pPr>
            <w:r>
              <w:t>2</w:t>
            </w:r>
          </w:p>
        </w:tc>
      </w:tr>
      <w:tr w:rsidR="00C463EB" w:rsidRPr="00364FD2" w14:paraId="1D84296A" w14:textId="77777777" w:rsidTr="00222C74">
        <w:trPr>
          <w:cnfStyle w:val="000000100000" w:firstRow="0" w:lastRow="0" w:firstColumn="0" w:lastColumn="0" w:oddVBand="0" w:evenVBand="0" w:oddHBand="1" w:evenHBand="0" w:firstRowFirstColumn="0" w:firstRowLastColumn="0" w:lastRowFirstColumn="0" w:lastRowLastColumn="0"/>
          <w:trHeight w:val="406"/>
        </w:trPr>
        <w:tc>
          <w:tcPr>
            <w:tcW w:w="6521" w:type="dxa"/>
            <w:shd w:val="clear" w:color="auto" w:fill="BFBFBF"/>
          </w:tcPr>
          <w:p w14:paraId="35377CE2" w14:textId="77777777" w:rsidR="00C463EB" w:rsidRPr="00364FD2" w:rsidRDefault="00C463EB" w:rsidP="00364FD2">
            <w:pPr>
              <w:pStyle w:val="Tableheadingrow1"/>
              <w:rPr>
                <w:rStyle w:val="Emphasis"/>
                <w:color w:val="auto"/>
              </w:rPr>
            </w:pPr>
            <w:r w:rsidRPr="00364FD2">
              <w:rPr>
                <w:rStyle w:val="Emphasis"/>
                <w:color w:val="auto"/>
              </w:rPr>
              <w:t>Public administration benefit</w:t>
            </w:r>
          </w:p>
        </w:tc>
        <w:tc>
          <w:tcPr>
            <w:tcW w:w="1559" w:type="dxa"/>
            <w:shd w:val="clear" w:color="auto" w:fill="BFBFBF"/>
          </w:tcPr>
          <w:p w14:paraId="2CBEB45B" w14:textId="77777777" w:rsidR="00C463EB" w:rsidRPr="00364FD2" w:rsidRDefault="00C463EB" w:rsidP="00364FD2">
            <w:pPr>
              <w:pStyle w:val="Tableheadingrow1"/>
              <w:rPr>
                <w:rStyle w:val="Emphasis"/>
                <w:color w:val="auto"/>
              </w:rPr>
            </w:pPr>
          </w:p>
        </w:tc>
        <w:tc>
          <w:tcPr>
            <w:tcW w:w="1340" w:type="dxa"/>
            <w:shd w:val="clear" w:color="auto" w:fill="BFBFBF"/>
          </w:tcPr>
          <w:p w14:paraId="68C9B726" w14:textId="1E015C1D" w:rsidR="00C463EB" w:rsidRPr="00364FD2" w:rsidRDefault="00C463EB" w:rsidP="00364FD2">
            <w:pPr>
              <w:pStyle w:val="Tableheadingrow1"/>
              <w:rPr>
                <w:rStyle w:val="Emphasis"/>
                <w:color w:val="auto"/>
              </w:rPr>
            </w:pPr>
          </w:p>
        </w:tc>
      </w:tr>
      <w:tr w:rsidR="00D16FB5" w14:paraId="7A73597C" w14:textId="77777777" w:rsidTr="00222C74">
        <w:trPr>
          <w:cnfStyle w:val="000000010000" w:firstRow="0" w:lastRow="0" w:firstColumn="0" w:lastColumn="0" w:oddVBand="0" w:evenVBand="0" w:oddHBand="0" w:evenHBand="1" w:firstRowFirstColumn="0" w:firstRowLastColumn="0" w:lastRowFirstColumn="0" w:lastRowLastColumn="0"/>
          <w:trHeight w:val="271"/>
        </w:trPr>
        <w:tc>
          <w:tcPr>
            <w:tcW w:w="6521" w:type="dxa"/>
          </w:tcPr>
          <w:p w14:paraId="72357D9A" w14:textId="77777777" w:rsidR="00D16FB5" w:rsidRDefault="00D16FB5" w:rsidP="002B580F">
            <w:pPr>
              <w:pStyle w:val="Tablesinglespacedparagraph"/>
              <w:rPr>
                <w:rFonts w:eastAsia="Calibri"/>
              </w:rPr>
            </w:pPr>
            <w:r>
              <w:rPr>
                <w:rFonts w:eastAsia="Calibri"/>
              </w:rPr>
              <w:t>Provision of guidance or training to staff</w:t>
            </w:r>
          </w:p>
        </w:tc>
        <w:tc>
          <w:tcPr>
            <w:tcW w:w="1559" w:type="dxa"/>
          </w:tcPr>
          <w:p w14:paraId="092082B2" w14:textId="77777777" w:rsidR="00D16FB5" w:rsidRDefault="00D16FB5" w:rsidP="002B580F">
            <w:pPr>
              <w:pStyle w:val="Tablesinglespacedparagraph"/>
              <w:jc w:val="right"/>
            </w:pPr>
            <w:r>
              <w:t>-</w:t>
            </w:r>
          </w:p>
        </w:tc>
        <w:tc>
          <w:tcPr>
            <w:tcW w:w="1340" w:type="dxa"/>
          </w:tcPr>
          <w:p w14:paraId="3F42A2FB" w14:textId="77777777" w:rsidR="00D16FB5" w:rsidRDefault="00D16FB5" w:rsidP="002B580F">
            <w:pPr>
              <w:pStyle w:val="Tablesinglespacedparagraph"/>
              <w:jc w:val="right"/>
            </w:pPr>
            <w:r>
              <w:t>1</w:t>
            </w:r>
          </w:p>
        </w:tc>
      </w:tr>
      <w:tr w:rsidR="00D16FB5" w14:paraId="0D185930" w14:textId="77777777" w:rsidTr="00222C74">
        <w:trPr>
          <w:cnfStyle w:val="000000100000" w:firstRow="0" w:lastRow="0" w:firstColumn="0" w:lastColumn="0" w:oddVBand="0" w:evenVBand="0" w:oddHBand="1" w:evenHBand="0" w:firstRowFirstColumn="0" w:firstRowLastColumn="0" w:lastRowFirstColumn="0" w:lastRowLastColumn="0"/>
          <w:trHeight w:val="336"/>
        </w:trPr>
        <w:tc>
          <w:tcPr>
            <w:tcW w:w="6521" w:type="dxa"/>
          </w:tcPr>
          <w:p w14:paraId="363CF63D" w14:textId="77777777" w:rsidR="00D16FB5" w:rsidRPr="00BE4BB3" w:rsidRDefault="00D16FB5" w:rsidP="002B580F">
            <w:pPr>
              <w:pStyle w:val="Tablesinglespacedparagraph"/>
            </w:pPr>
            <w:r w:rsidRPr="00BE4BB3">
              <w:rPr>
                <w:rFonts w:eastAsia="Calibri"/>
              </w:rPr>
              <w:t xml:space="preserve">Change in </w:t>
            </w:r>
            <w:r>
              <w:rPr>
                <w:rFonts w:eastAsia="Calibri"/>
              </w:rPr>
              <w:t>practice/procedure</w:t>
            </w:r>
          </w:p>
        </w:tc>
        <w:tc>
          <w:tcPr>
            <w:tcW w:w="1559" w:type="dxa"/>
          </w:tcPr>
          <w:p w14:paraId="5BBF564E" w14:textId="77777777" w:rsidR="00D16FB5" w:rsidRDefault="00D16FB5" w:rsidP="002B580F">
            <w:pPr>
              <w:pStyle w:val="Tablesinglespacedparagraph"/>
              <w:jc w:val="right"/>
            </w:pPr>
            <w:r>
              <w:t>1</w:t>
            </w:r>
          </w:p>
        </w:tc>
        <w:tc>
          <w:tcPr>
            <w:tcW w:w="1340" w:type="dxa"/>
          </w:tcPr>
          <w:p w14:paraId="565EC780" w14:textId="77777777" w:rsidR="00D16FB5" w:rsidRDefault="00D16FB5" w:rsidP="002B580F">
            <w:pPr>
              <w:pStyle w:val="Tablesinglespacedparagraph"/>
              <w:jc w:val="right"/>
            </w:pPr>
            <w:r>
              <w:t>-</w:t>
            </w:r>
          </w:p>
        </w:tc>
      </w:tr>
    </w:tbl>
    <w:p w14:paraId="7A223830" w14:textId="18C42A52" w:rsidR="00DF1795" w:rsidRDefault="005B795D" w:rsidP="00DF1795">
      <w:pPr>
        <w:pStyle w:val="BodyText"/>
      </w:pPr>
      <w:hyperlink w:anchor="Contents" w:history="1">
        <w:r w:rsidR="00DF1795" w:rsidRPr="00F5248A">
          <w:rPr>
            <w:rStyle w:val="Hyperlink"/>
          </w:rPr>
          <w:t>Back to contents</w:t>
        </w:r>
      </w:hyperlink>
    </w:p>
    <w:p w14:paraId="0DD27AA8" w14:textId="77777777" w:rsidR="00DF1795" w:rsidRDefault="00DF1795" w:rsidP="00DF1795">
      <w:pPr>
        <w:pStyle w:val="Heading3"/>
      </w:pPr>
      <w:r>
        <w:br w:type="column"/>
      </w:r>
      <w:r w:rsidRPr="00BE4BB3">
        <w:t>Other contacts</w:t>
      </w:r>
    </w:p>
    <w:p w14:paraId="5EB84430" w14:textId="5F1E7792" w:rsidR="00D00294" w:rsidRPr="00222C74" w:rsidRDefault="0057093C" w:rsidP="00D00294">
      <w:pPr>
        <w:pStyle w:val="FigureCaption"/>
      </w:pPr>
      <w:r>
        <w:rPr>
          <w:noProof/>
          <w:lang w:eastAsia="en-NZ"/>
        </w:rPr>
        <w:drawing>
          <wp:inline distT="0" distB="0" distL="0" distR="0" wp14:anchorId="2EDDFAD3" wp14:editId="5B340C20">
            <wp:extent cx="5904230" cy="2323465"/>
            <wp:effectExtent l="0" t="0" r="1270" b="635"/>
            <wp:docPr id="23" name="Chart 23" descr="Link to text alternative version follows this diagram. This is a line graph - the data in the link is presented in a table." title="Figure 7: Other contacts received and actioned over teh past 10 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5E1CD860" w14:textId="7EC17B1E" w:rsidR="00D00294" w:rsidRDefault="00D00294" w:rsidP="00D00294">
      <w:pPr>
        <w:pStyle w:val="BodyText"/>
        <w:rPr>
          <w:i/>
          <w:noProof/>
        </w:rPr>
      </w:pPr>
      <w:bookmarkStart w:id="177" w:name="Figure7"/>
      <w:r w:rsidRPr="00401965">
        <w:rPr>
          <w:i/>
        </w:rPr>
        <w:t>Figure 7</w:t>
      </w:r>
      <w:bookmarkEnd w:id="177"/>
      <w:r w:rsidRPr="00401965">
        <w:rPr>
          <w:i/>
          <w:noProof/>
        </w:rPr>
        <w:t>:</w:t>
      </w:r>
      <w:r w:rsidRPr="00A76577">
        <w:rPr>
          <w:i/>
          <w:noProof/>
        </w:rPr>
        <w:t xml:space="preserve"> </w:t>
      </w:r>
      <w:r>
        <w:rPr>
          <w:i/>
          <w:noProof/>
        </w:rPr>
        <w:t xml:space="preserve">Other contacts </w:t>
      </w:r>
      <w:r w:rsidRPr="00A76577">
        <w:rPr>
          <w:i/>
          <w:noProof/>
        </w:rPr>
        <w:t xml:space="preserve">received and actioned over the past </w:t>
      </w:r>
      <w:r>
        <w:rPr>
          <w:i/>
          <w:noProof/>
        </w:rPr>
        <w:t>10</w:t>
      </w:r>
      <w:r w:rsidRPr="00A76577">
        <w:rPr>
          <w:i/>
          <w:noProof/>
        </w:rPr>
        <w:t xml:space="preserve"> years.</w:t>
      </w:r>
      <w:r>
        <w:rPr>
          <w:rStyle w:val="FootnoteReference"/>
          <w:i/>
          <w:noProof/>
        </w:rPr>
        <w:footnoteReference w:id="95"/>
      </w:r>
    </w:p>
    <w:p w14:paraId="5F9D39F0" w14:textId="125A8C5E" w:rsidR="00522D5D" w:rsidRPr="00222C74" w:rsidRDefault="005B795D" w:rsidP="00D00294">
      <w:pPr>
        <w:pStyle w:val="BodyText"/>
        <w:rPr>
          <w:noProof/>
        </w:rPr>
      </w:pPr>
      <w:hyperlink w:anchor="Figure7table" w:history="1">
        <w:r w:rsidR="00522D5D" w:rsidRPr="00866727">
          <w:rPr>
            <w:rStyle w:val="Hyperlink"/>
            <w:noProof/>
          </w:rPr>
          <w:t>Link to text alternative version of Figure 7.</w:t>
        </w:r>
      </w:hyperlink>
    </w:p>
    <w:p w14:paraId="13A5CD25" w14:textId="38984FE6" w:rsidR="00B859BB" w:rsidRDefault="005B795D" w:rsidP="00B859BB">
      <w:pPr>
        <w:pStyle w:val="BodyText"/>
      </w:pPr>
      <w:hyperlink w:anchor="Contents" w:history="1">
        <w:r w:rsidR="00B859BB" w:rsidRPr="00F5248A">
          <w:rPr>
            <w:rStyle w:val="Hyperlink"/>
          </w:rPr>
          <w:t>Back to contents</w:t>
        </w:r>
      </w:hyperlink>
    </w:p>
    <w:p w14:paraId="5ABBB7FE" w14:textId="77777777" w:rsidR="0099687E" w:rsidRPr="0099687E" w:rsidRDefault="0099687E" w:rsidP="0099687E">
      <w:pPr>
        <w:pStyle w:val="BodyText"/>
      </w:pPr>
    </w:p>
    <w:tbl>
      <w:tblPr>
        <w:tblStyle w:val="TableGridAnnualReport"/>
        <w:tblW w:w="9204" w:type="dxa"/>
        <w:tblLayout w:type="fixed"/>
        <w:tblLook w:val="0420" w:firstRow="1" w:lastRow="0" w:firstColumn="0" w:lastColumn="0" w:noHBand="0" w:noVBand="1"/>
        <w:tblCaption w:val="Other contacts received about"/>
      </w:tblPr>
      <w:tblGrid>
        <w:gridCol w:w="6511"/>
        <w:gridCol w:w="1417"/>
        <w:gridCol w:w="1276"/>
      </w:tblGrid>
      <w:tr w:rsidR="00D97CEE" w14:paraId="3C1B99AA" w14:textId="77777777" w:rsidTr="00D97CEE">
        <w:trPr>
          <w:cnfStyle w:val="100000000000" w:firstRow="1" w:lastRow="0" w:firstColumn="0" w:lastColumn="0" w:oddVBand="0" w:evenVBand="0" w:oddHBand="0" w:evenHBand="0" w:firstRowFirstColumn="0" w:firstRowLastColumn="0" w:lastRowFirstColumn="0" w:lastRowLastColumn="0"/>
          <w:trHeight w:val="286"/>
        </w:trPr>
        <w:tc>
          <w:tcPr>
            <w:tcW w:w="6511" w:type="dxa"/>
          </w:tcPr>
          <w:p w14:paraId="6E8E63E9" w14:textId="77777777" w:rsidR="00D97CEE" w:rsidRPr="00BE4BB3" w:rsidRDefault="00364FD2" w:rsidP="00506E02">
            <w:pPr>
              <w:pStyle w:val="Tableheadingrow1"/>
            </w:pPr>
            <w:r>
              <w:t>25</w:t>
            </w:r>
            <w:r w:rsidR="001C7062">
              <w:t xml:space="preserve">. </w:t>
            </w:r>
            <w:r w:rsidR="00D97CEE" w:rsidRPr="00BE4BB3">
              <w:t>O</w:t>
            </w:r>
            <w:r w:rsidR="00D97CEE">
              <w:t>ther contacts received about</w:t>
            </w:r>
          </w:p>
        </w:tc>
        <w:tc>
          <w:tcPr>
            <w:tcW w:w="1417" w:type="dxa"/>
          </w:tcPr>
          <w:p w14:paraId="679BDD46" w14:textId="77777777" w:rsidR="00D97CEE" w:rsidRDefault="00D97CEE" w:rsidP="00506E02">
            <w:pPr>
              <w:pStyle w:val="Tableheadingrow1"/>
              <w:jc w:val="right"/>
            </w:pPr>
            <w:r>
              <w:t>2018/19</w:t>
            </w:r>
          </w:p>
        </w:tc>
        <w:tc>
          <w:tcPr>
            <w:tcW w:w="1276" w:type="dxa"/>
          </w:tcPr>
          <w:p w14:paraId="6184BB8A" w14:textId="77777777" w:rsidR="00D97CEE" w:rsidRDefault="00A76577" w:rsidP="00506E02">
            <w:pPr>
              <w:pStyle w:val="Tableheadingrow1"/>
              <w:jc w:val="right"/>
            </w:pPr>
            <w:r>
              <w:t>2019/20</w:t>
            </w:r>
          </w:p>
        </w:tc>
      </w:tr>
      <w:tr w:rsidR="00D16FB5" w14:paraId="702422D3" w14:textId="77777777" w:rsidTr="00D97CEE">
        <w:trPr>
          <w:cnfStyle w:val="000000100000" w:firstRow="0" w:lastRow="0" w:firstColumn="0" w:lastColumn="0" w:oddVBand="0" w:evenVBand="0" w:oddHBand="1" w:evenHBand="0" w:firstRowFirstColumn="0" w:firstRowLastColumn="0" w:lastRowFirstColumn="0" w:lastRowLastColumn="0"/>
          <w:trHeight w:val="60"/>
        </w:trPr>
        <w:tc>
          <w:tcPr>
            <w:tcW w:w="6511" w:type="dxa"/>
            <w:tcBorders>
              <w:bottom w:val="single" w:sz="4" w:space="0" w:color="FFFFFF" w:themeColor="background1"/>
            </w:tcBorders>
          </w:tcPr>
          <w:p w14:paraId="09E2E441" w14:textId="77777777" w:rsidR="00D16FB5" w:rsidRPr="00BE4BB3" w:rsidRDefault="00D16FB5" w:rsidP="00506E02">
            <w:pPr>
              <w:pStyle w:val="Tablebodytextnospaceafter"/>
            </w:pPr>
            <w:r>
              <w:t>Ombudsmen Act matters</w:t>
            </w:r>
          </w:p>
        </w:tc>
        <w:tc>
          <w:tcPr>
            <w:tcW w:w="1417" w:type="dxa"/>
          </w:tcPr>
          <w:p w14:paraId="605B4EC1" w14:textId="77777777" w:rsidR="00D16FB5" w:rsidRDefault="00D16FB5" w:rsidP="00506E02">
            <w:pPr>
              <w:pStyle w:val="Tablebodytextnospaceafter"/>
              <w:jc w:val="right"/>
            </w:pPr>
            <w:r>
              <w:t>5,109</w:t>
            </w:r>
          </w:p>
        </w:tc>
        <w:tc>
          <w:tcPr>
            <w:tcW w:w="1276" w:type="dxa"/>
          </w:tcPr>
          <w:p w14:paraId="29E92459" w14:textId="77777777" w:rsidR="00D16FB5" w:rsidRDefault="00D16FB5" w:rsidP="002117DB">
            <w:pPr>
              <w:pStyle w:val="Tablebodytextnospaceafter"/>
              <w:jc w:val="right"/>
            </w:pPr>
            <w:r>
              <w:t>5,514</w:t>
            </w:r>
          </w:p>
        </w:tc>
      </w:tr>
      <w:tr w:rsidR="00D16FB5" w14:paraId="698DB54E" w14:textId="77777777" w:rsidTr="00D97CEE">
        <w:trPr>
          <w:cnfStyle w:val="000000010000" w:firstRow="0" w:lastRow="0" w:firstColumn="0" w:lastColumn="0" w:oddVBand="0" w:evenVBand="0" w:oddHBand="0" w:evenHBand="1" w:firstRowFirstColumn="0" w:firstRowLastColumn="0" w:lastRowFirstColumn="0" w:lastRowLastColumn="0"/>
          <w:trHeight w:val="60"/>
        </w:trPr>
        <w:tc>
          <w:tcPr>
            <w:tcW w:w="6511" w:type="dxa"/>
            <w:tcBorders>
              <w:top w:val="single" w:sz="4" w:space="0" w:color="FFFFFF" w:themeColor="background1"/>
              <w:bottom w:val="single" w:sz="4" w:space="0" w:color="FFFFFF" w:themeColor="background1"/>
            </w:tcBorders>
          </w:tcPr>
          <w:p w14:paraId="3558F735" w14:textId="77777777" w:rsidR="00D16FB5" w:rsidRPr="00BE4BB3" w:rsidRDefault="00D16FB5" w:rsidP="00506E02">
            <w:pPr>
              <w:pStyle w:val="Tablebodytextnospaceafter"/>
            </w:pPr>
            <w:r>
              <w:t>Other</w:t>
            </w:r>
          </w:p>
        </w:tc>
        <w:tc>
          <w:tcPr>
            <w:tcW w:w="1417" w:type="dxa"/>
          </w:tcPr>
          <w:p w14:paraId="31107E27" w14:textId="77777777" w:rsidR="00D16FB5" w:rsidRDefault="00D16FB5" w:rsidP="00506E02">
            <w:pPr>
              <w:pStyle w:val="Tablebodytextnospaceafter"/>
              <w:jc w:val="right"/>
            </w:pPr>
            <w:r>
              <w:t>718</w:t>
            </w:r>
          </w:p>
        </w:tc>
        <w:tc>
          <w:tcPr>
            <w:tcW w:w="1276" w:type="dxa"/>
          </w:tcPr>
          <w:p w14:paraId="60C46619" w14:textId="77777777" w:rsidR="00D16FB5" w:rsidRDefault="00D16FB5" w:rsidP="00A76577">
            <w:pPr>
              <w:pStyle w:val="Tablebodytextnospaceafter"/>
              <w:jc w:val="right"/>
            </w:pPr>
            <w:r>
              <w:t>421</w:t>
            </w:r>
          </w:p>
        </w:tc>
      </w:tr>
      <w:tr w:rsidR="00D16FB5" w14:paraId="3746F017" w14:textId="77777777" w:rsidTr="002B580F">
        <w:trPr>
          <w:cnfStyle w:val="000000100000" w:firstRow="0" w:lastRow="0" w:firstColumn="0" w:lastColumn="0" w:oddVBand="0" w:evenVBand="0" w:oddHBand="1" w:evenHBand="0" w:firstRowFirstColumn="0" w:firstRowLastColumn="0" w:lastRowFirstColumn="0" w:lastRowLastColumn="0"/>
          <w:trHeight w:val="60"/>
        </w:trPr>
        <w:tc>
          <w:tcPr>
            <w:tcW w:w="6511" w:type="dxa"/>
            <w:tcBorders>
              <w:top w:val="single" w:sz="4" w:space="0" w:color="FFFFFF" w:themeColor="background1"/>
              <w:bottom w:val="single" w:sz="4" w:space="0" w:color="FFFFFF" w:themeColor="background1"/>
            </w:tcBorders>
          </w:tcPr>
          <w:p w14:paraId="7C716493" w14:textId="77777777" w:rsidR="00D16FB5" w:rsidRPr="00BE4BB3" w:rsidRDefault="00D16FB5" w:rsidP="002B580F">
            <w:pPr>
              <w:pStyle w:val="Tablebodytextnospaceafter"/>
            </w:pPr>
            <w:r>
              <w:t>Agency requests for advice</w:t>
            </w:r>
          </w:p>
        </w:tc>
        <w:tc>
          <w:tcPr>
            <w:tcW w:w="1417" w:type="dxa"/>
          </w:tcPr>
          <w:p w14:paraId="252C432E" w14:textId="77777777" w:rsidR="00D16FB5" w:rsidRDefault="00D16FB5" w:rsidP="002B580F">
            <w:pPr>
              <w:pStyle w:val="Tablebodytextnospaceafter"/>
              <w:jc w:val="right"/>
            </w:pPr>
            <w:r>
              <w:t>421</w:t>
            </w:r>
          </w:p>
        </w:tc>
        <w:tc>
          <w:tcPr>
            <w:tcW w:w="1276" w:type="dxa"/>
          </w:tcPr>
          <w:p w14:paraId="2E1A0538" w14:textId="77777777" w:rsidR="00D16FB5" w:rsidRDefault="00D16FB5" w:rsidP="002117DB">
            <w:pPr>
              <w:pStyle w:val="Tablebodytextnospaceafter"/>
              <w:jc w:val="right"/>
            </w:pPr>
            <w:r>
              <w:t>363</w:t>
            </w:r>
          </w:p>
        </w:tc>
      </w:tr>
      <w:tr w:rsidR="00D16FB5" w14:paraId="7F167AEF" w14:textId="77777777" w:rsidTr="00D97CEE">
        <w:trPr>
          <w:cnfStyle w:val="000000010000" w:firstRow="0" w:lastRow="0" w:firstColumn="0" w:lastColumn="0" w:oddVBand="0" w:evenVBand="0" w:oddHBand="0" w:evenHBand="1" w:firstRowFirstColumn="0" w:firstRowLastColumn="0" w:lastRowFirstColumn="0" w:lastRowLastColumn="0"/>
          <w:trHeight w:val="60"/>
        </w:trPr>
        <w:tc>
          <w:tcPr>
            <w:tcW w:w="6511" w:type="dxa"/>
            <w:tcBorders>
              <w:top w:val="single" w:sz="4" w:space="0" w:color="FFFFFF" w:themeColor="background1"/>
              <w:bottom w:val="single" w:sz="4" w:space="0" w:color="FFFFFF" w:themeColor="background1"/>
            </w:tcBorders>
          </w:tcPr>
          <w:p w14:paraId="3775656B" w14:textId="77777777" w:rsidR="00D16FB5" w:rsidRPr="00BE4BB3" w:rsidRDefault="00D16FB5" w:rsidP="00506E02">
            <w:pPr>
              <w:pStyle w:val="Tablebodytextnospaceafter"/>
            </w:pPr>
            <w:r>
              <w:t>Official Information Act matters</w:t>
            </w:r>
          </w:p>
        </w:tc>
        <w:tc>
          <w:tcPr>
            <w:tcW w:w="1417" w:type="dxa"/>
          </w:tcPr>
          <w:p w14:paraId="2DC08327" w14:textId="77777777" w:rsidR="00D16FB5" w:rsidRDefault="00D16FB5" w:rsidP="00506E02">
            <w:pPr>
              <w:pStyle w:val="Tablebodytextnospaceafter"/>
              <w:jc w:val="right"/>
            </w:pPr>
            <w:r>
              <w:t>336</w:t>
            </w:r>
          </w:p>
        </w:tc>
        <w:tc>
          <w:tcPr>
            <w:tcW w:w="1276" w:type="dxa"/>
          </w:tcPr>
          <w:p w14:paraId="4D743B5F" w14:textId="77777777" w:rsidR="00D16FB5" w:rsidRDefault="00D16FB5" w:rsidP="002117DB">
            <w:pPr>
              <w:pStyle w:val="Tablebodytextnospaceafter"/>
              <w:jc w:val="right"/>
            </w:pPr>
            <w:r>
              <w:t>333</w:t>
            </w:r>
          </w:p>
        </w:tc>
      </w:tr>
      <w:tr w:rsidR="00D16FB5" w14:paraId="0E8FDCC7" w14:textId="77777777" w:rsidTr="002B580F">
        <w:trPr>
          <w:cnfStyle w:val="000000100000" w:firstRow="0" w:lastRow="0" w:firstColumn="0" w:lastColumn="0" w:oddVBand="0" w:evenVBand="0" w:oddHBand="1" w:evenHBand="0" w:firstRowFirstColumn="0" w:firstRowLastColumn="0" w:lastRowFirstColumn="0" w:lastRowLastColumn="0"/>
          <w:trHeight w:val="60"/>
        </w:trPr>
        <w:tc>
          <w:tcPr>
            <w:tcW w:w="6511" w:type="dxa"/>
            <w:tcBorders>
              <w:top w:val="single" w:sz="4" w:space="0" w:color="FFFFFF" w:themeColor="background1"/>
              <w:bottom w:val="single" w:sz="4" w:space="0" w:color="FFFFFF" w:themeColor="background1"/>
            </w:tcBorders>
          </w:tcPr>
          <w:p w14:paraId="1C771159" w14:textId="77777777" w:rsidR="00D16FB5" w:rsidRPr="00BE4BB3" w:rsidRDefault="00D16FB5" w:rsidP="002B580F">
            <w:pPr>
              <w:pStyle w:val="Tablebodytextnospaceafter"/>
            </w:pPr>
            <w:r>
              <w:t xml:space="preserve">Copy correspondence, material sent for information only </w:t>
            </w:r>
          </w:p>
        </w:tc>
        <w:tc>
          <w:tcPr>
            <w:tcW w:w="1417" w:type="dxa"/>
          </w:tcPr>
          <w:p w14:paraId="1EE133D0" w14:textId="77777777" w:rsidR="00D16FB5" w:rsidRDefault="00D16FB5" w:rsidP="002B580F">
            <w:pPr>
              <w:pStyle w:val="Tablebodytextnospaceafter"/>
              <w:jc w:val="right"/>
            </w:pPr>
            <w:r>
              <w:t>274</w:t>
            </w:r>
          </w:p>
        </w:tc>
        <w:tc>
          <w:tcPr>
            <w:tcW w:w="1276" w:type="dxa"/>
          </w:tcPr>
          <w:p w14:paraId="408D7A0B" w14:textId="77777777" w:rsidR="00D16FB5" w:rsidRDefault="00D16FB5" w:rsidP="002117DB">
            <w:pPr>
              <w:pStyle w:val="Tablebodytextnospaceafter"/>
              <w:jc w:val="right"/>
            </w:pPr>
            <w:r>
              <w:t>265</w:t>
            </w:r>
          </w:p>
        </w:tc>
      </w:tr>
      <w:tr w:rsidR="00D16FB5" w14:paraId="5EA68C48" w14:textId="77777777" w:rsidTr="00D97CEE">
        <w:trPr>
          <w:cnfStyle w:val="000000010000" w:firstRow="0" w:lastRow="0" w:firstColumn="0" w:lastColumn="0" w:oddVBand="0" w:evenVBand="0" w:oddHBand="0" w:evenHBand="1" w:firstRowFirstColumn="0" w:firstRowLastColumn="0" w:lastRowFirstColumn="0" w:lastRowLastColumn="0"/>
          <w:trHeight w:val="60"/>
        </w:trPr>
        <w:tc>
          <w:tcPr>
            <w:tcW w:w="6511" w:type="dxa"/>
            <w:tcBorders>
              <w:top w:val="single" w:sz="4" w:space="0" w:color="FFFFFF" w:themeColor="background1"/>
              <w:bottom w:val="single" w:sz="4" w:space="0" w:color="FFFFFF" w:themeColor="background1"/>
            </w:tcBorders>
          </w:tcPr>
          <w:p w14:paraId="40157D88" w14:textId="77777777" w:rsidR="00D16FB5" w:rsidRPr="00BE4BB3" w:rsidRDefault="00D16FB5" w:rsidP="00506E02">
            <w:pPr>
              <w:pStyle w:val="Tablebodytextnospaceafter"/>
            </w:pPr>
            <w:r>
              <w:t>Requests for information held by the Ombudsman</w:t>
            </w:r>
          </w:p>
        </w:tc>
        <w:tc>
          <w:tcPr>
            <w:tcW w:w="1417" w:type="dxa"/>
          </w:tcPr>
          <w:p w14:paraId="137DAFF0" w14:textId="77777777" w:rsidR="00D16FB5" w:rsidRDefault="00D16FB5" w:rsidP="00506E02">
            <w:pPr>
              <w:pStyle w:val="Tablebodytextnospaceafter"/>
              <w:jc w:val="right"/>
            </w:pPr>
            <w:r>
              <w:t>130</w:t>
            </w:r>
          </w:p>
        </w:tc>
        <w:tc>
          <w:tcPr>
            <w:tcW w:w="1276" w:type="dxa"/>
          </w:tcPr>
          <w:p w14:paraId="57D34262" w14:textId="77777777" w:rsidR="00D16FB5" w:rsidRDefault="00D16FB5" w:rsidP="00506E02">
            <w:pPr>
              <w:pStyle w:val="Tablebodytextnospaceafter"/>
              <w:jc w:val="right"/>
            </w:pPr>
            <w:r>
              <w:t>132</w:t>
            </w:r>
          </w:p>
        </w:tc>
      </w:tr>
      <w:tr w:rsidR="00D16FB5" w14:paraId="31EB5A7F" w14:textId="77777777" w:rsidTr="002B580F">
        <w:trPr>
          <w:cnfStyle w:val="000000100000" w:firstRow="0" w:lastRow="0" w:firstColumn="0" w:lastColumn="0" w:oddVBand="0" w:evenVBand="0" w:oddHBand="1" w:evenHBand="0" w:firstRowFirstColumn="0" w:firstRowLastColumn="0" w:lastRowFirstColumn="0" w:lastRowLastColumn="0"/>
          <w:trHeight w:val="60"/>
        </w:trPr>
        <w:tc>
          <w:tcPr>
            <w:tcW w:w="6511" w:type="dxa"/>
            <w:tcBorders>
              <w:top w:val="single" w:sz="4" w:space="0" w:color="FFFFFF" w:themeColor="background1"/>
              <w:bottom w:val="single" w:sz="4" w:space="0" w:color="FFFFFF" w:themeColor="background1"/>
            </w:tcBorders>
          </w:tcPr>
          <w:p w14:paraId="36608877" w14:textId="77777777" w:rsidR="00D16FB5" w:rsidRPr="00BE4BB3" w:rsidRDefault="00D16FB5" w:rsidP="002B580F">
            <w:pPr>
              <w:pStyle w:val="Tablebodytextnospaceafter"/>
            </w:pPr>
            <w:r>
              <w:t>Local Government Official Information and Meetings Act matters</w:t>
            </w:r>
          </w:p>
        </w:tc>
        <w:tc>
          <w:tcPr>
            <w:tcW w:w="1417" w:type="dxa"/>
          </w:tcPr>
          <w:p w14:paraId="305FFCB2" w14:textId="77777777" w:rsidR="00D16FB5" w:rsidRDefault="00D16FB5" w:rsidP="002B580F">
            <w:pPr>
              <w:pStyle w:val="Tablebodytextnospaceafter"/>
              <w:jc w:val="right"/>
            </w:pPr>
            <w:r>
              <w:t>65</w:t>
            </w:r>
          </w:p>
        </w:tc>
        <w:tc>
          <w:tcPr>
            <w:tcW w:w="1276" w:type="dxa"/>
          </w:tcPr>
          <w:p w14:paraId="6D6E0CBB" w14:textId="77777777" w:rsidR="00D16FB5" w:rsidRDefault="00D16FB5" w:rsidP="002B580F">
            <w:pPr>
              <w:pStyle w:val="Tablebodytextnospaceafter"/>
              <w:jc w:val="right"/>
            </w:pPr>
            <w:r>
              <w:t>109</w:t>
            </w:r>
          </w:p>
        </w:tc>
      </w:tr>
      <w:tr w:rsidR="00D16FB5" w14:paraId="131202D7" w14:textId="77777777" w:rsidTr="002B580F">
        <w:trPr>
          <w:cnfStyle w:val="000000010000" w:firstRow="0" w:lastRow="0" w:firstColumn="0" w:lastColumn="0" w:oddVBand="0" w:evenVBand="0" w:oddHBand="0" w:evenHBand="1" w:firstRowFirstColumn="0" w:firstRowLastColumn="0" w:lastRowFirstColumn="0" w:lastRowLastColumn="0"/>
          <w:trHeight w:val="60"/>
        </w:trPr>
        <w:tc>
          <w:tcPr>
            <w:tcW w:w="6511" w:type="dxa"/>
            <w:tcBorders>
              <w:top w:val="single" w:sz="4" w:space="0" w:color="FFFFFF" w:themeColor="background1"/>
              <w:bottom w:val="single" w:sz="4" w:space="0" w:color="FFFFFF" w:themeColor="background1"/>
            </w:tcBorders>
          </w:tcPr>
          <w:p w14:paraId="2CFB77A8" w14:textId="77777777" w:rsidR="00D16FB5" w:rsidRPr="00BE4BB3" w:rsidRDefault="00D16FB5" w:rsidP="002B580F">
            <w:pPr>
              <w:pStyle w:val="Tablebodytextnospaceafter"/>
            </w:pPr>
            <w:r>
              <w:t>OPCAT matters</w:t>
            </w:r>
          </w:p>
        </w:tc>
        <w:tc>
          <w:tcPr>
            <w:tcW w:w="1417" w:type="dxa"/>
          </w:tcPr>
          <w:p w14:paraId="462A2061" w14:textId="77777777" w:rsidR="00D16FB5" w:rsidRDefault="00D16FB5" w:rsidP="002B580F">
            <w:pPr>
              <w:pStyle w:val="Tablebodytextnospaceafter"/>
              <w:jc w:val="right"/>
            </w:pPr>
            <w:r>
              <w:t>1</w:t>
            </w:r>
          </w:p>
        </w:tc>
        <w:tc>
          <w:tcPr>
            <w:tcW w:w="1276" w:type="dxa"/>
          </w:tcPr>
          <w:p w14:paraId="5928F37E" w14:textId="77777777" w:rsidR="00D16FB5" w:rsidRDefault="00D16FB5" w:rsidP="002B580F">
            <w:pPr>
              <w:pStyle w:val="Tablebodytextnospaceafter"/>
              <w:jc w:val="right"/>
            </w:pPr>
            <w:r>
              <w:t>49</w:t>
            </w:r>
          </w:p>
        </w:tc>
      </w:tr>
      <w:tr w:rsidR="00D16FB5" w14:paraId="5F1821FB" w14:textId="77777777" w:rsidTr="002B580F">
        <w:trPr>
          <w:cnfStyle w:val="000000100000" w:firstRow="0" w:lastRow="0" w:firstColumn="0" w:lastColumn="0" w:oddVBand="0" w:evenVBand="0" w:oddHBand="1" w:evenHBand="0" w:firstRowFirstColumn="0" w:firstRowLastColumn="0" w:lastRowFirstColumn="0" w:lastRowLastColumn="0"/>
          <w:trHeight w:val="60"/>
        </w:trPr>
        <w:tc>
          <w:tcPr>
            <w:tcW w:w="6511" w:type="dxa"/>
            <w:tcBorders>
              <w:top w:val="single" w:sz="4" w:space="0" w:color="FFFFFF" w:themeColor="background1"/>
              <w:bottom w:val="single" w:sz="4" w:space="0" w:color="FFFFFF" w:themeColor="background1"/>
            </w:tcBorders>
          </w:tcPr>
          <w:p w14:paraId="3503B252" w14:textId="77777777" w:rsidR="00D16FB5" w:rsidRDefault="00D16FB5" w:rsidP="002B580F">
            <w:pPr>
              <w:pStyle w:val="Tablebodytextnospaceafter"/>
            </w:pPr>
            <w:r>
              <w:t>Consultation by review agency (Privacy Commissioner, Independent Police Conduct Authority, Health and Disability Commissioner)</w:t>
            </w:r>
          </w:p>
        </w:tc>
        <w:tc>
          <w:tcPr>
            <w:tcW w:w="1417" w:type="dxa"/>
          </w:tcPr>
          <w:p w14:paraId="69DCC0D0" w14:textId="77777777" w:rsidR="00D16FB5" w:rsidRDefault="00D16FB5" w:rsidP="002B580F">
            <w:pPr>
              <w:pStyle w:val="Tablebodytextnospaceafter"/>
              <w:jc w:val="right"/>
            </w:pPr>
            <w:r>
              <w:t>17</w:t>
            </w:r>
          </w:p>
        </w:tc>
        <w:tc>
          <w:tcPr>
            <w:tcW w:w="1276" w:type="dxa"/>
          </w:tcPr>
          <w:p w14:paraId="54DDE146" w14:textId="77777777" w:rsidR="00D16FB5" w:rsidRDefault="00D16FB5" w:rsidP="002B580F">
            <w:pPr>
              <w:pStyle w:val="Tablebodytextnospaceafter"/>
              <w:jc w:val="right"/>
            </w:pPr>
            <w:r>
              <w:t>31</w:t>
            </w:r>
          </w:p>
        </w:tc>
      </w:tr>
      <w:tr w:rsidR="00D97CEE" w14:paraId="533E928E" w14:textId="77777777" w:rsidTr="00D97CEE">
        <w:trPr>
          <w:cnfStyle w:val="000000010000" w:firstRow="0" w:lastRow="0" w:firstColumn="0" w:lastColumn="0" w:oddVBand="0" w:evenVBand="0" w:oddHBand="0" w:evenHBand="1" w:firstRowFirstColumn="0" w:firstRowLastColumn="0" w:lastRowFirstColumn="0" w:lastRowLastColumn="0"/>
          <w:trHeight w:val="305"/>
        </w:trPr>
        <w:tc>
          <w:tcPr>
            <w:tcW w:w="6511" w:type="dxa"/>
            <w:tcBorders>
              <w:top w:val="single" w:sz="4" w:space="0" w:color="FFFFFF" w:themeColor="background1"/>
            </w:tcBorders>
            <w:shd w:val="clear" w:color="auto" w:fill="BFBFBF"/>
          </w:tcPr>
          <w:p w14:paraId="3BDC7512" w14:textId="77777777" w:rsidR="00D97CEE" w:rsidRPr="00F71716" w:rsidRDefault="00D97CEE" w:rsidP="00506E02">
            <w:pPr>
              <w:pStyle w:val="Tablebodytextnospaceafter"/>
              <w:rPr>
                <w:rStyle w:val="Emphasis"/>
              </w:rPr>
            </w:pPr>
            <w:r w:rsidRPr="00F71716">
              <w:rPr>
                <w:rStyle w:val="Emphasis"/>
              </w:rPr>
              <w:t>Total</w:t>
            </w:r>
          </w:p>
        </w:tc>
        <w:tc>
          <w:tcPr>
            <w:tcW w:w="1417" w:type="dxa"/>
            <w:shd w:val="clear" w:color="auto" w:fill="BFBFBF"/>
          </w:tcPr>
          <w:p w14:paraId="13841A0B" w14:textId="77777777" w:rsidR="00D97CEE" w:rsidRPr="00F71716" w:rsidRDefault="00D97CEE" w:rsidP="00506E02">
            <w:pPr>
              <w:pStyle w:val="Tablebodytextnospaceafter"/>
              <w:jc w:val="right"/>
              <w:rPr>
                <w:rStyle w:val="Emphasis"/>
              </w:rPr>
            </w:pPr>
            <w:r w:rsidRPr="00E139C5">
              <w:rPr>
                <w:rStyle w:val="Emphasis"/>
              </w:rPr>
              <w:t>7,120</w:t>
            </w:r>
          </w:p>
        </w:tc>
        <w:tc>
          <w:tcPr>
            <w:tcW w:w="1276" w:type="dxa"/>
            <w:shd w:val="clear" w:color="auto" w:fill="BFBFBF"/>
          </w:tcPr>
          <w:p w14:paraId="4DE7DE0E" w14:textId="77777777" w:rsidR="00D97CEE" w:rsidRPr="00E139C5" w:rsidRDefault="00A76577" w:rsidP="002117DB">
            <w:pPr>
              <w:pStyle w:val="Tablebodytextnospaceafter"/>
              <w:jc w:val="right"/>
              <w:rPr>
                <w:rStyle w:val="Emphasis"/>
              </w:rPr>
            </w:pPr>
            <w:r>
              <w:rPr>
                <w:rStyle w:val="Emphasis"/>
              </w:rPr>
              <w:t>7,</w:t>
            </w:r>
            <w:r w:rsidR="002117DB">
              <w:rPr>
                <w:rStyle w:val="Emphasis"/>
              </w:rPr>
              <w:t>217</w:t>
            </w:r>
          </w:p>
        </w:tc>
      </w:tr>
    </w:tbl>
    <w:p w14:paraId="228938C4" w14:textId="463E08AA" w:rsidR="00DF1795" w:rsidRDefault="005B795D" w:rsidP="00DF1795">
      <w:pPr>
        <w:pStyle w:val="BodyText"/>
      </w:pPr>
      <w:hyperlink w:anchor="Contents" w:history="1">
        <w:r w:rsidR="00DF1795" w:rsidRPr="00F5248A">
          <w:rPr>
            <w:rStyle w:val="Hyperlink"/>
          </w:rPr>
          <w:t>Back to contents</w:t>
        </w:r>
      </w:hyperlink>
    </w:p>
    <w:p w14:paraId="05536F41" w14:textId="77777777" w:rsidR="00DF1795" w:rsidRPr="009E4E2E" w:rsidRDefault="00DF1795" w:rsidP="00DF1795">
      <w:pPr>
        <w:pStyle w:val="BodyText"/>
      </w:pPr>
    </w:p>
    <w:tbl>
      <w:tblPr>
        <w:tblStyle w:val="TableGridAnnualReport"/>
        <w:tblW w:w="9194" w:type="dxa"/>
        <w:tblInd w:w="10" w:type="dxa"/>
        <w:tblLayout w:type="fixed"/>
        <w:tblLook w:val="0420" w:firstRow="1" w:lastRow="0" w:firstColumn="0" w:lastColumn="0" w:noHBand="0" w:noVBand="1"/>
        <w:tblCaption w:val="Other contacts received from"/>
      </w:tblPr>
      <w:tblGrid>
        <w:gridCol w:w="6511"/>
        <w:gridCol w:w="1407"/>
        <w:gridCol w:w="1276"/>
      </w:tblGrid>
      <w:tr w:rsidR="00D97CEE" w14:paraId="1A737A01" w14:textId="77777777" w:rsidTr="00222C74">
        <w:trPr>
          <w:cnfStyle w:val="100000000000" w:firstRow="1" w:lastRow="0" w:firstColumn="0" w:lastColumn="0" w:oddVBand="0" w:evenVBand="0" w:oddHBand="0" w:evenHBand="0" w:firstRowFirstColumn="0" w:firstRowLastColumn="0" w:lastRowFirstColumn="0" w:lastRowLastColumn="0"/>
          <w:trHeight w:val="286"/>
        </w:trPr>
        <w:tc>
          <w:tcPr>
            <w:tcW w:w="6511" w:type="dxa"/>
          </w:tcPr>
          <w:p w14:paraId="6CDFBEFE" w14:textId="77777777" w:rsidR="00D97CEE" w:rsidRPr="00BE4BB3" w:rsidRDefault="00364FD2" w:rsidP="00506E02">
            <w:pPr>
              <w:pStyle w:val="Tableheadingrow1"/>
            </w:pPr>
            <w:r>
              <w:t>26</w:t>
            </w:r>
            <w:r w:rsidR="001C7062">
              <w:t xml:space="preserve">. </w:t>
            </w:r>
            <w:r w:rsidR="00D97CEE" w:rsidRPr="00BE4BB3">
              <w:t>O</w:t>
            </w:r>
            <w:r w:rsidR="00D97CEE">
              <w:t>ther contacts received from</w:t>
            </w:r>
          </w:p>
        </w:tc>
        <w:tc>
          <w:tcPr>
            <w:tcW w:w="1407" w:type="dxa"/>
          </w:tcPr>
          <w:p w14:paraId="5EAF00D2" w14:textId="77777777" w:rsidR="00D97CEE" w:rsidRDefault="00D97CEE" w:rsidP="00506E02">
            <w:pPr>
              <w:pStyle w:val="Tableheadingrow1"/>
              <w:jc w:val="right"/>
            </w:pPr>
            <w:r>
              <w:t>2018/19</w:t>
            </w:r>
          </w:p>
        </w:tc>
        <w:tc>
          <w:tcPr>
            <w:tcW w:w="1276" w:type="dxa"/>
          </w:tcPr>
          <w:p w14:paraId="7ABF5D84" w14:textId="77777777" w:rsidR="00D97CEE" w:rsidRDefault="00D97CEE" w:rsidP="00506E02">
            <w:pPr>
              <w:pStyle w:val="Tableheadingrow1"/>
              <w:jc w:val="right"/>
            </w:pPr>
            <w:r>
              <w:t>2019/20</w:t>
            </w:r>
          </w:p>
        </w:tc>
      </w:tr>
      <w:tr w:rsidR="001476C5" w14:paraId="378993BE"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tcW w:w="6511" w:type="dxa"/>
          </w:tcPr>
          <w:p w14:paraId="5B1C4550" w14:textId="77777777" w:rsidR="001476C5" w:rsidRPr="00BE4BB3" w:rsidRDefault="001476C5" w:rsidP="00506E02">
            <w:pPr>
              <w:pStyle w:val="Tablebodytextnospaceafter"/>
            </w:pPr>
            <w:r>
              <w:t>General public – i</w:t>
            </w:r>
            <w:r w:rsidRPr="00BE4BB3">
              <w:t>ndividuals</w:t>
            </w:r>
          </w:p>
        </w:tc>
        <w:tc>
          <w:tcPr>
            <w:tcW w:w="1407" w:type="dxa"/>
          </w:tcPr>
          <w:p w14:paraId="669BFCCE" w14:textId="77777777" w:rsidR="001476C5" w:rsidRDefault="001476C5" w:rsidP="00506E02">
            <w:pPr>
              <w:pStyle w:val="Tablebodytextnospaceafter"/>
              <w:jc w:val="right"/>
            </w:pPr>
            <w:r>
              <w:t>4,476</w:t>
            </w:r>
          </w:p>
        </w:tc>
        <w:tc>
          <w:tcPr>
            <w:tcW w:w="1276" w:type="dxa"/>
          </w:tcPr>
          <w:p w14:paraId="093E5683" w14:textId="77777777" w:rsidR="001476C5" w:rsidRDefault="001476C5" w:rsidP="008F0C3D">
            <w:pPr>
              <w:pStyle w:val="Tablebodytextnospaceafter"/>
              <w:jc w:val="right"/>
            </w:pPr>
            <w:r>
              <w:t>4,</w:t>
            </w:r>
            <w:r w:rsidR="007740EC">
              <w:t>56</w:t>
            </w:r>
            <w:r w:rsidR="008F0C3D">
              <w:t>5</w:t>
            </w:r>
          </w:p>
        </w:tc>
      </w:tr>
      <w:tr w:rsidR="001476C5" w14:paraId="1018C8FA"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tcW w:w="6511" w:type="dxa"/>
          </w:tcPr>
          <w:p w14:paraId="33F5A3AF" w14:textId="77777777" w:rsidR="001476C5" w:rsidRPr="00BE4BB3" w:rsidRDefault="001476C5" w:rsidP="00506E02">
            <w:pPr>
              <w:pStyle w:val="Tablebodytextnospaceafter"/>
            </w:pPr>
            <w:r w:rsidRPr="00BE4BB3">
              <w:t>Prisoners</w:t>
            </w:r>
            <w:r>
              <w:t xml:space="preserve"> and prisoner advocates</w:t>
            </w:r>
          </w:p>
        </w:tc>
        <w:tc>
          <w:tcPr>
            <w:tcW w:w="1407" w:type="dxa"/>
          </w:tcPr>
          <w:p w14:paraId="71954B3C" w14:textId="77777777" w:rsidR="001476C5" w:rsidRDefault="001476C5" w:rsidP="00506E02">
            <w:pPr>
              <w:pStyle w:val="Tablebodytextnospaceafter"/>
              <w:jc w:val="right"/>
            </w:pPr>
            <w:r>
              <w:t>2,049</w:t>
            </w:r>
          </w:p>
        </w:tc>
        <w:tc>
          <w:tcPr>
            <w:tcW w:w="1276" w:type="dxa"/>
          </w:tcPr>
          <w:p w14:paraId="077434C3" w14:textId="77777777" w:rsidR="001476C5" w:rsidRDefault="001476C5" w:rsidP="007740EC">
            <w:pPr>
              <w:pStyle w:val="Tablebodytextnospaceafter"/>
              <w:jc w:val="right"/>
            </w:pPr>
            <w:r>
              <w:t>2,14</w:t>
            </w:r>
            <w:r w:rsidR="007740EC">
              <w:t>2</w:t>
            </w:r>
          </w:p>
        </w:tc>
      </w:tr>
      <w:tr w:rsidR="001476C5" w14:paraId="017485AB"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tcW w:w="6511" w:type="dxa"/>
          </w:tcPr>
          <w:p w14:paraId="21E2D1C6" w14:textId="77777777" w:rsidR="001476C5" w:rsidRPr="00BE4BB3" w:rsidRDefault="001476C5" w:rsidP="00506E02">
            <w:pPr>
              <w:pStyle w:val="Tablebodytextnospaceafter"/>
            </w:pPr>
            <w:r>
              <w:t>D</w:t>
            </w:r>
            <w:r w:rsidRPr="00BE4BB3">
              <w:t>epartments</w:t>
            </w:r>
            <w:r>
              <w:t xml:space="preserve">, government </w:t>
            </w:r>
            <w:r w:rsidRPr="00BE4BB3">
              <w:t>organisations</w:t>
            </w:r>
            <w:r>
              <w:t>, and</w:t>
            </w:r>
            <w:r w:rsidRPr="00BE4BB3">
              <w:t xml:space="preserve"> local authorities</w:t>
            </w:r>
          </w:p>
        </w:tc>
        <w:tc>
          <w:tcPr>
            <w:tcW w:w="1407" w:type="dxa"/>
          </w:tcPr>
          <w:p w14:paraId="15966030" w14:textId="77777777" w:rsidR="001476C5" w:rsidRDefault="001476C5" w:rsidP="00506E02">
            <w:pPr>
              <w:pStyle w:val="Tablebodytextnospaceafter"/>
              <w:jc w:val="right"/>
            </w:pPr>
            <w:r>
              <w:t>483</w:t>
            </w:r>
          </w:p>
        </w:tc>
        <w:tc>
          <w:tcPr>
            <w:tcW w:w="1276" w:type="dxa"/>
          </w:tcPr>
          <w:p w14:paraId="44F4E150" w14:textId="77777777" w:rsidR="001476C5" w:rsidRDefault="001476C5" w:rsidP="007740EC">
            <w:pPr>
              <w:pStyle w:val="Tablebodytextnospaceafter"/>
              <w:jc w:val="right"/>
            </w:pPr>
            <w:r>
              <w:t>38</w:t>
            </w:r>
            <w:r w:rsidR="007740EC">
              <w:t>2</w:t>
            </w:r>
          </w:p>
        </w:tc>
      </w:tr>
      <w:tr w:rsidR="001476C5" w14:paraId="66C0B322"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tcW w:w="6511" w:type="dxa"/>
          </w:tcPr>
          <w:p w14:paraId="6E38AF29" w14:textId="77777777" w:rsidR="001476C5" w:rsidRPr="00BE4BB3" w:rsidRDefault="001476C5" w:rsidP="00506E02">
            <w:pPr>
              <w:pStyle w:val="Tablebodytextnospaceafter"/>
            </w:pPr>
            <w:r w:rsidRPr="00BE4BB3">
              <w:t>Media</w:t>
            </w:r>
          </w:p>
        </w:tc>
        <w:tc>
          <w:tcPr>
            <w:tcW w:w="1407" w:type="dxa"/>
          </w:tcPr>
          <w:p w14:paraId="0FA4A106" w14:textId="77777777" w:rsidR="001476C5" w:rsidRDefault="001476C5" w:rsidP="00506E02">
            <w:pPr>
              <w:pStyle w:val="Tablebodytextnospaceafter"/>
              <w:jc w:val="right"/>
            </w:pPr>
            <w:r>
              <w:t>40</w:t>
            </w:r>
          </w:p>
        </w:tc>
        <w:tc>
          <w:tcPr>
            <w:tcW w:w="1276" w:type="dxa"/>
          </w:tcPr>
          <w:p w14:paraId="39C21C33" w14:textId="77777777" w:rsidR="007740EC" w:rsidRDefault="007740EC" w:rsidP="007740EC">
            <w:pPr>
              <w:pStyle w:val="Tablebodytextnospaceafter"/>
              <w:jc w:val="right"/>
            </w:pPr>
            <w:r>
              <w:t>38</w:t>
            </w:r>
          </w:p>
        </w:tc>
      </w:tr>
      <w:tr w:rsidR="001476C5" w14:paraId="5A6DA59C"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tcW w:w="6511" w:type="dxa"/>
          </w:tcPr>
          <w:p w14:paraId="09A4FAB1" w14:textId="77777777" w:rsidR="001476C5" w:rsidRPr="00BE4BB3" w:rsidRDefault="001476C5" w:rsidP="00506E02">
            <w:pPr>
              <w:pStyle w:val="Tablebodytextnospaceafter"/>
            </w:pPr>
            <w:r w:rsidRPr="00BE4BB3">
              <w:t>Companies, associations and incorporated societies</w:t>
            </w:r>
          </w:p>
        </w:tc>
        <w:tc>
          <w:tcPr>
            <w:tcW w:w="1407" w:type="dxa"/>
          </w:tcPr>
          <w:p w14:paraId="19321BE4" w14:textId="77777777" w:rsidR="001476C5" w:rsidRDefault="001476C5" w:rsidP="00506E02">
            <w:pPr>
              <w:pStyle w:val="Tablebodytextnospaceafter"/>
              <w:jc w:val="right"/>
            </w:pPr>
            <w:r>
              <w:t>26</w:t>
            </w:r>
          </w:p>
        </w:tc>
        <w:tc>
          <w:tcPr>
            <w:tcW w:w="1276" w:type="dxa"/>
          </w:tcPr>
          <w:p w14:paraId="3264A729" w14:textId="77777777" w:rsidR="001476C5" w:rsidRDefault="001476C5" w:rsidP="00506E02">
            <w:pPr>
              <w:pStyle w:val="Tablebodytextnospaceafter"/>
              <w:jc w:val="right"/>
            </w:pPr>
            <w:r>
              <w:t>31</w:t>
            </w:r>
          </w:p>
        </w:tc>
      </w:tr>
      <w:tr w:rsidR="001476C5" w14:paraId="5C183FE3"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tcW w:w="6511" w:type="dxa"/>
            <w:tcBorders>
              <w:bottom w:val="single" w:sz="4" w:space="0" w:color="FFFFFF" w:themeColor="background1"/>
            </w:tcBorders>
          </w:tcPr>
          <w:p w14:paraId="3B774A15" w14:textId="77777777" w:rsidR="001476C5" w:rsidRPr="00BE4BB3" w:rsidRDefault="001476C5" w:rsidP="00506E02">
            <w:pPr>
              <w:pStyle w:val="Tablebodytextnospaceafter"/>
            </w:pPr>
            <w:r>
              <w:t>Review agencies (Privacy Commissioner, Independent Police Conduct Authority, Health and Disability Commissioner)</w:t>
            </w:r>
          </w:p>
        </w:tc>
        <w:tc>
          <w:tcPr>
            <w:tcW w:w="1407" w:type="dxa"/>
          </w:tcPr>
          <w:p w14:paraId="6A61DD7F" w14:textId="77777777" w:rsidR="001476C5" w:rsidRDefault="001476C5" w:rsidP="00506E02">
            <w:pPr>
              <w:pStyle w:val="Tablebodytextnospaceafter"/>
              <w:jc w:val="right"/>
            </w:pPr>
            <w:r>
              <w:t>14</w:t>
            </w:r>
          </w:p>
        </w:tc>
        <w:tc>
          <w:tcPr>
            <w:tcW w:w="1276" w:type="dxa"/>
          </w:tcPr>
          <w:p w14:paraId="477B311F" w14:textId="77777777" w:rsidR="001476C5" w:rsidRDefault="007740EC" w:rsidP="008F0C3D">
            <w:pPr>
              <w:pStyle w:val="Tablebodytextnospaceafter"/>
              <w:jc w:val="right"/>
            </w:pPr>
            <w:r>
              <w:t>2</w:t>
            </w:r>
            <w:r w:rsidR="008F0C3D">
              <w:t>8</w:t>
            </w:r>
          </w:p>
        </w:tc>
      </w:tr>
      <w:tr w:rsidR="001476C5" w14:paraId="5E9FC4C7"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tcW w:w="6511" w:type="dxa"/>
          </w:tcPr>
          <w:p w14:paraId="2957C833" w14:textId="77777777" w:rsidR="001476C5" w:rsidRPr="00BE4BB3" w:rsidRDefault="001476C5" w:rsidP="00506E02">
            <w:pPr>
              <w:pStyle w:val="Tablebodytextnospaceafter"/>
            </w:pPr>
            <w:r w:rsidRPr="00BE4BB3">
              <w:t>Special interest groups</w:t>
            </w:r>
          </w:p>
        </w:tc>
        <w:tc>
          <w:tcPr>
            <w:tcW w:w="1407" w:type="dxa"/>
          </w:tcPr>
          <w:p w14:paraId="27A8131D" w14:textId="77777777" w:rsidR="001476C5" w:rsidRDefault="001476C5" w:rsidP="00506E02">
            <w:pPr>
              <w:pStyle w:val="Tablebodytextnospaceafter"/>
              <w:jc w:val="right"/>
            </w:pPr>
            <w:r>
              <w:t>7</w:t>
            </w:r>
          </w:p>
        </w:tc>
        <w:tc>
          <w:tcPr>
            <w:tcW w:w="1276" w:type="dxa"/>
          </w:tcPr>
          <w:p w14:paraId="75F1F70E" w14:textId="77777777" w:rsidR="001476C5" w:rsidRDefault="001476C5" w:rsidP="00506E02">
            <w:pPr>
              <w:pStyle w:val="Tablebodytextnospaceafter"/>
              <w:jc w:val="right"/>
            </w:pPr>
            <w:r>
              <w:t>9</w:t>
            </w:r>
          </w:p>
        </w:tc>
      </w:tr>
      <w:tr w:rsidR="001476C5" w14:paraId="716C3FBA"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tcW w:w="6511" w:type="dxa"/>
          </w:tcPr>
          <w:p w14:paraId="324CE754" w14:textId="77777777" w:rsidR="001476C5" w:rsidRPr="00BE4BB3" w:rsidRDefault="001476C5" w:rsidP="00506E02">
            <w:pPr>
              <w:pStyle w:val="Tablebodytextnospaceafter"/>
            </w:pPr>
            <w:r w:rsidRPr="00BE4BB3">
              <w:t xml:space="preserve">Members of Parliament </w:t>
            </w:r>
          </w:p>
        </w:tc>
        <w:tc>
          <w:tcPr>
            <w:tcW w:w="1407" w:type="dxa"/>
          </w:tcPr>
          <w:p w14:paraId="4B533D9C" w14:textId="77777777" w:rsidR="001476C5" w:rsidRDefault="001476C5" w:rsidP="00506E02">
            <w:pPr>
              <w:pStyle w:val="Tablebodytextnospaceafter"/>
              <w:jc w:val="right"/>
            </w:pPr>
            <w:r>
              <w:t>7</w:t>
            </w:r>
          </w:p>
        </w:tc>
        <w:tc>
          <w:tcPr>
            <w:tcW w:w="1276" w:type="dxa"/>
          </w:tcPr>
          <w:p w14:paraId="536F5712" w14:textId="77777777" w:rsidR="001476C5" w:rsidRDefault="001476C5" w:rsidP="00506E02">
            <w:pPr>
              <w:pStyle w:val="Tablebodytextnospaceafter"/>
              <w:jc w:val="right"/>
            </w:pPr>
            <w:r>
              <w:t>8</w:t>
            </w:r>
          </w:p>
        </w:tc>
      </w:tr>
      <w:tr w:rsidR="001476C5" w14:paraId="4A9050B5"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tcW w:w="6511" w:type="dxa"/>
            <w:tcBorders>
              <w:top w:val="single" w:sz="4" w:space="0" w:color="FFFFFF" w:themeColor="background1"/>
              <w:bottom w:val="single" w:sz="4" w:space="0" w:color="FFFFFF" w:themeColor="background1"/>
            </w:tcBorders>
          </w:tcPr>
          <w:p w14:paraId="60D5BBE1" w14:textId="77777777" w:rsidR="001476C5" w:rsidRPr="00BE4BB3" w:rsidRDefault="001476C5" w:rsidP="00506E02">
            <w:pPr>
              <w:pStyle w:val="Tablebodytextnospaceafter"/>
            </w:pPr>
            <w:r>
              <w:t>Other</w:t>
            </w:r>
          </w:p>
        </w:tc>
        <w:tc>
          <w:tcPr>
            <w:tcW w:w="1407" w:type="dxa"/>
          </w:tcPr>
          <w:p w14:paraId="02958394" w14:textId="77777777" w:rsidR="001476C5" w:rsidRDefault="001476C5" w:rsidP="00506E02">
            <w:pPr>
              <w:pStyle w:val="Tablebodytextnospaceafter"/>
              <w:jc w:val="right"/>
            </w:pPr>
            <w:r>
              <w:t>7</w:t>
            </w:r>
          </w:p>
        </w:tc>
        <w:tc>
          <w:tcPr>
            <w:tcW w:w="1276" w:type="dxa"/>
          </w:tcPr>
          <w:p w14:paraId="3CE57A44" w14:textId="77777777" w:rsidR="001476C5" w:rsidRDefault="008F0C3D" w:rsidP="00506E02">
            <w:pPr>
              <w:pStyle w:val="Tablebodytextnospaceafter"/>
              <w:jc w:val="right"/>
            </w:pPr>
            <w:r>
              <w:t>6</w:t>
            </w:r>
          </w:p>
        </w:tc>
      </w:tr>
      <w:tr w:rsidR="001476C5" w14:paraId="518B0B20"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tcW w:w="6511" w:type="dxa"/>
            <w:tcBorders>
              <w:top w:val="single" w:sz="4" w:space="0" w:color="FFFFFF" w:themeColor="background1"/>
            </w:tcBorders>
          </w:tcPr>
          <w:p w14:paraId="1D74FD9B" w14:textId="77777777" w:rsidR="001476C5" w:rsidRDefault="001476C5" w:rsidP="00506E02">
            <w:pPr>
              <w:pStyle w:val="Tablebodytextnospaceafter"/>
            </w:pPr>
            <w:r>
              <w:t>Ministers</w:t>
            </w:r>
          </w:p>
        </w:tc>
        <w:tc>
          <w:tcPr>
            <w:tcW w:w="1407" w:type="dxa"/>
          </w:tcPr>
          <w:p w14:paraId="2C31F296" w14:textId="77777777" w:rsidR="001476C5" w:rsidRDefault="001476C5" w:rsidP="00506E02">
            <w:pPr>
              <w:pStyle w:val="Tablebodytextnospaceafter"/>
              <w:jc w:val="right"/>
            </w:pPr>
            <w:r>
              <w:t>6</w:t>
            </w:r>
          </w:p>
        </w:tc>
        <w:tc>
          <w:tcPr>
            <w:tcW w:w="1276" w:type="dxa"/>
          </w:tcPr>
          <w:p w14:paraId="13341EB7" w14:textId="77777777" w:rsidR="001476C5" w:rsidRDefault="001476C5" w:rsidP="00506E02">
            <w:pPr>
              <w:pStyle w:val="Tablebodytextnospaceafter"/>
              <w:jc w:val="right"/>
            </w:pPr>
            <w:r>
              <w:t>3</w:t>
            </w:r>
          </w:p>
        </w:tc>
      </w:tr>
      <w:tr w:rsidR="001476C5" w14:paraId="1CB3CB41"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tcW w:w="6511" w:type="dxa"/>
          </w:tcPr>
          <w:p w14:paraId="5E36B0C0" w14:textId="77777777" w:rsidR="001476C5" w:rsidRPr="00BE4BB3" w:rsidRDefault="001476C5" w:rsidP="00506E02">
            <w:pPr>
              <w:pStyle w:val="Tablebodytextnospaceafter"/>
            </w:pPr>
            <w:r w:rsidRPr="00BE4BB3">
              <w:t>Researchers</w:t>
            </w:r>
          </w:p>
        </w:tc>
        <w:tc>
          <w:tcPr>
            <w:tcW w:w="1407" w:type="dxa"/>
          </w:tcPr>
          <w:p w14:paraId="7327A5B1" w14:textId="77777777" w:rsidR="001476C5" w:rsidRDefault="001476C5" w:rsidP="00506E02">
            <w:pPr>
              <w:pStyle w:val="Tablebodytextnospaceafter"/>
              <w:jc w:val="right"/>
            </w:pPr>
            <w:r>
              <w:t>2</w:t>
            </w:r>
          </w:p>
        </w:tc>
        <w:tc>
          <w:tcPr>
            <w:tcW w:w="1276" w:type="dxa"/>
          </w:tcPr>
          <w:p w14:paraId="530C5F60" w14:textId="77777777" w:rsidR="001476C5" w:rsidRDefault="001476C5" w:rsidP="00506E02">
            <w:pPr>
              <w:pStyle w:val="Tablebodytextnospaceafter"/>
              <w:jc w:val="right"/>
            </w:pPr>
            <w:r>
              <w:t>2</w:t>
            </w:r>
          </w:p>
        </w:tc>
      </w:tr>
      <w:tr w:rsidR="001476C5" w14:paraId="585802ED"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tcW w:w="6511" w:type="dxa"/>
          </w:tcPr>
          <w:p w14:paraId="38894D3D" w14:textId="77777777" w:rsidR="001476C5" w:rsidRPr="00BE4BB3" w:rsidRDefault="001476C5" w:rsidP="00506E02">
            <w:pPr>
              <w:pStyle w:val="Tablebodytextnospaceafter"/>
            </w:pPr>
            <w:r>
              <w:t xml:space="preserve">Select Committee </w:t>
            </w:r>
          </w:p>
        </w:tc>
        <w:tc>
          <w:tcPr>
            <w:tcW w:w="1407" w:type="dxa"/>
          </w:tcPr>
          <w:p w14:paraId="0664E1B9" w14:textId="77777777" w:rsidR="001476C5" w:rsidRDefault="001476C5" w:rsidP="00506E02">
            <w:pPr>
              <w:pStyle w:val="Tablebodytextnospaceafter"/>
              <w:jc w:val="right"/>
            </w:pPr>
            <w:r>
              <w:t>1</w:t>
            </w:r>
          </w:p>
        </w:tc>
        <w:tc>
          <w:tcPr>
            <w:tcW w:w="1276" w:type="dxa"/>
          </w:tcPr>
          <w:p w14:paraId="67343166" w14:textId="77777777" w:rsidR="001476C5" w:rsidRDefault="001476C5" w:rsidP="00506E02">
            <w:pPr>
              <w:pStyle w:val="Tablebodytextnospaceafter"/>
              <w:jc w:val="right"/>
            </w:pPr>
            <w:r>
              <w:t>2</w:t>
            </w:r>
          </w:p>
        </w:tc>
      </w:tr>
      <w:tr w:rsidR="001476C5" w14:paraId="1C59FB88" w14:textId="77777777" w:rsidTr="00222C74">
        <w:trPr>
          <w:cnfStyle w:val="000000100000" w:firstRow="0" w:lastRow="0" w:firstColumn="0" w:lastColumn="0" w:oddVBand="0" w:evenVBand="0" w:oddHBand="1" w:evenHBand="0" w:firstRowFirstColumn="0" w:firstRowLastColumn="0" w:lastRowFirstColumn="0" w:lastRowLastColumn="0"/>
          <w:trHeight w:val="60"/>
        </w:trPr>
        <w:tc>
          <w:tcPr>
            <w:tcW w:w="6511" w:type="dxa"/>
          </w:tcPr>
          <w:p w14:paraId="43751504" w14:textId="77777777" w:rsidR="001476C5" w:rsidRDefault="001476C5" w:rsidP="00506E02">
            <w:pPr>
              <w:pStyle w:val="Tablebodytextnospaceafter"/>
            </w:pPr>
            <w:r>
              <w:t>Trade Unions</w:t>
            </w:r>
          </w:p>
        </w:tc>
        <w:tc>
          <w:tcPr>
            <w:tcW w:w="1407" w:type="dxa"/>
          </w:tcPr>
          <w:p w14:paraId="7DB408E6" w14:textId="77777777" w:rsidR="001476C5" w:rsidRDefault="001476C5" w:rsidP="00506E02">
            <w:pPr>
              <w:pStyle w:val="Tablebodytextnospaceafter"/>
              <w:jc w:val="right"/>
            </w:pPr>
            <w:r>
              <w:t>-</w:t>
            </w:r>
          </w:p>
        </w:tc>
        <w:tc>
          <w:tcPr>
            <w:tcW w:w="1276" w:type="dxa"/>
          </w:tcPr>
          <w:p w14:paraId="7EC66692" w14:textId="77777777" w:rsidR="001476C5" w:rsidRDefault="001476C5" w:rsidP="00506E02">
            <w:pPr>
              <w:pStyle w:val="Tablebodytextnospaceafter"/>
              <w:jc w:val="right"/>
            </w:pPr>
            <w:r>
              <w:t>1</w:t>
            </w:r>
          </w:p>
        </w:tc>
      </w:tr>
      <w:tr w:rsidR="001476C5" w14:paraId="0E18DB09" w14:textId="77777777" w:rsidTr="00222C74">
        <w:trPr>
          <w:cnfStyle w:val="000000010000" w:firstRow="0" w:lastRow="0" w:firstColumn="0" w:lastColumn="0" w:oddVBand="0" w:evenVBand="0" w:oddHBand="0" w:evenHBand="1" w:firstRowFirstColumn="0" w:firstRowLastColumn="0" w:lastRowFirstColumn="0" w:lastRowLastColumn="0"/>
          <w:trHeight w:val="60"/>
        </w:trPr>
        <w:tc>
          <w:tcPr>
            <w:tcW w:w="6511" w:type="dxa"/>
          </w:tcPr>
          <w:p w14:paraId="43135A10" w14:textId="77777777" w:rsidR="001476C5" w:rsidRPr="00BE4BB3" w:rsidRDefault="001476C5" w:rsidP="00506E02">
            <w:pPr>
              <w:pStyle w:val="Tablebodytextnospaceafter"/>
            </w:pPr>
            <w:r w:rsidRPr="00BE4BB3">
              <w:t>Political party research units</w:t>
            </w:r>
          </w:p>
        </w:tc>
        <w:tc>
          <w:tcPr>
            <w:tcW w:w="1407" w:type="dxa"/>
          </w:tcPr>
          <w:p w14:paraId="5872E07E" w14:textId="77777777" w:rsidR="001476C5" w:rsidRDefault="001476C5" w:rsidP="00506E02">
            <w:pPr>
              <w:pStyle w:val="Tablebodytextnospaceafter"/>
              <w:jc w:val="right"/>
            </w:pPr>
            <w:r>
              <w:t>2</w:t>
            </w:r>
          </w:p>
        </w:tc>
        <w:tc>
          <w:tcPr>
            <w:tcW w:w="1276" w:type="dxa"/>
          </w:tcPr>
          <w:p w14:paraId="4A1B22F5" w14:textId="77777777" w:rsidR="001476C5" w:rsidRDefault="001476C5" w:rsidP="00506E02">
            <w:pPr>
              <w:pStyle w:val="Tablebodytextnospaceafter"/>
              <w:jc w:val="right"/>
            </w:pPr>
            <w:r>
              <w:t>-</w:t>
            </w:r>
          </w:p>
        </w:tc>
      </w:tr>
      <w:tr w:rsidR="00D97CEE" w14:paraId="39976E2F" w14:textId="77777777" w:rsidTr="00222C74">
        <w:trPr>
          <w:cnfStyle w:val="000000100000" w:firstRow="0" w:lastRow="0" w:firstColumn="0" w:lastColumn="0" w:oddVBand="0" w:evenVBand="0" w:oddHBand="1" w:evenHBand="0" w:firstRowFirstColumn="0" w:firstRowLastColumn="0" w:lastRowFirstColumn="0" w:lastRowLastColumn="0"/>
          <w:trHeight w:val="305"/>
        </w:trPr>
        <w:tc>
          <w:tcPr>
            <w:tcW w:w="6511" w:type="dxa"/>
            <w:shd w:val="clear" w:color="auto" w:fill="BFBFBF"/>
          </w:tcPr>
          <w:p w14:paraId="6A97AD6D" w14:textId="77777777" w:rsidR="00D97CEE" w:rsidRPr="00227175" w:rsidRDefault="00D97CEE" w:rsidP="00506E02">
            <w:pPr>
              <w:pStyle w:val="Tablebodytextnospaceafter"/>
              <w:rPr>
                <w:rStyle w:val="Emphasis"/>
              </w:rPr>
            </w:pPr>
            <w:r w:rsidRPr="00227175">
              <w:rPr>
                <w:rStyle w:val="Emphasis"/>
              </w:rPr>
              <w:t>Total</w:t>
            </w:r>
          </w:p>
        </w:tc>
        <w:tc>
          <w:tcPr>
            <w:tcW w:w="1407" w:type="dxa"/>
            <w:shd w:val="clear" w:color="auto" w:fill="BFBFBF"/>
          </w:tcPr>
          <w:p w14:paraId="57E52189" w14:textId="77777777" w:rsidR="00D97CEE" w:rsidRDefault="00D97CEE" w:rsidP="00506E02">
            <w:pPr>
              <w:pStyle w:val="Tablebodytextnospaceafter"/>
              <w:jc w:val="right"/>
              <w:rPr>
                <w:rStyle w:val="Emphasis"/>
              </w:rPr>
            </w:pPr>
            <w:r>
              <w:rPr>
                <w:rStyle w:val="Emphasis"/>
              </w:rPr>
              <w:t>7,120</w:t>
            </w:r>
          </w:p>
        </w:tc>
        <w:tc>
          <w:tcPr>
            <w:tcW w:w="1276" w:type="dxa"/>
            <w:shd w:val="clear" w:color="auto" w:fill="BFBFBF"/>
          </w:tcPr>
          <w:p w14:paraId="0C44770A" w14:textId="77777777" w:rsidR="00D97CEE" w:rsidRPr="00227175" w:rsidRDefault="001476C5" w:rsidP="008F0C3D">
            <w:pPr>
              <w:pStyle w:val="Tablebodytextnospaceafter"/>
              <w:jc w:val="right"/>
              <w:rPr>
                <w:rStyle w:val="Emphasis"/>
              </w:rPr>
            </w:pPr>
            <w:r>
              <w:rPr>
                <w:rStyle w:val="Emphasis"/>
              </w:rPr>
              <w:t>7,</w:t>
            </w:r>
            <w:r w:rsidR="007740EC">
              <w:rPr>
                <w:rStyle w:val="Emphasis"/>
              </w:rPr>
              <w:t>21</w:t>
            </w:r>
            <w:r w:rsidR="008F0C3D">
              <w:rPr>
                <w:rStyle w:val="Emphasis"/>
              </w:rPr>
              <w:t>7</w:t>
            </w:r>
          </w:p>
        </w:tc>
      </w:tr>
    </w:tbl>
    <w:p w14:paraId="016AD9B8" w14:textId="54DF40FE" w:rsidR="00B859BB" w:rsidRDefault="005B795D" w:rsidP="00B859BB">
      <w:pPr>
        <w:pStyle w:val="BodyText"/>
        <w:rPr>
          <w:rStyle w:val="Hyperlink"/>
        </w:rPr>
      </w:pPr>
      <w:hyperlink w:anchor="Contents" w:history="1">
        <w:r w:rsidR="00B859BB" w:rsidRPr="00F5248A">
          <w:rPr>
            <w:rStyle w:val="Hyperlink"/>
          </w:rPr>
          <w:t>Back to contents</w:t>
        </w:r>
      </w:hyperlink>
    </w:p>
    <w:p w14:paraId="7B2F16BF" w14:textId="77777777" w:rsidR="00B859BB" w:rsidRDefault="00B859BB" w:rsidP="00B859BB">
      <w:pPr>
        <w:pStyle w:val="BodyText"/>
      </w:pPr>
    </w:p>
    <w:tbl>
      <w:tblPr>
        <w:tblStyle w:val="TableGridAnnualReport"/>
        <w:tblW w:w="9214" w:type="dxa"/>
        <w:tblInd w:w="-10" w:type="dxa"/>
        <w:tblLayout w:type="fixed"/>
        <w:tblLook w:val="0420" w:firstRow="1" w:lastRow="0" w:firstColumn="0" w:lastColumn="0" w:noHBand="0" w:noVBand="1"/>
        <w:tblCaption w:val="Other contacts concerned"/>
      </w:tblPr>
      <w:tblGrid>
        <w:gridCol w:w="6237"/>
        <w:gridCol w:w="1418"/>
        <w:gridCol w:w="1559"/>
      </w:tblGrid>
      <w:tr w:rsidR="00D97CEE" w14:paraId="19566631" w14:textId="77777777" w:rsidTr="00D97CEE">
        <w:trPr>
          <w:cnfStyle w:val="100000000000" w:firstRow="1" w:lastRow="0" w:firstColumn="0" w:lastColumn="0" w:oddVBand="0" w:evenVBand="0" w:oddHBand="0" w:evenHBand="0" w:firstRowFirstColumn="0" w:firstRowLastColumn="0" w:lastRowFirstColumn="0" w:lastRowLastColumn="0"/>
          <w:trHeight w:val="415"/>
        </w:trPr>
        <w:tc>
          <w:tcPr>
            <w:tcW w:w="6237" w:type="dxa"/>
          </w:tcPr>
          <w:p w14:paraId="5888925A" w14:textId="77777777" w:rsidR="00D97CEE" w:rsidRPr="00BE4BB3" w:rsidRDefault="00D97CEE" w:rsidP="00364FD2">
            <w:pPr>
              <w:pStyle w:val="Tableheadingrow1"/>
            </w:pPr>
            <w:r>
              <w:br w:type="page"/>
            </w:r>
            <w:r w:rsidR="00364FD2">
              <w:t>27</w:t>
            </w:r>
            <w:r w:rsidR="001C7062">
              <w:t xml:space="preserve">. </w:t>
            </w:r>
            <w:r w:rsidRPr="00BE4BB3">
              <w:t>O</w:t>
            </w:r>
            <w:r>
              <w:t>ther contacts concerned</w:t>
            </w:r>
          </w:p>
        </w:tc>
        <w:tc>
          <w:tcPr>
            <w:tcW w:w="1418" w:type="dxa"/>
          </w:tcPr>
          <w:p w14:paraId="0A635A8B" w14:textId="77777777" w:rsidR="00D97CEE" w:rsidRDefault="00D97CEE" w:rsidP="00506E02">
            <w:pPr>
              <w:pStyle w:val="Tableheadingrow1"/>
              <w:jc w:val="right"/>
            </w:pPr>
            <w:r>
              <w:t>2018/19</w:t>
            </w:r>
          </w:p>
        </w:tc>
        <w:tc>
          <w:tcPr>
            <w:tcW w:w="1559" w:type="dxa"/>
          </w:tcPr>
          <w:p w14:paraId="209543CA" w14:textId="77777777" w:rsidR="00D97CEE" w:rsidRDefault="00D97CEE" w:rsidP="00506E02">
            <w:pPr>
              <w:pStyle w:val="Tableheadingrow1"/>
              <w:jc w:val="right"/>
            </w:pPr>
            <w:r>
              <w:t>2019/20</w:t>
            </w:r>
          </w:p>
        </w:tc>
      </w:tr>
      <w:tr w:rsidR="00D97CEE" w14:paraId="4AA7B944" w14:textId="77777777" w:rsidTr="00D97CEE">
        <w:trPr>
          <w:cnfStyle w:val="000000100000" w:firstRow="0" w:lastRow="0" w:firstColumn="0" w:lastColumn="0" w:oddVBand="0" w:evenVBand="0" w:oddHBand="1" w:evenHBand="0" w:firstRowFirstColumn="0" w:firstRowLastColumn="0" w:lastRowFirstColumn="0" w:lastRowLastColumn="0"/>
          <w:trHeight w:val="60"/>
        </w:trPr>
        <w:tc>
          <w:tcPr>
            <w:tcW w:w="6237" w:type="dxa"/>
          </w:tcPr>
          <w:p w14:paraId="229B160F" w14:textId="77777777" w:rsidR="00D97CEE" w:rsidRDefault="00D97CEE" w:rsidP="00506E02">
            <w:pPr>
              <w:pStyle w:val="Tablebodytextnospaceafter"/>
            </w:pPr>
            <w:r>
              <w:t>Department of Corrections</w:t>
            </w:r>
          </w:p>
        </w:tc>
        <w:tc>
          <w:tcPr>
            <w:tcW w:w="1418" w:type="dxa"/>
          </w:tcPr>
          <w:p w14:paraId="32A9F007" w14:textId="77777777" w:rsidR="00D97CEE" w:rsidRDefault="00D97CEE" w:rsidP="00506E02">
            <w:pPr>
              <w:pStyle w:val="Tablebodytextnospaceafter"/>
              <w:jc w:val="right"/>
            </w:pPr>
            <w:r>
              <w:t>2,355</w:t>
            </w:r>
          </w:p>
        </w:tc>
        <w:tc>
          <w:tcPr>
            <w:tcW w:w="1559" w:type="dxa"/>
          </w:tcPr>
          <w:p w14:paraId="3C6A0752" w14:textId="77777777" w:rsidR="00D97CEE" w:rsidRDefault="00FB406B" w:rsidP="00506E02">
            <w:pPr>
              <w:pStyle w:val="Tablebodytextnospaceafter"/>
              <w:jc w:val="right"/>
            </w:pPr>
            <w:r>
              <w:t>2,430</w:t>
            </w:r>
          </w:p>
        </w:tc>
      </w:tr>
      <w:tr w:rsidR="00D97CEE" w14:paraId="74541D89" w14:textId="77777777" w:rsidTr="00D97CEE">
        <w:trPr>
          <w:cnfStyle w:val="000000010000" w:firstRow="0" w:lastRow="0" w:firstColumn="0" w:lastColumn="0" w:oddVBand="0" w:evenVBand="0" w:oddHBand="0" w:evenHBand="1" w:firstRowFirstColumn="0" w:firstRowLastColumn="0" w:lastRowFirstColumn="0" w:lastRowLastColumn="0"/>
          <w:trHeight w:val="60"/>
        </w:trPr>
        <w:tc>
          <w:tcPr>
            <w:tcW w:w="6237" w:type="dxa"/>
          </w:tcPr>
          <w:p w14:paraId="1F7B55CC" w14:textId="1CCFC488" w:rsidR="00D97CEE" w:rsidRPr="00BE4BB3" w:rsidRDefault="00D97CEE" w:rsidP="004D35F3">
            <w:pPr>
              <w:pStyle w:val="Tablebodytextnospaceafter"/>
            </w:pPr>
            <w:r>
              <w:t>Other g</w:t>
            </w:r>
            <w:r w:rsidRPr="00BE4BB3">
              <w:t xml:space="preserve">overnment </w:t>
            </w:r>
            <w:r w:rsidR="004D35F3">
              <w:t>agencies</w:t>
            </w:r>
          </w:p>
        </w:tc>
        <w:tc>
          <w:tcPr>
            <w:tcW w:w="1418" w:type="dxa"/>
          </w:tcPr>
          <w:p w14:paraId="599742C2" w14:textId="77777777" w:rsidR="00D97CEE" w:rsidRDefault="00D97CEE" w:rsidP="00506E02">
            <w:pPr>
              <w:pStyle w:val="Tablebodytextnospaceafter"/>
              <w:jc w:val="right"/>
            </w:pPr>
            <w:r>
              <w:t>928</w:t>
            </w:r>
          </w:p>
        </w:tc>
        <w:tc>
          <w:tcPr>
            <w:tcW w:w="1559" w:type="dxa"/>
          </w:tcPr>
          <w:p w14:paraId="1AE8E98A" w14:textId="77777777" w:rsidR="00D97CEE" w:rsidRDefault="00FB406B" w:rsidP="00411511">
            <w:pPr>
              <w:pStyle w:val="Tablebodytextnospaceafter"/>
              <w:jc w:val="right"/>
            </w:pPr>
            <w:r>
              <w:t>1,062</w:t>
            </w:r>
          </w:p>
        </w:tc>
      </w:tr>
      <w:tr w:rsidR="00D97CEE" w14:paraId="1557E71F" w14:textId="77777777" w:rsidTr="00D97CEE">
        <w:trPr>
          <w:cnfStyle w:val="000000100000" w:firstRow="0" w:lastRow="0" w:firstColumn="0" w:lastColumn="0" w:oddVBand="0" w:evenVBand="0" w:oddHBand="1" w:evenHBand="0" w:firstRowFirstColumn="0" w:firstRowLastColumn="0" w:lastRowFirstColumn="0" w:lastRowLastColumn="0"/>
          <w:trHeight w:val="60"/>
        </w:trPr>
        <w:tc>
          <w:tcPr>
            <w:tcW w:w="6237" w:type="dxa"/>
          </w:tcPr>
          <w:p w14:paraId="59FDF8C5" w14:textId="77777777" w:rsidR="00D97CEE" w:rsidRPr="00BE4BB3" w:rsidRDefault="00D97CEE" w:rsidP="00506E02">
            <w:pPr>
              <w:pStyle w:val="Tablebodytextnospaceafter"/>
            </w:pPr>
            <w:r>
              <w:t>Other organisations (state sector)</w:t>
            </w:r>
            <w:r w:rsidRPr="00BE4BB3">
              <w:t xml:space="preserve"> </w:t>
            </w:r>
          </w:p>
        </w:tc>
        <w:tc>
          <w:tcPr>
            <w:tcW w:w="1418" w:type="dxa"/>
          </w:tcPr>
          <w:p w14:paraId="7F3D7BE6" w14:textId="77777777" w:rsidR="00D97CEE" w:rsidRDefault="00D97CEE" w:rsidP="00506E02">
            <w:pPr>
              <w:pStyle w:val="Tablebodytextnospaceafter"/>
              <w:jc w:val="right"/>
            </w:pPr>
            <w:r>
              <w:t>919</w:t>
            </w:r>
          </w:p>
        </w:tc>
        <w:tc>
          <w:tcPr>
            <w:tcW w:w="1559" w:type="dxa"/>
          </w:tcPr>
          <w:p w14:paraId="74C71AB1" w14:textId="77777777" w:rsidR="00D97CEE" w:rsidRDefault="002A4315" w:rsidP="00506E02">
            <w:pPr>
              <w:pStyle w:val="Tablebodytextnospaceafter"/>
              <w:jc w:val="right"/>
            </w:pPr>
            <w:r>
              <w:t>1,019</w:t>
            </w:r>
          </w:p>
        </w:tc>
      </w:tr>
      <w:tr w:rsidR="00D97CEE" w14:paraId="5C4B399C" w14:textId="77777777" w:rsidTr="00D97CEE">
        <w:trPr>
          <w:cnfStyle w:val="000000010000" w:firstRow="0" w:lastRow="0" w:firstColumn="0" w:lastColumn="0" w:oddVBand="0" w:evenVBand="0" w:oddHBand="0" w:evenHBand="1" w:firstRowFirstColumn="0" w:firstRowLastColumn="0" w:lastRowFirstColumn="0" w:lastRowLastColumn="0"/>
          <w:trHeight w:val="321"/>
        </w:trPr>
        <w:tc>
          <w:tcPr>
            <w:tcW w:w="6237" w:type="dxa"/>
          </w:tcPr>
          <w:p w14:paraId="684A5C9D" w14:textId="77777777" w:rsidR="00D97CEE" w:rsidRPr="00BE4BB3" w:rsidRDefault="00D97CEE" w:rsidP="00506E02">
            <w:pPr>
              <w:pStyle w:val="Tablebodytextnospaceafter"/>
            </w:pPr>
            <w:r>
              <w:t>Agencies not subject to jurisdiction</w:t>
            </w:r>
          </w:p>
        </w:tc>
        <w:tc>
          <w:tcPr>
            <w:tcW w:w="1418" w:type="dxa"/>
          </w:tcPr>
          <w:p w14:paraId="07CFD066" w14:textId="77777777" w:rsidR="00D97CEE" w:rsidRDefault="00D97CEE" w:rsidP="00506E02">
            <w:pPr>
              <w:pStyle w:val="Tablebodytextnospaceafter"/>
              <w:jc w:val="right"/>
            </w:pPr>
            <w:r>
              <w:t>690</w:t>
            </w:r>
          </w:p>
        </w:tc>
        <w:tc>
          <w:tcPr>
            <w:tcW w:w="1559" w:type="dxa"/>
          </w:tcPr>
          <w:p w14:paraId="4A7A98F8" w14:textId="77777777" w:rsidR="00D97CEE" w:rsidRDefault="002A4315" w:rsidP="00506E02">
            <w:pPr>
              <w:pStyle w:val="Tablebodytextnospaceafter"/>
              <w:jc w:val="right"/>
            </w:pPr>
            <w:r>
              <w:t>661</w:t>
            </w:r>
          </w:p>
        </w:tc>
      </w:tr>
      <w:tr w:rsidR="00D97CEE" w14:paraId="4EC35161" w14:textId="77777777" w:rsidTr="00D97CEE">
        <w:trPr>
          <w:cnfStyle w:val="000000100000" w:firstRow="0" w:lastRow="0" w:firstColumn="0" w:lastColumn="0" w:oddVBand="0" w:evenVBand="0" w:oddHBand="1" w:evenHBand="0" w:firstRowFirstColumn="0" w:firstRowLastColumn="0" w:lastRowFirstColumn="0" w:lastRowLastColumn="0"/>
          <w:trHeight w:val="321"/>
        </w:trPr>
        <w:tc>
          <w:tcPr>
            <w:tcW w:w="6237" w:type="dxa"/>
          </w:tcPr>
          <w:p w14:paraId="4CEDF581" w14:textId="77777777" w:rsidR="00D97CEE" w:rsidRPr="00BE4BB3" w:rsidRDefault="00D97CEE" w:rsidP="00506E02">
            <w:pPr>
              <w:pStyle w:val="Tablebodytextnospaceafter"/>
              <w:rPr>
                <w:highlight w:val="yellow"/>
              </w:rPr>
            </w:pPr>
            <w:r w:rsidRPr="00BE4BB3">
              <w:t xml:space="preserve">Local </w:t>
            </w:r>
            <w:r>
              <w:t>authorities</w:t>
            </w:r>
            <w:r w:rsidRPr="00BE4BB3">
              <w:t xml:space="preserve"> </w:t>
            </w:r>
          </w:p>
        </w:tc>
        <w:tc>
          <w:tcPr>
            <w:tcW w:w="1418" w:type="dxa"/>
          </w:tcPr>
          <w:p w14:paraId="5FF03BEA" w14:textId="77777777" w:rsidR="00D97CEE" w:rsidRDefault="00D97CEE" w:rsidP="00506E02">
            <w:pPr>
              <w:pStyle w:val="Tablebodytextnospaceafter"/>
              <w:jc w:val="right"/>
            </w:pPr>
            <w:r>
              <w:t>448</w:t>
            </w:r>
          </w:p>
        </w:tc>
        <w:tc>
          <w:tcPr>
            <w:tcW w:w="1559" w:type="dxa"/>
          </w:tcPr>
          <w:p w14:paraId="1E3768FC" w14:textId="77777777" w:rsidR="00D97CEE" w:rsidRDefault="002A4315" w:rsidP="00506E02">
            <w:pPr>
              <w:pStyle w:val="Tablebodytextnospaceafter"/>
              <w:jc w:val="right"/>
            </w:pPr>
            <w:r>
              <w:t>393</w:t>
            </w:r>
          </w:p>
        </w:tc>
      </w:tr>
      <w:tr w:rsidR="00D97CEE" w14:paraId="47C44A13" w14:textId="77777777" w:rsidTr="00D97CEE">
        <w:trPr>
          <w:cnfStyle w:val="000000010000" w:firstRow="0" w:lastRow="0" w:firstColumn="0" w:lastColumn="0" w:oddVBand="0" w:evenVBand="0" w:oddHBand="0" w:evenHBand="1" w:firstRowFirstColumn="0" w:firstRowLastColumn="0" w:lastRowFirstColumn="0" w:lastRowLastColumn="0"/>
          <w:trHeight w:val="60"/>
        </w:trPr>
        <w:tc>
          <w:tcPr>
            <w:tcW w:w="6237" w:type="dxa"/>
          </w:tcPr>
          <w:p w14:paraId="3615DB2B" w14:textId="77777777" w:rsidR="00D97CEE" w:rsidRPr="00BE4BB3" w:rsidRDefault="00D97CEE" w:rsidP="00506E02">
            <w:pPr>
              <w:pStyle w:val="Tablebodytextnospaceafter"/>
            </w:pPr>
            <w:r>
              <w:t>Ministers</w:t>
            </w:r>
          </w:p>
        </w:tc>
        <w:tc>
          <w:tcPr>
            <w:tcW w:w="1418" w:type="dxa"/>
          </w:tcPr>
          <w:p w14:paraId="7F85CDCB" w14:textId="77777777" w:rsidR="00D97CEE" w:rsidRDefault="00D97CEE" w:rsidP="00506E02">
            <w:pPr>
              <w:pStyle w:val="Tablebodytextnospaceafter"/>
              <w:jc w:val="right"/>
            </w:pPr>
            <w:r>
              <w:t>32</w:t>
            </w:r>
          </w:p>
        </w:tc>
        <w:tc>
          <w:tcPr>
            <w:tcW w:w="1559" w:type="dxa"/>
          </w:tcPr>
          <w:p w14:paraId="4B34E865" w14:textId="77777777" w:rsidR="00D97CEE" w:rsidRDefault="002A4315" w:rsidP="00506E02">
            <w:pPr>
              <w:pStyle w:val="Tablebodytextnospaceafter"/>
              <w:jc w:val="right"/>
            </w:pPr>
            <w:r>
              <w:t>28</w:t>
            </w:r>
          </w:p>
        </w:tc>
      </w:tr>
      <w:tr w:rsidR="00D97CEE" w14:paraId="2EA13B09" w14:textId="77777777" w:rsidTr="00D97CEE">
        <w:trPr>
          <w:cnfStyle w:val="000000100000" w:firstRow="0" w:lastRow="0" w:firstColumn="0" w:lastColumn="0" w:oddVBand="0" w:evenVBand="0" w:oddHBand="1" w:evenHBand="0" w:firstRowFirstColumn="0" w:firstRowLastColumn="0" w:lastRowFirstColumn="0" w:lastRowLastColumn="0"/>
          <w:trHeight w:val="60"/>
        </w:trPr>
        <w:tc>
          <w:tcPr>
            <w:tcW w:w="6237" w:type="dxa"/>
          </w:tcPr>
          <w:p w14:paraId="505A9D82" w14:textId="77777777" w:rsidR="00D97CEE" w:rsidRPr="00BE4BB3" w:rsidRDefault="00D97CEE" w:rsidP="00506E02">
            <w:pPr>
              <w:pStyle w:val="Tablebodytextnospaceafter"/>
            </w:pPr>
            <w:r w:rsidRPr="00BE4BB3">
              <w:t>Not specified</w:t>
            </w:r>
          </w:p>
        </w:tc>
        <w:tc>
          <w:tcPr>
            <w:tcW w:w="1418" w:type="dxa"/>
          </w:tcPr>
          <w:p w14:paraId="3F595F91" w14:textId="77777777" w:rsidR="00D97CEE" w:rsidRDefault="00D97CEE" w:rsidP="00506E02">
            <w:pPr>
              <w:pStyle w:val="Tablebodytextnospaceafter"/>
              <w:jc w:val="right"/>
            </w:pPr>
            <w:r>
              <w:t>1,748</w:t>
            </w:r>
          </w:p>
        </w:tc>
        <w:tc>
          <w:tcPr>
            <w:tcW w:w="1559" w:type="dxa"/>
          </w:tcPr>
          <w:p w14:paraId="62B40142" w14:textId="77777777" w:rsidR="00D97CEE" w:rsidRDefault="002A4315" w:rsidP="00506E02">
            <w:pPr>
              <w:pStyle w:val="Tablebodytextnospaceafter"/>
              <w:jc w:val="right"/>
            </w:pPr>
            <w:r>
              <w:t>1,624</w:t>
            </w:r>
          </w:p>
        </w:tc>
      </w:tr>
      <w:tr w:rsidR="00D97CEE" w14:paraId="0071EADF" w14:textId="77777777" w:rsidTr="00D97CEE">
        <w:trPr>
          <w:cnfStyle w:val="000000010000" w:firstRow="0" w:lastRow="0" w:firstColumn="0" w:lastColumn="0" w:oddVBand="0" w:evenVBand="0" w:oddHBand="0" w:evenHBand="1" w:firstRowFirstColumn="0" w:firstRowLastColumn="0" w:lastRowFirstColumn="0" w:lastRowLastColumn="0"/>
          <w:trHeight w:val="283"/>
        </w:trPr>
        <w:tc>
          <w:tcPr>
            <w:tcW w:w="6237" w:type="dxa"/>
            <w:shd w:val="clear" w:color="auto" w:fill="BFBFBF"/>
          </w:tcPr>
          <w:p w14:paraId="7A629DFC" w14:textId="77777777" w:rsidR="00D97CEE" w:rsidRPr="00F52F4D" w:rsidRDefault="00D97CEE" w:rsidP="00506E02">
            <w:pPr>
              <w:pStyle w:val="Tablebodytextnospaceafter"/>
              <w:rPr>
                <w:rStyle w:val="Emphasis"/>
              </w:rPr>
            </w:pPr>
            <w:r w:rsidRPr="00F52F4D">
              <w:rPr>
                <w:rStyle w:val="Emphasis"/>
              </w:rPr>
              <w:t>Total</w:t>
            </w:r>
          </w:p>
        </w:tc>
        <w:tc>
          <w:tcPr>
            <w:tcW w:w="1418" w:type="dxa"/>
            <w:shd w:val="clear" w:color="auto" w:fill="BFBFBF"/>
          </w:tcPr>
          <w:p w14:paraId="3453C4F5" w14:textId="77777777" w:rsidR="00D97CEE" w:rsidRPr="00F52F4D" w:rsidRDefault="00D97CEE" w:rsidP="00506E02">
            <w:pPr>
              <w:pStyle w:val="Tablebodytextnospaceafter"/>
              <w:jc w:val="right"/>
              <w:rPr>
                <w:rStyle w:val="Emphasis"/>
              </w:rPr>
            </w:pPr>
            <w:r w:rsidRPr="00E139C5">
              <w:rPr>
                <w:rStyle w:val="Emphasis"/>
              </w:rPr>
              <w:t>7,120</w:t>
            </w:r>
          </w:p>
        </w:tc>
        <w:tc>
          <w:tcPr>
            <w:tcW w:w="1559" w:type="dxa"/>
            <w:shd w:val="clear" w:color="auto" w:fill="BFBFBF"/>
          </w:tcPr>
          <w:p w14:paraId="0CB7C0F3" w14:textId="77777777" w:rsidR="00D97CEE" w:rsidRPr="00E139C5" w:rsidRDefault="0002043B" w:rsidP="00FB406B">
            <w:pPr>
              <w:pStyle w:val="Tablebodytextnospaceafter"/>
              <w:jc w:val="right"/>
              <w:rPr>
                <w:rStyle w:val="Emphasis"/>
              </w:rPr>
            </w:pPr>
            <w:r>
              <w:rPr>
                <w:rStyle w:val="Emphasis"/>
              </w:rPr>
              <w:t>7,2</w:t>
            </w:r>
            <w:r w:rsidR="00FB406B">
              <w:rPr>
                <w:rStyle w:val="Emphasis"/>
              </w:rPr>
              <w:t>17</w:t>
            </w:r>
          </w:p>
        </w:tc>
      </w:tr>
    </w:tbl>
    <w:p w14:paraId="2D4C1028" w14:textId="13CD24F2" w:rsidR="00DF1795" w:rsidRDefault="005B795D" w:rsidP="00DF1795">
      <w:pPr>
        <w:pStyle w:val="BodyText"/>
        <w:rPr>
          <w:rStyle w:val="Hyperlink"/>
        </w:rPr>
      </w:pPr>
      <w:hyperlink w:anchor="Contents" w:history="1">
        <w:r w:rsidR="00DF1795" w:rsidRPr="00F5248A">
          <w:rPr>
            <w:rStyle w:val="Hyperlink"/>
          </w:rPr>
          <w:t>Back to contents</w:t>
        </w:r>
      </w:hyperlink>
    </w:p>
    <w:p w14:paraId="5A148946" w14:textId="77777777" w:rsidR="00B859BB" w:rsidRDefault="00B859BB" w:rsidP="00DF1795">
      <w:pPr>
        <w:pStyle w:val="BodyText"/>
      </w:pPr>
    </w:p>
    <w:tbl>
      <w:tblPr>
        <w:tblStyle w:val="TableGridAnnualReport"/>
        <w:tblW w:w="9225" w:type="dxa"/>
        <w:tblLayout w:type="fixed"/>
        <w:tblLook w:val="0420" w:firstRow="1" w:lastRow="0" w:firstColumn="0" w:lastColumn="0" w:noHBand="0" w:noVBand="1"/>
        <w:tblCaption w:val="How other contacts were dealt with"/>
      </w:tblPr>
      <w:tblGrid>
        <w:gridCol w:w="6227"/>
        <w:gridCol w:w="1418"/>
        <w:gridCol w:w="1580"/>
      </w:tblGrid>
      <w:tr w:rsidR="00D97CEE" w14:paraId="50F82731" w14:textId="77777777" w:rsidTr="00D97CEE">
        <w:trPr>
          <w:cnfStyle w:val="100000000000" w:firstRow="1" w:lastRow="0" w:firstColumn="0" w:lastColumn="0" w:oddVBand="0" w:evenVBand="0" w:oddHBand="0" w:evenHBand="0" w:firstRowFirstColumn="0" w:firstRowLastColumn="0" w:lastRowFirstColumn="0" w:lastRowLastColumn="0"/>
          <w:trHeight w:val="60"/>
        </w:trPr>
        <w:tc>
          <w:tcPr>
            <w:tcW w:w="6227" w:type="dxa"/>
          </w:tcPr>
          <w:p w14:paraId="60E3375B" w14:textId="77777777" w:rsidR="00D97CEE" w:rsidRPr="00BE4BB3" w:rsidRDefault="00364FD2" w:rsidP="00D97CEE">
            <w:pPr>
              <w:pStyle w:val="Tableheadingrow1"/>
            </w:pPr>
            <w:r>
              <w:t>28</w:t>
            </w:r>
            <w:r w:rsidR="001C7062">
              <w:t xml:space="preserve">. </w:t>
            </w:r>
            <w:r w:rsidR="00D97CEE" w:rsidRPr="00BE4BB3">
              <w:t>How other contacts were dealt with</w:t>
            </w:r>
          </w:p>
        </w:tc>
        <w:tc>
          <w:tcPr>
            <w:tcW w:w="1418" w:type="dxa"/>
          </w:tcPr>
          <w:p w14:paraId="07CF7607" w14:textId="77777777" w:rsidR="00D97CEE" w:rsidRDefault="00D97CEE" w:rsidP="00D97CEE">
            <w:pPr>
              <w:pStyle w:val="Tableheadingrow1"/>
              <w:jc w:val="right"/>
            </w:pPr>
            <w:r>
              <w:t>2018/19</w:t>
            </w:r>
          </w:p>
        </w:tc>
        <w:tc>
          <w:tcPr>
            <w:tcW w:w="1580" w:type="dxa"/>
          </w:tcPr>
          <w:p w14:paraId="3CEFA776" w14:textId="77777777" w:rsidR="00D97CEE" w:rsidRDefault="00D97CEE" w:rsidP="00D97CEE">
            <w:pPr>
              <w:pStyle w:val="Tableheadingrow1"/>
              <w:jc w:val="right"/>
            </w:pPr>
            <w:r>
              <w:t>2019/20</w:t>
            </w:r>
          </w:p>
        </w:tc>
      </w:tr>
      <w:tr w:rsidR="00D16FB5" w14:paraId="0DF7D9D9" w14:textId="77777777" w:rsidTr="00D97CEE">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5B046E06" w14:textId="77777777" w:rsidR="00D16FB5" w:rsidRPr="00BE4BB3" w:rsidRDefault="00D16FB5" w:rsidP="00D97CEE">
            <w:pPr>
              <w:pStyle w:val="Tablebodytextnospaceafter"/>
            </w:pPr>
            <w:r w:rsidRPr="00BE4BB3">
              <w:t>Explanation, advice or assistance provided</w:t>
            </w:r>
          </w:p>
        </w:tc>
        <w:tc>
          <w:tcPr>
            <w:tcW w:w="1418" w:type="dxa"/>
          </w:tcPr>
          <w:p w14:paraId="53FDB33F" w14:textId="77777777" w:rsidR="00D16FB5" w:rsidRDefault="00D16FB5" w:rsidP="00D97CEE">
            <w:pPr>
              <w:pStyle w:val="Tablebodytextnospaceafter"/>
              <w:jc w:val="right"/>
            </w:pPr>
            <w:r>
              <w:t>2,816</w:t>
            </w:r>
          </w:p>
        </w:tc>
        <w:tc>
          <w:tcPr>
            <w:tcW w:w="1580" w:type="dxa"/>
          </w:tcPr>
          <w:p w14:paraId="46D25446" w14:textId="77777777" w:rsidR="00D16FB5" w:rsidRDefault="00D16FB5" w:rsidP="00D97CEE">
            <w:pPr>
              <w:pStyle w:val="Tablebodytextnospaceafter"/>
              <w:jc w:val="right"/>
            </w:pPr>
            <w:r>
              <w:t>3,645</w:t>
            </w:r>
          </w:p>
        </w:tc>
      </w:tr>
      <w:tr w:rsidR="00D16FB5" w14:paraId="461CD8C3" w14:textId="77777777" w:rsidTr="00D97CEE">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786D1A31" w14:textId="77777777" w:rsidR="00D16FB5" w:rsidRPr="00BE4BB3" w:rsidRDefault="00D16FB5" w:rsidP="00D97CEE">
            <w:pPr>
              <w:pStyle w:val="Tablebodytextnospaceafter"/>
            </w:pPr>
            <w:r w:rsidRPr="00BE4BB3">
              <w:t>Complain to agency first</w:t>
            </w:r>
          </w:p>
        </w:tc>
        <w:tc>
          <w:tcPr>
            <w:tcW w:w="1418" w:type="dxa"/>
          </w:tcPr>
          <w:p w14:paraId="0C92CB21" w14:textId="77777777" w:rsidR="00D16FB5" w:rsidRDefault="00D16FB5" w:rsidP="00D97CEE">
            <w:pPr>
              <w:pStyle w:val="Tablebodytextnospaceafter"/>
              <w:jc w:val="right"/>
            </w:pPr>
            <w:r>
              <w:t>2,445</w:t>
            </w:r>
          </w:p>
        </w:tc>
        <w:tc>
          <w:tcPr>
            <w:tcW w:w="1580" w:type="dxa"/>
          </w:tcPr>
          <w:p w14:paraId="7687783E" w14:textId="77777777" w:rsidR="00D16FB5" w:rsidRDefault="00D16FB5" w:rsidP="00D97CEE">
            <w:pPr>
              <w:pStyle w:val="Tablebodytextnospaceafter"/>
              <w:jc w:val="right"/>
            </w:pPr>
            <w:r>
              <w:t>1,937</w:t>
            </w:r>
          </w:p>
        </w:tc>
      </w:tr>
      <w:tr w:rsidR="00D16FB5" w14:paraId="366AFAE1" w14:textId="77777777" w:rsidTr="00D97CEE">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5BB47C97" w14:textId="77777777" w:rsidR="00D16FB5" w:rsidRPr="001B4E43" w:rsidRDefault="00D16FB5" w:rsidP="00D97CEE">
            <w:pPr>
              <w:pStyle w:val="Tablebodytextnospaceafter"/>
            </w:pPr>
            <w:r w:rsidRPr="001B4E43">
              <w:t xml:space="preserve">No response required </w:t>
            </w:r>
            <w:r>
              <w:t xml:space="preserve">(including </w:t>
            </w:r>
            <w:r w:rsidRPr="001B4E43">
              <w:t>copy correspondence, FYI</w:t>
            </w:r>
            <w:r>
              <w:t>)</w:t>
            </w:r>
          </w:p>
        </w:tc>
        <w:tc>
          <w:tcPr>
            <w:tcW w:w="1418" w:type="dxa"/>
          </w:tcPr>
          <w:p w14:paraId="361C9F32" w14:textId="77777777" w:rsidR="00D16FB5" w:rsidRDefault="00D16FB5" w:rsidP="00D97CEE">
            <w:pPr>
              <w:pStyle w:val="Tablebodytextnospaceafter"/>
              <w:jc w:val="right"/>
            </w:pPr>
            <w:r>
              <w:t>773</w:t>
            </w:r>
          </w:p>
        </w:tc>
        <w:tc>
          <w:tcPr>
            <w:tcW w:w="1580" w:type="dxa"/>
          </w:tcPr>
          <w:p w14:paraId="0314220D" w14:textId="77777777" w:rsidR="00D16FB5" w:rsidRDefault="00D16FB5" w:rsidP="00B04CD7">
            <w:pPr>
              <w:pStyle w:val="Tablebodytextnospaceafter"/>
              <w:jc w:val="right"/>
            </w:pPr>
            <w:r>
              <w:t>689</w:t>
            </w:r>
          </w:p>
        </w:tc>
      </w:tr>
      <w:tr w:rsidR="00D16FB5" w14:paraId="6A793E91" w14:textId="77777777" w:rsidTr="00D97CEE">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41275F62" w14:textId="77777777" w:rsidR="00D16FB5" w:rsidRPr="00BE4BB3" w:rsidRDefault="00D16FB5" w:rsidP="00D97CEE">
            <w:pPr>
              <w:pStyle w:val="Tablebodytextnospaceafter"/>
            </w:pPr>
            <w:r w:rsidRPr="00BE4BB3">
              <w:t xml:space="preserve">Individual advised to complain in writing/send relevant papers </w:t>
            </w:r>
          </w:p>
        </w:tc>
        <w:tc>
          <w:tcPr>
            <w:tcW w:w="1418" w:type="dxa"/>
          </w:tcPr>
          <w:p w14:paraId="1E8314AF" w14:textId="77777777" w:rsidR="00D16FB5" w:rsidRDefault="00D16FB5" w:rsidP="00D97CEE">
            <w:pPr>
              <w:pStyle w:val="Tablebodytextnospaceafter"/>
              <w:jc w:val="right"/>
            </w:pPr>
            <w:r>
              <w:t>580</w:t>
            </w:r>
          </w:p>
        </w:tc>
        <w:tc>
          <w:tcPr>
            <w:tcW w:w="1580" w:type="dxa"/>
          </w:tcPr>
          <w:p w14:paraId="25BD4E80" w14:textId="77777777" w:rsidR="00D16FB5" w:rsidRDefault="00D16FB5" w:rsidP="0002043B">
            <w:pPr>
              <w:pStyle w:val="Tablebodytextnospaceafter"/>
              <w:jc w:val="right"/>
            </w:pPr>
            <w:r>
              <w:t>607</w:t>
            </w:r>
          </w:p>
        </w:tc>
      </w:tr>
      <w:tr w:rsidR="00D16FB5" w14:paraId="065AA046" w14:textId="77777777" w:rsidTr="00D97CEE">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4862381C" w14:textId="77777777" w:rsidR="00D16FB5" w:rsidRPr="00BE4BB3" w:rsidRDefault="00D16FB5" w:rsidP="00D97CEE">
            <w:pPr>
              <w:pStyle w:val="Tablebodytextnospaceafter"/>
            </w:pPr>
            <w:r w:rsidRPr="00BE4BB3">
              <w:t>Complain to other agency</w:t>
            </w:r>
            <w:r>
              <w:t xml:space="preserve"> –</w:t>
            </w:r>
            <w:r w:rsidRPr="00BE4BB3">
              <w:t xml:space="preserve"> other</w:t>
            </w:r>
          </w:p>
        </w:tc>
        <w:tc>
          <w:tcPr>
            <w:tcW w:w="1418" w:type="dxa"/>
          </w:tcPr>
          <w:p w14:paraId="7B0F788A" w14:textId="77777777" w:rsidR="00D16FB5" w:rsidRDefault="00D16FB5" w:rsidP="00D97CEE">
            <w:pPr>
              <w:pStyle w:val="Tablebodytextnospaceafter"/>
              <w:jc w:val="right"/>
            </w:pPr>
            <w:r>
              <w:t>205</w:t>
            </w:r>
          </w:p>
        </w:tc>
        <w:tc>
          <w:tcPr>
            <w:tcW w:w="1580" w:type="dxa"/>
          </w:tcPr>
          <w:p w14:paraId="1B903554" w14:textId="77777777" w:rsidR="00D16FB5" w:rsidRDefault="00D16FB5" w:rsidP="00D97CEE">
            <w:pPr>
              <w:pStyle w:val="Tablebodytextnospaceafter"/>
              <w:jc w:val="right"/>
            </w:pPr>
            <w:r>
              <w:t>153</w:t>
            </w:r>
          </w:p>
        </w:tc>
      </w:tr>
      <w:tr w:rsidR="00D16FB5" w14:paraId="475AE6DC" w14:textId="77777777" w:rsidTr="00D97CEE">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5DC35F37" w14:textId="77777777" w:rsidR="00D16FB5" w:rsidRPr="00BE4BB3" w:rsidRDefault="00D16FB5" w:rsidP="00D97CEE">
            <w:pPr>
              <w:pStyle w:val="Tablebodytextnospaceafter"/>
            </w:pPr>
            <w:r w:rsidRPr="00BE4BB3">
              <w:t xml:space="preserve">Complain to other agency </w:t>
            </w:r>
            <w:r>
              <w:t>–</w:t>
            </w:r>
            <w:r w:rsidRPr="00BE4BB3">
              <w:t xml:space="preserve"> Health and Disability Commissioner </w:t>
            </w:r>
          </w:p>
        </w:tc>
        <w:tc>
          <w:tcPr>
            <w:tcW w:w="1418" w:type="dxa"/>
          </w:tcPr>
          <w:p w14:paraId="2B28AD41" w14:textId="77777777" w:rsidR="00D16FB5" w:rsidRDefault="00D16FB5" w:rsidP="00D97CEE">
            <w:pPr>
              <w:pStyle w:val="Tablebodytextnospaceafter"/>
              <w:jc w:val="right"/>
            </w:pPr>
            <w:r>
              <w:t>82</w:t>
            </w:r>
          </w:p>
        </w:tc>
        <w:tc>
          <w:tcPr>
            <w:tcW w:w="1580" w:type="dxa"/>
          </w:tcPr>
          <w:p w14:paraId="528B5C25" w14:textId="77777777" w:rsidR="00D16FB5" w:rsidRDefault="00D16FB5" w:rsidP="00D97CEE">
            <w:pPr>
              <w:pStyle w:val="Tablebodytextnospaceafter"/>
              <w:jc w:val="right"/>
            </w:pPr>
            <w:r>
              <w:t>105</w:t>
            </w:r>
          </w:p>
        </w:tc>
      </w:tr>
      <w:tr w:rsidR="00D16FB5" w14:paraId="6D9F6CBF" w14:textId="77777777" w:rsidTr="00D97CEE">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05576396" w14:textId="77777777" w:rsidR="00D16FB5" w:rsidRPr="00BE4BB3" w:rsidRDefault="00D16FB5" w:rsidP="00D97CEE">
            <w:pPr>
              <w:pStyle w:val="Tablebodytextnospaceafter"/>
            </w:pPr>
            <w:r w:rsidRPr="00BE4BB3">
              <w:t xml:space="preserve">Complain to other agency </w:t>
            </w:r>
            <w:r>
              <w:t>–</w:t>
            </w:r>
            <w:r w:rsidRPr="00BE4BB3">
              <w:t xml:space="preserve"> Privacy Commissioner</w:t>
            </w:r>
          </w:p>
        </w:tc>
        <w:tc>
          <w:tcPr>
            <w:tcW w:w="1418" w:type="dxa"/>
          </w:tcPr>
          <w:p w14:paraId="049426EC" w14:textId="77777777" w:rsidR="00D16FB5" w:rsidRDefault="00D16FB5" w:rsidP="00D97CEE">
            <w:pPr>
              <w:pStyle w:val="Tablebodytextnospaceafter"/>
              <w:jc w:val="right"/>
            </w:pPr>
            <w:r>
              <w:t>78</w:t>
            </w:r>
          </w:p>
        </w:tc>
        <w:tc>
          <w:tcPr>
            <w:tcW w:w="1580" w:type="dxa"/>
          </w:tcPr>
          <w:p w14:paraId="42A5CC67" w14:textId="77777777" w:rsidR="00D16FB5" w:rsidRDefault="00D16FB5" w:rsidP="00D97CEE">
            <w:pPr>
              <w:pStyle w:val="Tablebodytextnospaceafter"/>
              <w:jc w:val="right"/>
            </w:pPr>
            <w:r>
              <w:t>65</w:t>
            </w:r>
          </w:p>
        </w:tc>
      </w:tr>
      <w:tr w:rsidR="00D16FB5" w14:paraId="2DD47C6A" w14:textId="77777777" w:rsidTr="00D97CEE">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181BD9B8" w14:textId="77777777" w:rsidR="00D16FB5" w:rsidRPr="00BE4BB3" w:rsidRDefault="00D16FB5" w:rsidP="00D97CEE">
            <w:pPr>
              <w:pStyle w:val="Tablebodytextnospaceafter"/>
            </w:pPr>
            <w:r w:rsidRPr="00BE4BB3">
              <w:t xml:space="preserve">Complain to other agency </w:t>
            </w:r>
            <w:r>
              <w:t>–</w:t>
            </w:r>
            <w:r w:rsidRPr="00BE4BB3">
              <w:t xml:space="preserve"> Independent Police Conduct Authority</w:t>
            </w:r>
          </w:p>
        </w:tc>
        <w:tc>
          <w:tcPr>
            <w:tcW w:w="1418" w:type="dxa"/>
          </w:tcPr>
          <w:p w14:paraId="7F7C24E8" w14:textId="77777777" w:rsidR="00D16FB5" w:rsidRDefault="00D16FB5" w:rsidP="00D97CEE">
            <w:pPr>
              <w:pStyle w:val="Tablebodytextnospaceafter"/>
              <w:jc w:val="right"/>
            </w:pPr>
            <w:r>
              <w:t>65</w:t>
            </w:r>
          </w:p>
        </w:tc>
        <w:tc>
          <w:tcPr>
            <w:tcW w:w="1580" w:type="dxa"/>
          </w:tcPr>
          <w:p w14:paraId="58A0D9E8" w14:textId="77777777" w:rsidR="00D16FB5" w:rsidRDefault="00D16FB5" w:rsidP="00D97CEE">
            <w:pPr>
              <w:pStyle w:val="Tablebodytextnospaceafter"/>
              <w:jc w:val="right"/>
            </w:pPr>
            <w:r>
              <w:t>65</w:t>
            </w:r>
          </w:p>
        </w:tc>
      </w:tr>
      <w:tr w:rsidR="00D16FB5" w14:paraId="166015C4" w14:textId="77777777" w:rsidTr="00D97CEE">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4BB5ADE6" w14:textId="77777777" w:rsidR="00D16FB5" w:rsidRPr="00BE4BB3" w:rsidRDefault="00D16FB5" w:rsidP="00D97CEE">
            <w:pPr>
              <w:pStyle w:val="Tablebodytextnospaceafter"/>
            </w:pPr>
            <w:r w:rsidRPr="00BE4BB3">
              <w:t>Protected disclosures enquiry</w:t>
            </w:r>
          </w:p>
        </w:tc>
        <w:tc>
          <w:tcPr>
            <w:tcW w:w="1418" w:type="dxa"/>
          </w:tcPr>
          <w:p w14:paraId="13DD1DA9" w14:textId="77777777" w:rsidR="00D16FB5" w:rsidRDefault="00D16FB5" w:rsidP="00D97CEE">
            <w:pPr>
              <w:pStyle w:val="Tablebodytextnospaceafter"/>
              <w:jc w:val="right"/>
            </w:pPr>
            <w:r>
              <w:t>42</w:t>
            </w:r>
          </w:p>
        </w:tc>
        <w:tc>
          <w:tcPr>
            <w:tcW w:w="1580" w:type="dxa"/>
          </w:tcPr>
          <w:p w14:paraId="24C78C5A" w14:textId="77777777" w:rsidR="00D16FB5" w:rsidRDefault="00D16FB5" w:rsidP="00D97CEE">
            <w:pPr>
              <w:pStyle w:val="Tablebodytextnospaceafter"/>
              <w:jc w:val="right"/>
            </w:pPr>
            <w:r>
              <w:t>37</w:t>
            </w:r>
          </w:p>
        </w:tc>
      </w:tr>
      <w:tr w:rsidR="00D16FB5" w14:paraId="159281BA" w14:textId="77777777" w:rsidTr="00D97CEE">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7F2FB519" w14:textId="77777777" w:rsidR="00D16FB5" w:rsidRPr="00BE4BB3" w:rsidRDefault="00D16FB5" w:rsidP="00D97CEE">
            <w:pPr>
              <w:pStyle w:val="Tablebodytextnospaceafter"/>
            </w:pPr>
            <w:r w:rsidRPr="00BE4BB3">
              <w:t xml:space="preserve">Withdrawn </w:t>
            </w:r>
          </w:p>
        </w:tc>
        <w:tc>
          <w:tcPr>
            <w:tcW w:w="1418" w:type="dxa"/>
          </w:tcPr>
          <w:p w14:paraId="6443896C" w14:textId="77777777" w:rsidR="00D16FB5" w:rsidRDefault="00D16FB5" w:rsidP="00D97CEE">
            <w:pPr>
              <w:pStyle w:val="Tablebodytextnospaceafter"/>
              <w:jc w:val="right"/>
            </w:pPr>
            <w:r>
              <w:t>24</w:t>
            </w:r>
          </w:p>
        </w:tc>
        <w:tc>
          <w:tcPr>
            <w:tcW w:w="1580" w:type="dxa"/>
          </w:tcPr>
          <w:p w14:paraId="0DFBF27E" w14:textId="77777777" w:rsidR="00D16FB5" w:rsidRDefault="00D16FB5" w:rsidP="00D97CEE">
            <w:pPr>
              <w:pStyle w:val="Tablebodytextnospaceafter"/>
              <w:jc w:val="right"/>
            </w:pPr>
            <w:r>
              <w:t>23</w:t>
            </w:r>
          </w:p>
        </w:tc>
      </w:tr>
      <w:tr w:rsidR="00D16FB5" w14:paraId="10DCB521" w14:textId="77777777" w:rsidTr="00D97CEE">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308767A8" w14:textId="77777777" w:rsidR="00D16FB5" w:rsidRPr="00BE4BB3" w:rsidRDefault="00D16FB5" w:rsidP="00D97CEE">
            <w:pPr>
              <w:pStyle w:val="Tablebodytextnospaceafter"/>
            </w:pPr>
            <w:r>
              <w:t>Matter to be transferred to Ombudsman by other review agency</w:t>
            </w:r>
          </w:p>
        </w:tc>
        <w:tc>
          <w:tcPr>
            <w:tcW w:w="1418" w:type="dxa"/>
          </w:tcPr>
          <w:p w14:paraId="55A05C84" w14:textId="77777777" w:rsidR="00D16FB5" w:rsidRDefault="00D16FB5" w:rsidP="00D97CEE">
            <w:pPr>
              <w:pStyle w:val="Tablebodytextnospaceafter"/>
              <w:jc w:val="right"/>
            </w:pPr>
            <w:r>
              <w:t>13</w:t>
            </w:r>
          </w:p>
        </w:tc>
        <w:tc>
          <w:tcPr>
            <w:tcW w:w="1580" w:type="dxa"/>
          </w:tcPr>
          <w:p w14:paraId="040A0E8C" w14:textId="77777777" w:rsidR="00D16FB5" w:rsidRDefault="00D16FB5" w:rsidP="00D97CEE">
            <w:pPr>
              <w:pStyle w:val="Tablebodytextnospaceafter"/>
              <w:jc w:val="right"/>
            </w:pPr>
            <w:r>
              <w:t>20</w:t>
            </w:r>
          </w:p>
        </w:tc>
      </w:tr>
      <w:tr w:rsidR="00D16FB5" w14:paraId="3BCA2ABF" w14:textId="77777777" w:rsidTr="00D97CEE">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7E1D632A" w14:textId="77777777" w:rsidR="00D16FB5" w:rsidRPr="00BE4BB3" w:rsidRDefault="00D16FB5" w:rsidP="00D97CEE">
            <w:pPr>
              <w:pStyle w:val="Tablebodytextnospaceafter"/>
            </w:pPr>
            <w:r w:rsidRPr="00BE4BB3">
              <w:t xml:space="preserve">Resolved </w:t>
            </w:r>
            <w:r>
              <w:t>–</w:t>
            </w:r>
            <w:r w:rsidRPr="00BE4BB3">
              <w:t xml:space="preserve"> remedial action to benefit individual</w:t>
            </w:r>
          </w:p>
        </w:tc>
        <w:tc>
          <w:tcPr>
            <w:tcW w:w="1418" w:type="dxa"/>
          </w:tcPr>
          <w:p w14:paraId="48723A98" w14:textId="77777777" w:rsidR="00D16FB5" w:rsidRDefault="00D16FB5" w:rsidP="00D97CEE">
            <w:pPr>
              <w:pStyle w:val="Tablebodytextnospaceafter"/>
              <w:jc w:val="right"/>
            </w:pPr>
            <w:r>
              <w:t>-</w:t>
            </w:r>
          </w:p>
        </w:tc>
        <w:tc>
          <w:tcPr>
            <w:tcW w:w="1580" w:type="dxa"/>
          </w:tcPr>
          <w:p w14:paraId="613EA844" w14:textId="77777777" w:rsidR="00D16FB5" w:rsidRDefault="00D16FB5" w:rsidP="00D97CEE">
            <w:pPr>
              <w:pStyle w:val="Tablebodytextnospaceafter"/>
              <w:jc w:val="right"/>
            </w:pPr>
            <w:r>
              <w:t>7</w:t>
            </w:r>
          </w:p>
        </w:tc>
      </w:tr>
      <w:tr w:rsidR="00D16FB5" w14:paraId="39931B5D" w14:textId="77777777" w:rsidTr="00D97CEE">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55D6A665" w14:textId="77777777" w:rsidR="00D16FB5" w:rsidRPr="00BE4BB3" w:rsidRDefault="00D16FB5" w:rsidP="00D97CEE">
            <w:pPr>
              <w:pStyle w:val="Tablebodytextnospaceafter"/>
            </w:pPr>
            <w:r w:rsidRPr="00BE4BB3">
              <w:t>Matter referred to agency by Ombudsman</w:t>
            </w:r>
          </w:p>
        </w:tc>
        <w:tc>
          <w:tcPr>
            <w:tcW w:w="1418" w:type="dxa"/>
          </w:tcPr>
          <w:p w14:paraId="26BA55B2" w14:textId="77777777" w:rsidR="00D16FB5" w:rsidRDefault="00D16FB5" w:rsidP="00D97CEE">
            <w:pPr>
              <w:pStyle w:val="Tablebodytextnospaceafter"/>
              <w:jc w:val="right"/>
            </w:pPr>
            <w:r>
              <w:t>12</w:t>
            </w:r>
          </w:p>
        </w:tc>
        <w:tc>
          <w:tcPr>
            <w:tcW w:w="1580" w:type="dxa"/>
          </w:tcPr>
          <w:p w14:paraId="557661CF" w14:textId="77777777" w:rsidR="00D16FB5" w:rsidRDefault="00D16FB5" w:rsidP="00D97CEE">
            <w:pPr>
              <w:pStyle w:val="Tablebodytextnospaceafter"/>
              <w:jc w:val="right"/>
            </w:pPr>
            <w:r>
              <w:t>4</w:t>
            </w:r>
          </w:p>
        </w:tc>
      </w:tr>
      <w:tr w:rsidR="00D16FB5" w14:paraId="0C4EA68B" w14:textId="77777777" w:rsidTr="00D16FB5">
        <w:trPr>
          <w:cnfStyle w:val="000000010000" w:firstRow="0" w:lastRow="0" w:firstColumn="0" w:lastColumn="0" w:oddVBand="0" w:evenVBand="0" w:oddHBand="0" w:evenHBand="1" w:firstRowFirstColumn="0" w:firstRowLastColumn="0" w:lastRowFirstColumn="0" w:lastRowLastColumn="0"/>
          <w:trHeight w:val="60"/>
        </w:trPr>
        <w:tc>
          <w:tcPr>
            <w:tcW w:w="6227" w:type="dxa"/>
          </w:tcPr>
          <w:p w14:paraId="5B8D9E78" w14:textId="77777777" w:rsidR="00D16FB5" w:rsidRPr="00BE4BB3" w:rsidRDefault="00D16FB5" w:rsidP="00D16FB5">
            <w:pPr>
              <w:pStyle w:val="Tablebodytextnospaceafter"/>
            </w:pPr>
            <w:r w:rsidRPr="00BE4BB3">
              <w:t xml:space="preserve">Resolved </w:t>
            </w:r>
            <w:r>
              <w:t>–</w:t>
            </w:r>
            <w:r w:rsidRPr="00BE4BB3">
              <w:t xml:space="preserve"> provision of advice/explanation which satisfies individual</w:t>
            </w:r>
          </w:p>
        </w:tc>
        <w:tc>
          <w:tcPr>
            <w:tcW w:w="1418" w:type="dxa"/>
          </w:tcPr>
          <w:p w14:paraId="630539B5" w14:textId="77777777" w:rsidR="00D16FB5" w:rsidRDefault="00D16FB5" w:rsidP="00D16FB5">
            <w:pPr>
              <w:pStyle w:val="Tablebodytextnospaceafter"/>
              <w:jc w:val="right"/>
            </w:pPr>
            <w:r>
              <w:t>8</w:t>
            </w:r>
          </w:p>
        </w:tc>
        <w:tc>
          <w:tcPr>
            <w:tcW w:w="1580" w:type="dxa"/>
          </w:tcPr>
          <w:p w14:paraId="5A83C5F8" w14:textId="77777777" w:rsidR="00D16FB5" w:rsidRDefault="00D16FB5" w:rsidP="00D16FB5">
            <w:pPr>
              <w:pStyle w:val="Tablebodytextnospaceafter"/>
              <w:jc w:val="right"/>
            </w:pPr>
            <w:r>
              <w:t>4</w:t>
            </w:r>
          </w:p>
        </w:tc>
      </w:tr>
      <w:tr w:rsidR="00D16FB5" w14:paraId="5D6DC288" w14:textId="77777777" w:rsidTr="00D16FB5">
        <w:trPr>
          <w:cnfStyle w:val="000000100000" w:firstRow="0" w:lastRow="0" w:firstColumn="0" w:lastColumn="0" w:oddVBand="0" w:evenVBand="0" w:oddHBand="1" w:evenHBand="0" w:firstRowFirstColumn="0" w:firstRowLastColumn="0" w:lastRowFirstColumn="0" w:lastRowLastColumn="0"/>
          <w:trHeight w:val="60"/>
        </w:trPr>
        <w:tc>
          <w:tcPr>
            <w:tcW w:w="6227" w:type="dxa"/>
          </w:tcPr>
          <w:p w14:paraId="4057E81B" w14:textId="77777777" w:rsidR="00D16FB5" w:rsidRPr="00BE4BB3" w:rsidRDefault="00D16FB5" w:rsidP="00D16FB5">
            <w:pPr>
              <w:pStyle w:val="Tablebodytextnospaceafter"/>
            </w:pPr>
            <w:r w:rsidRPr="00BE4BB3">
              <w:t>Under consideration at 30 June</w:t>
            </w:r>
          </w:p>
        </w:tc>
        <w:tc>
          <w:tcPr>
            <w:tcW w:w="1418" w:type="dxa"/>
          </w:tcPr>
          <w:p w14:paraId="077023D6" w14:textId="77777777" w:rsidR="00D16FB5" w:rsidRDefault="00D16FB5" w:rsidP="00D16FB5">
            <w:pPr>
              <w:pStyle w:val="Tablebodytextnospaceafter"/>
              <w:jc w:val="right"/>
            </w:pPr>
            <w:r>
              <w:t>22</w:t>
            </w:r>
          </w:p>
        </w:tc>
        <w:tc>
          <w:tcPr>
            <w:tcW w:w="1580" w:type="dxa"/>
          </w:tcPr>
          <w:p w14:paraId="741B7BEA" w14:textId="77777777" w:rsidR="00D16FB5" w:rsidRPr="001D6915" w:rsidRDefault="00D16FB5" w:rsidP="00D16FB5">
            <w:pPr>
              <w:pStyle w:val="Tablebodytextnospaceafter"/>
              <w:jc w:val="right"/>
            </w:pPr>
            <w:r>
              <w:t>27</w:t>
            </w:r>
          </w:p>
        </w:tc>
      </w:tr>
      <w:tr w:rsidR="00D97CEE" w14:paraId="1516A9A2" w14:textId="77777777" w:rsidTr="00D97CEE">
        <w:trPr>
          <w:cnfStyle w:val="000000010000" w:firstRow="0" w:lastRow="0" w:firstColumn="0" w:lastColumn="0" w:oddVBand="0" w:evenVBand="0" w:oddHBand="0" w:evenHBand="1" w:firstRowFirstColumn="0" w:firstRowLastColumn="0" w:lastRowFirstColumn="0" w:lastRowLastColumn="0"/>
          <w:trHeight w:val="308"/>
        </w:trPr>
        <w:tc>
          <w:tcPr>
            <w:tcW w:w="6227" w:type="dxa"/>
            <w:shd w:val="clear" w:color="auto" w:fill="BFBFBF"/>
          </w:tcPr>
          <w:p w14:paraId="56CCC56E" w14:textId="77777777" w:rsidR="00D97CEE" w:rsidRPr="001D6915" w:rsidRDefault="00D97CEE" w:rsidP="00D97CEE">
            <w:pPr>
              <w:pStyle w:val="Tablebodytextnospaceafter"/>
              <w:rPr>
                <w:rStyle w:val="Emphasis"/>
              </w:rPr>
            </w:pPr>
            <w:r w:rsidRPr="001D6915">
              <w:rPr>
                <w:rStyle w:val="Emphasis"/>
              </w:rPr>
              <w:t>Total</w:t>
            </w:r>
          </w:p>
        </w:tc>
        <w:tc>
          <w:tcPr>
            <w:tcW w:w="1418" w:type="dxa"/>
            <w:shd w:val="clear" w:color="auto" w:fill="BFBFBF"/>
          </w:tcPr>
          <w:p w14:paraId="08BEE7A1" w14:textId="77777777" w:rsidR="00D97CEE" w:rsidRDefault="00D97CEE" w:rsidP="00D97CEE">
            <w:pPr>
              <w:pStyle w:val="Tablebodytextnospaceafter"/>
              <w:jc w:val="right"/>
              <w:rPr>
                <w:rStyle w:val="Emphasis"/>
              </w:rPr>
            </w:pPr>
            <w:r>
              <w:rPr>
                <w:rStyle w:val="Emphasis"/>
              </w:rPr>
              <w:t>7,165</w:t>
            </w:r>
          </w:p>
        </w:tc>
        <w:tc>
          <w:tcPr>
            <w:tcW w:w="1580" w:type="dxa"/>
            <w:shd w:val="clear" w:color="auto" w:fill="BFBFBF"/>
          </w:tcPr>
          <w:p w14:paraId="1EC8B6B9" w14:textId="77777777" w:rsidR="00D97CEE" w:rsidRPr="001D6915" w:rsidRDefault="00721FA4" w:rsidP="00B04CD7">
            <w:pPr>
              <w:pStyle w:val="Tablebodytextnospaceafter"/>
              <w:jc w:val="right"/>
              <w:rPr>
                <w:rStyle w:val="Emphasis"/>
              </w:rPr>
            </w:pPr>
            <w:r>
              <w:rPr>
                <w:rStyle w:val="Emphasis"/>
              </w:rPr>
              <w:t>7,</w:t>
            </w:r>
            <w:r w:rsidR="00B04CD7">
              <w:rPr>
                <w:rStyle w:val="Emphasis"/>
              </w:rPr>
              <w:t>388</w:t>
            </w:r>
          </w:p>
        </w:tc>
      </w:tr>
    </w:tbl>
    <w:p w14:paraId="217657D6" w14:textId="400F1521" w:rsidR="00DF1795" w:rsidRDefault="005B795D" w:rsidP="00DF1795">
      <w:pPr>
        <w:pStyle w:val="BodyText"/>
        <w:rPr>
          <w:rStyle w:val="Hyperlink"/>
        </w:rPr>
      </w:pPr>
      <w:hyperlink w:anchor="Contents" w:history="1">
        <w:r w:rsidR="00DF1795" w:rsidRPr="00F5248A">
          <w:rPr>
            <w:rStyle w:val="Hyperlink"/>
          </w:rPr>
          <w:t>Back to contents</w:t>
        </w:r>
      </w:hyperlink>
    </w:p>
    <w:p w14:paraId="5414781F" w14:textId="77777777" w:rsidR="00B859BB" w:rsidRDefault="00B859BB" w:rsidP="00DF1795">
      <w:pPr>
        <w:pStyle w:val="BodyText"/>
      </w:pPr>
    </w:p>
    <w:tbl>
      <w:tblPr>
        <w:tblStyle w:val="TableGridAnnualReport"/>
        <w:tblW w:w="9229" w:type="dxa"/>
        <w:tblInd w:w="-10" w:type="dxa"/>
        <w:tblLayout w:type="fixed"/>
        <w:tblLook w:val="0420" w:firstRow="1" w:lastRow="0" w:firstColumn="0" w:lastColumn="0" w:noHBand="0" w:noVBand="1"/>
        <w:tblCaption w:val="Table for formatting purposes"/>
      </w:tblPr>
      <w:tblGrid>
        <w:gridCol w:w="6233"/>
        <w:gridCol w:w="1400"/>
        <w:gridCol w:w="1596"/>
      </w:tblGrid>
      <w:tr w:rsidR="00DF1795" w14:paraId="1D19C321" w14:textId="77777777" w:rsidTr="00D97CEE">
        <w:trPr>
          <w:cnfStyle w:val="100000000000" w:firstRow="1" w:lastRow="0" w:firstColumn="0" w:lastColumn="0" w:oddVBand="0" w:evenVBand="0" w:oddHBand="0" w:evenHBand="0" w:firstRowFirstColumn="0" w:firstRowLastColumn="0" w:lastRowFirstColumn="0" w:lastRowLastColumn="0"/>
          <w:trHeight w:val="406"/>
        </w:trPr>
        <w:tc>
          <w:tcPr>
            <w:tcW w:w="6233" w:type="dxa"/>
          </w:tcPr>
          <w:p w14:paraId="30510CC3" w14:textId="77777777" w:rsidR="00DF1795" w:rsidRPr="00BE4BB3" w:rsidRDefault="00364FD2" w:rsidP="00506E02">
            <w:pPr>
              <w:pStyle w:val="Tableheadingrow1"/>
            </w:pPr>
            <w:r>
              <w:t>29</w:t>
            </w:r>
            <w:r w:rsidR="001C7062">
              <w:t xml:space="preserve">. </w:t>
            </w:r>
            <w:r w:rsidR="00DF1795" w:rsidRPr="00BE4BB3">
              <w:t xml:space="preserve">Nature of remedy obtained for </w:t>
            </w:r>
            <w:r w:rsidR="00DF1795">
              <w:t xml:space="preserve">other contacts </w:t>
            </w:r>
          </w:p>
        </w:tc>
        <w:tc>
          <w:tcPr>
            <w:tcW w:w="1400" w:type="dxa"/>
          </w:tcPr>
          <w:p w14:paraId="306363F7" w14:textId="77777777" w:rsidR="00DF1795" w:rsidRPr="00BE4BB3" w:rsidRDefault="00D97CEE" w:rsidP="00506E02">
            <w:pPr>
              <w:pStyle w:val="Tableheadingrow1"/>
              <w:jc w:val="right"/>
            </w:pPr>
            <w:r>
              <w:t>2018/19</w:t>
            </w:r>
          </w:p>
        </w:tc>
        <w:tc>
          <w:tcPr>
            <w:tcW w:w="1596" w:type="dxa"/>
          </w:tcPr>
          <w:p w14:paraId="6FFECD60" w14:textId="77777777" w:rsidR="00DF1795" w:rsidRDefault="00DF1795" w:rsidP="00D97CEE">
            <w:pPr>
              <w:pStyle w:val="Tableheadingrow1"/>
              <w:jc w:val="right"/>
            </w:pPr>
            <w:r>
              <w:t>2019</w:t>
            </w:r>
            <w:r w:rsidR="00D97CEE">
              <w:t>/20</w:t>
            </w:r>
          </w:p>
        </w:tc>
      </w:tr>
      <w:tr w:rsidR="00D16FB5" w14:paraId="1DDD9005" w14:textId="77777777" w:rsidTr="00D97CEE">
        <w:trPr>
          <w:cnfStyle w:val="000000100000" w:firstRow="0" w:lastRow="0" w:firstColumn="0" w:lastColumn="0" w:oddVBand="0" w:evenVBand="0" w:oddHBand="1" w:evenHBand="0" w:firstRowFirstColumn="0" w:firstRowLastColumn="0" w:lastRowFirstColumn="0" w:lastRowLastColumn="0"/>
          <w:trHeight w:val="283"/>
        </w:trPr>
        <w:tc>
          <w:tcPr>
            <w:tcW w:w="6233" w:type="dxa"/>
          </w:tcPr>
          <w:p w14:paraId="005F8828" w14:textId="77777777" w:rsidR="00D16FB5" w:rsidRPr="00BE4BB3" w:rsidRDefault="00D16FB5" w:rsidP="00D97CEE">
            <w:pPr>
              <w:pStyle w:val="Tablesinglespacedparagraph"/>
            </w:pPr>
            <w:r w:rsidRPr="00BE4BB3">
              <w:rPr>
                <w:rFonts w:eastAsia="Calibri"/>
              </w:rPr>
              <w:t>Omission rectified</w:t>
            </w:r>
          </w:p>
        </w:tc>
        <w:tc>
          <w:tcPr>
            <w:tcW w:w="1400" w:type="dxa"/>
          </w:tcPr>
          <w:p w14:paraId="6BF71EBA" w14:textId="77777777" w:rsidR="00D16FB5" w:rsidRDefault="00D16FB5" w:rsidP="00D97CEE">
            <w:pPr>
              <w:pStyle w:val="Tablesinglespacedparagraph"/>
              <w:jc w:val="right"/>
            </w:pPr>
            <w:r>
              <w:t>-</w:t>
            </w:r>
          </w:p>
        </w:tc>
        <w:tc>
          <w:tcPr>
            <w:tcW w:w="1596" w:type="dxa"/>
          </w:tcPr>
          <w:p w14:paraId="0262A842" w14:textId="77777777" w:rsidR="00D16FB5" w:rsidRPr="00FD5E46" w:rsidRDefault="00D16FB5" w:rsidP="00D97CEE">
            <w:pPr>
              <w:pStyle w:val="Tablesinglespacedparagraph"/>
              <w:jc w:val="right"/>
            </w:pPr>
            <w:r>
              <w:t>5</w:t>
            </w:r>
          </w:p>
        </w:tc>
      </w:tr>
      <w:tr w:rsidR="00D16FB5" w14:paraId="1EEED6D3" w14:textId="77777777" w:rsidTr="002B580F">
        <w:trPr>
          <w:cnfStyle w:val="000000010000" w:firstRow="0" w:lastRow="0" w:firstColumn="0" w:lastColumn="0" w:oddVBand="0" w:evenVBand="0" w:oddHBand="0" w:evenHBand="1" w:firstRowFirstColumn="0" w:firstRowLastColumn="0" w:lastRowFirstColumn="0" w:lastRowLastColumn="0"/>
          <w:trHeight w:val="283"/>
        </w:trPr>
        <w:tc>
          <w:tcPr>
            <w:tcW w:w="6233" w:type="dxa"/>
          </w:tcPr>
          <w:p w14:paraId="57EAD174" w14:textId="77777777" w:rsidR="00D16FB5" w:rsidRPr="00BE4BB3" w:rsidRDefault="00D16FB5" w:rsidP="002B580F">
            <w:pPr>
              <w:pStyle w:val="Tablesinglespacedparagraph"/>
            </w:pPr>
            <w:r w:rsidRPr="00BE4BB3">
              <w:rPr>
                <w:rFonts w:eastAsia="Calibri"/>
              </w:rPr>
              <w:t>Reasons/explanation given</w:t>
            </w:r>
          </w:p>
        </w:tc>
        <w:tc>
          <w:tcPr>
            <w:tcW w:w="1400" w:type="dxa"/>
          </w:tcPr>
          <w:p w14:paraId="6672447A" w14:textId="77777777" w:rsidR="00D16FB5" w:rsidRDefault="00D16FB5" w:rsidP="002B580F">
            <w:pPr>
              <w:pStyle w:val="Tablesinglespacedparagraph"/>
              <w:jc w:val="right"/>
            </w:pPr>
            <w:r>
              <w:t>-</w:t>
            </w:r>
          </w:p>
        </w:tc>
        <w:tc>
          <w:tcPr>
            <w:tcW w:w="1596" w:type="dxa"/>
          </w:tcPr>
          <w:p w14:paraId="48B9E765" w14:textId="77777777" w:rsidR="00D16FB5" w:rsidRPr="00FD5E46" w:rsidRDefault="00D16FB5" w:rsidP="002B580F">
            <w:pPr>
              <w:pStyle w:val="Tablesinglespacedparagraph"/>
              <w:jc w:val="right"/>
            </w:pPr>
            <w:r>
              <w:t>1</w:t>
            </w:r>
          </w:p>
        </w:tc>
      </w:tr>
      <w:tr w:rsidR="00D16FB5" w14:paraId="2F6B7172" w14:textId="77777777" w:rsidTr="002B580F">
        <w:trPr>
          <w:cnfStyle w:val="000000100000" w:firstRow="0" w:lastRow="0" w:firstColumn="0" w:lastColumn="0" w:oddVBand="0" w:evenVBand="0" w:oddHBand="1" w:evenHBand="0" w:firstRowFirstColumn="0" w:firstRowLastColumn="0" w:lastRowFirstColumn="0" w:lastRowLastColumn="0"/>
          <w:trHeight w:val="283"/>
        </w:trPr>
        <w:tc>
          <w:tcPr>
            <w:tcW w:w="6233" w:type="dxa"/>
          </w:tcPr>
          <w:p w14:paraId="4BB41AEB" w14:textId="77777777" w:rsidR="00D16FB5" w:rsidRPr="00BE4BB3" w:rsidRDefault="00D16FB5" w:rsidP="002B580F">
            <w:pPr>
              <w:pStyle w:val="Tablesinglespacedparagraph"/>
              <w:rPr>
                <w:rFonts w:eastAsia="Calibri"/>
              </w:rPr>
            </w:pPr>
            <w:r>
              <w:rPr>
                <w:rFonts w:eastAsia="Calibri"/>
              </w:rPr>
              <w:t>Decision to be reconsidered</w:t>
            </w:r>
          </w:p>
        </w:tc>
        <w:tc>
          <w:tcPr>
            <w:tcW w:w="1400" w:type="dxa"/>
          </w:tcPr>
          <w:p w14:paraId="57798109" w14:textId="77777777" w:rsidR="00D16FB5" w:rsidRDefault="00D16FB5" w:rsidP="002B580F">
            <w:pPr>
              <w:pStyle w:val="Tablesinglespacedparagraph"/>
              <w:jc w:val="right"/>
            </w:pPr>
            <w:r>
              <w:t>-</w:t>
            </w:r>
          </w:p>
        </w:tc>
        <w:tc>
          <w:tcPr>
            <w:tcW w:w="1596" w:type="dxa"/>
          </w:tcPr>
          <w:p w14:paraId="6B58240A" w14:textId="77777777" w:rsidR="00D16FB5" w:rsidRPr="00FD5E46" w:rsidRDefault="00D16FB5" w:rsidP="002B580F">
            <w:pPr>
              <w:pStyle w:val="Tablesinglespacedparagraph"/>
              <w:jc w:val="right"/>
            </w:pPr>
            <w:r>
              <w:t>1</w:t>
            </w:r>
          </w:p>
        </w:tc>
      </w:tr>
      <w:tr w:rsidR="00D16FB5" w14:paraId="3300F40A" w14:textId="77777777" w:rsidTr="002B580F">
        <w:trPr>
          <w:cnfStyle w:val="000000010000" w:firstRow="0" w:lastRow="0" w:firstColumn="0" w:lastColumn="0" w:oddVBand="0" w:evenVBand="0" w:oddHBand="0" w:evenHBand="1" w:firstRowFirstColumn="0" w:firstRowLastColumn="0" w:lastRowFirstColumn="0" w:lastRowLastColumn="0"/>
          <w:trHeight w:val="283"/>
        </w:trPr>
        <w:tc>
          <w:tcPr>
            <w:tcW w:w="6233" w:type="dxa"/>
          </w:tcPr>
          <w:p w14:paraId="47EBE5C6" w14:textId="77777777" w:rsidR="00D16FB5" w:rsidRPr="00BE4BB3" w:rsidRDefault="00D16FB5" w:rsidP="002B580F">
            <w:pPr>
              <w:pStyle w:val="Tablesinglespacedparagraph"/>
              <w:rPr>
                <w:rFonts w:eastAsia="Calibri"/>
              </w:rPr>
            </w:pPr>
            <w:r w:rsidRPr="00BE4BB3">
              <w:rPr>
                <w:rFonts w:eastAsia="Calibri"/>
              </w:rPr>
              <w:t xml:space="preserve">Change in </w:t>
            </w:r>
            <w:r>
              <w:rPr>
                <w:rFonts w:eastAsia="Calibri"/>
              </w:rPr>
              <w:t>practice/procedure</w:t>
            </w:r>
          </w:p>
        </w:tc>
        <w:tc>
          <w:tcPr>
            <w:tcW w:w="1400" w:type="dxa"/>
          </w:tcPr>
          <w:p w14:paraId="3FDAC215" w14:textId="77777777" w:rsidR="00D16FB5" w:rsidRDefault="00D16FB5" w:rsidP="002B580F">
            <w:pPr>
              <w:pStyle w:val="Tablesinglespacedparagraph"/>
              <w:jc w:val="right"/>
            </w:pPr>
            <w:r>
              <w:t>-</w:t>
            </w:r>
          </w:p>
        </w:tc>
        <w:tc>
          <w:tcPr>
            <w:tcW w:w="1596" w:type="dxa"/>
          </w:tcPr>
          <w:p w14:paraId="465481B6" w14:textId="77777777" w:rsidR="00D16FB5" w:rsidRDefault="00D16FB5" w:rsidP="002B580F">
            <w:pPr>
              <w:pStyle w:val="Tablesinglespacedparagraph"/>
              <w:jc w:val="right"/>
            </w:pPr>
            <w:r>
              <w:t>1</w:t>
            </w:r>
          </w:p>
        </w:tc>
      </w:tr>
      <w:tr w:rsidR="00D16FB5" w14:paraId="264548CF" w14:textId="77777777" w:rsidTr="002B580F">
        <w:trPr>
          <w:cnfStyle w:val="000000100000" w:firstRow="0" w:lastRow="0" w:firstColumn="0" w:lastColumn="0" w:oddVBand="0" w:evenVBand="0" w:oddHBand="1" w:evenHBand="0" w:firstRowFirstColumn="0" w:firstRowLastColumn="0" w:lastRowFirstColumn="0" w:lastRowLastColumn="0"/>
          <w:trHeight w:val="283"/>
        </w:trPr>
        <w:tc>
          <w:tcPr>
            <w:tcW w:w="6233" w:type="dxa"/>
          </w:tcPr>
          <w:p w14:paraId="469F0411" w14:textId="77777777" w:rsidR="00D16FB5" w:rsidRPr="00BE4BB3" w:rsidRDefault="00D16FB5" w:rsidP="002B580F">
            <w:pPr>
              <w:pStyle w:val="Tablesinglespacedparagraph"/>
              <w:rPr>
                <w:rFonts w:eastAsia="Calibri"/>
              </w:rPr>
            </w:pPr>
            <w:r>
              <w:rPr>
                <w:rFonts w:eastAsia="Calibri"/>
              </w:rPr>
              <w:t>Decision changed</w:t>
            </w:r>
          </w:p>
        </w:tc>
        <w:tc>
          <w:tcPr>
            <w:tcW w:w="1400" w:type="dxa"/>
          </w:tcPr>
          <w:p w14:paraId="5D6BD13F" w14:textId="77777777" w:rsidR="00D16FB5" w:rsidRDefault="00D16FB5" w:rsidP="002B580F">
            <w:pPr>
              <w:pStyle w:val="Tablesinglespacedparagraph"/>
              <w:jc w:val="right"/>
            </w:pPr>
            <w:r>
              <w:t>1</w:t>
            </w:r>
          </w:p>
        </w:tc>
        <w:tc>
          <w:tcPr>
            <w:tcW w:w="1596" w:type="dxa"/>
          </w:tcPr>
          <w:p w14:paraId="0C474C42" w14:textId="77777777" w:rsidR="00D16FB5" w:rsidRPr="00FD5E46" w:rsidRDefault="00D16FB5" w:rsidP="002B580F">
            <w:pPr>
              <w:pStyle w:val="Tablesinglespacedparagraph"/>
              <w:jc w:val="right"/>
            </w:pPr>
            <w:r>
              <w:t>-</w:t>
            </w:r>
          </w:p>
        </w:tc>
      </w:tr>
    </w:tbl>
    <w:p w14:paraId="4B06F5F4" w14:textId="1DAA7C31" w:rsidR="00DF1795" w:rsidRDefault="005B795D" w:rsidP="00DF1795">
      <w:pPr>
        <w:pStyle w:val="BodyText"/>
      </w:pPr>
      <w:hyperlink w:anchor="Contents" w:history="1">
        <w:r w:rsidR="00DF1795" w:rsidRPr="00F5248A">
          <w:rPr>
            <w:rStyle w:val="Hyperlink"/>
          </w:rPr>
          <w:t>Back to contents</w:t>
        </w:r>
      </w:hyperlink>
      <w:r w:rsidR="00DF1795">
        <w:br w:type="page"/>
      </w:r>
    </w:p>
    <w:p w14:paraId="651679CA" w14:textId="1D5EDF05" w:rsidR="00DF1795" w:rsidRDefault="00DF1795" w:rsidP="00DF1795">
      <w:pPr>
        <w:pStyle w:val="Heading2"/>
        <w:spacing w:before="480"/>
      </w:pPr>
      <w:bookmarkStart w:id="178" w:name="_Geographical_distribution_of"/>
      <w:bookmarkStart w:id="179" w:name="_Ref336445869"/>
      <w:bookmarkStart w:id="180" w:name="_Ref54703162"/>
      <w:bookmarkStart w:id="181" w:name="_Ref336445789"/>
      <w:bookmarkEnd w:id="178"/>
      <w:r w:rsidRPr="00E4747C">
        <w:t xml:space="preserve">Geographical distribution of complaints and other contacts received in year to </w:t>
      </w:r>
      <w:r w:rsidRPr="00C428D1">
        <w:t xml:space="preserve">30 June </w:t>
      </w:r>
      <w:bookmarkEnd w:id="179"/>
      <w:r w:rsidR="00D97CEE" w:rsidRPr="00C428D1">
        <w:t>20</w:t>
      </w:r>
      <w:r w:rsidR="00D97CEE">
        <w:t>20</w:t>
      </w:r>
      <w:r w:rsidR="00B859BB" w:rsidRPr="00637E59">
        <w:rPr>
          <w:rStyle w:val="FootnoteReference"/>
        </w:rPr>
        <w:footnoteReference w:id="96"/>
      </w:r>
      <w:bookmarkEnd w:id="180"/>
    </w:p>
    <w:tbl>
      <w:tblPr>
        <w:tblStyle w:val="TableGridAnnualReport"/>
        <w:tblW w:w="9299" w:type="dxa"/>
        <w:tblInd w:w="-20" w:type="dxa"/>
        <w:tblLayout w:type="fixed"/>
        <w:tblLook w:val="04A0" w:firstRow="1" w:lastRow="0" w:firstColumn="1" w:lastColumn="0" w:noHBand="0" w:noVBand="1"/>
        <w:tblCaption w:val="Geographical distribution of complaints and other contacts received in year to 30 June 2017"/>
      </w:tblPr>
      <w:tblGrid>
        <w:gridCol w:w="2420"/>
        <w:gridCol w:w="982"/>
        <w:gridCol w:w="983"/>
        <w:gridCol w:w="983"/>
        <w:gridCol w:w="982"/>
        <w:gridCol w:w="983"/>
        <w:gridCol w:w="983"/>
        <w:gridCol w:w="983"/>
      </w:tblGrid>
      <w:tr w:rsidR="00DF1795" w:rsidRPr="00E01934" w14:paraId="386B4669" w14:textId="77777777" w:rsidTr="001A064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vAlign w:val="center"/>
          </w:tcPr>
          <w:p w14:paraId="2A4B26A8" w14:textId="6155F7B3" w:rsidR="00DF1795" w:rsidRPr="00E01934" w:rsidRDefault="001A0640" w:rsidP="001A0640">
            <w:pPr>
              <w:pStyle w:val="Tablesinglespacedparagraph"/>
              <w:rPr>
                <w:rFonts w:asciiTheme="minorHAnsi" w:hAnsiTheme="minorHAnsi" w:cstheme="minorHAnsi"/>
              </w:rPr>
            </w:pPr>
            <w:r>
              <w:rPr>
                <w:rFonts w:asciiTheme="minorHAnsi" w:hAnsiTheme="minorHAnsi" w:cstheme="minorHAnsi"/>
              </w:rPr>
              <w:t>30. Geographical location</w:t>
            </w:r>
          </w:p>
        </w:tc>
        <w:tc>
          <w:tcPr>
            <w:tcW w:w="982" w:type="dxa"/>
            <w:vAlign w:val="center"/>
          </w:tcPr>
          <w:p w14:paraId="2016C091" w14:textId="77777777" w:rsidR="00DF1795" w:rsidRPr="00E01934" w:rsidRDefault="00DF1795" w:rsidP="001A0640">
            <w:pPr>
              <w:pStyle w:val="Tablesinglespacedparagraph"/>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rPr>
              <w:t>Other</w:t>
            </w:r>
            <w:r w:rsidRPr="00E01934">
              <w:rPr>
                <w:rFonts w:asciiTheme="minorHAnsi" w:hAnsiTheme="minorHAnsi" w:cstheme="minorHAnsi"/>
              </w:rPr>
              <w:br/>
              <w:t>contacts</w:t>
            </w:r>
          </w:p>
        </w:tc>
        <w:tc>
          <w:tcPr>
            <w:tcW w:w="983" w:type="dxa"/>
            <w:vAlign w:val="center"/>
          </w:tcPr>
          <w:p w14:paraId="23E643BC" w14:textId="77777777" w:rsidR="00DF1795" w:rsidRPr="00E01934" w:rsidRDefault="00DF1795" w:rsidP="001A0640">
            <w:pPr>
              <w:pStyle w:val="Tablesinglespacedparagraph"/>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rPr>
              <w:t>OA</w:t>
            </w:r>
          </w:p>
        </w:tc>
        <w:tc>
          <w:tcPr>
            <w:tcW w:w="983" w:type="dxa"/>
            <w:vAlign w:val="center"/>
          </w:tcPr>
          <w:p w14:paraId="53C13A98" w14:textId="77777777" w:rsidR="00DF1795" w:rsidRPr="00E01934" w:rsidRDefault="00DF1795" w:rsidP="001A0640">
            <w:pPr>
              <w:pStyle w:val="Tablesinglespacedparagraph"/>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rPr>
              <w:t>OIA</w:t>
            </w:r>
          </w:p>
        </w:tc>
        <w:tc>
          <w:tcPr>
            <w:tcW w:w="982" w:type="dxa"/>
            <w:vAlign w:val="center"/>
          </w:tcPr>
          <w:p w14:paraId="36F1B502" w14:textId="77777777" w:rsidR="00DF1795" w:rsidRPr="00E01934" w:rsidRDefault="00DF1795" w:rsidP="001A0640">
            <w:pPr>
              <w:pStyle w:val="Tablesinglespacedparagraph"/>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rPr>
              <w:t>LGOIMA</w:t>
            </w:r>
          </w:p>
        </w:tc>
        <w:tc>
          <w:tcPr>
            <w:tcW w:w="983" w:type="dxa"/>
            <w:vAlign w:val="center"/>
          </w:tcPr>
          <w:p w14:paraId="71B9D4C2" w14:textId="77777777" w:rsidR="00DF1795" w:rsidRPr="00E01934" w:rsidRDefault="00DF1795" w:rsidP="001A0640">
            <w:pPr>
              <w:pStyle w:val="Tablesinglespacedparagraph"/>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rPr>
              <w:t>Other work</w:t>
            </w:r>
          </w:p>
        </w:tc>
        <w:tc>
          <w:tcPr>
            <w:tcW w:w="983" w:type="dxa"/>
            <w:vAlign w:val="center"/>
          </w:tcPr>
          <w:p w14:paraId="0123F7D0" w14:textId="5B9E7671" w:rsidR="00DF1795" w:rsidRPr="00E01934" w:rsidRDefault="004D35F3" w:rsidP="001A0640">
            <w:pPr>
              <w:pStyle w:val="Tablesinglespacedparagraph"/>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2019/20</w:t>
            </w:r>
          </w:p>
        </w:tc>
        <w:tc>
          <w:tcPr>
            <w:tcW w:w="983" w:type="dxa"/>
            <w:vAlign w:val="center"/>
          </w:tcPr>
          <w:p w14:paraId="5BE6983D" w14:textId="6932ACA8" w:rsidR="00DF1795" w:rsidRPr="00E01934" w:rsidRDefault="004D35F3" w:rsidP="001A0640">
            <w:pPr>
              <w:pStyle w:val="Tablesinglespacedparagraph"/>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2018/19</w:t>
            </w:r>
          </w:p>
        </w:tc>
      </w:tr>
      <w:tr w:rsidR="00E01934" w:rsidRPr="00E01934" w14:paraId="5442A102" w14:textId="77777777" w:rsidTr="00E019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bottom w:val="single" w:sz="4" w:space="0" w:color="FFFFFF" w:themeColor="background1"/>
            </w:tcBorders>
            <w:vAlign w:val="center"/>
          </w:tcPr>
          <w:p w14:paraId="0678FED1" w14:textId="77777777" w:rsidR="00E01934" w:rsidRPr="00E01934" w:rsidRDefault="00E01934" w:rsidP="00E01934">
            <w:pPr>
              <w:pStyle w:val="Tablesinglespacedparagraph"/>
              <w:rPr>
                <w:rFonts w:asciiTheme="minorHAnsi" w:hAnsiTheme="minorHAnsi" w:cstheme="minorHAnsi"/>
              </w:rPr>
            </w:pPr>
            <w:r w:rsidRPr="00E01934">
              <w:rPr>
                <w:rFonts w:asciiTheme="minorHAnsi" w:hAnsiTheme="minorHAnsi" w:cstheme="minorHAnsi"/>
              </w:rPr>
              <w:t>Auckland</w:t>
            </w:r>
          </w:p>
        </w:tc>
        <w:tc>
          <w:tcPr>
            <w:tcW w:w="982" w:type="dxa"/>
          </w:tcPr>
          <w:p w14:paraId="6AD45524"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526</w:t>
            </w:r>
          </w:p>
        </w:tc>
        <w:tc>
          <w:tcPr>
            <w:tcW w:w="983" w:type="dxa"/>
          </w:tcPr>
          <w:p w14:paraId="6ED32F46"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596</w:t>
            </w:r>
          </w:p>
        </w:tc>
        <w:tc>
          <w:tcPr>
            <w:tcW w:w="983" w:type="dxa"/>
          </w:tcPr>
          <w:p w14:paraId="36C99188"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398</w:t>
            </w:r>
          </w:p>
        </w:tc>
        <w:tc>
          <w:tcPr>
            <w:tcW w:w="982" w:type="dxa"/>
          </w:tcPr>
          <w:p w14:paraId="6DE0E70B"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84</w:t>
            </w:r>
          </w:p>
        </w:tc>
        <w:tc>
          <w:tcPr>
            <w:tcW w:w="983" w:type="dxa"/>
          </w:tcPr>
          <w:p w14:paraId="680C8CA0"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5</w:t>
            </w:r>
          </w:p>
        </w:tc>
        <w:tc>
          <w:tcPr>
            <w:tcW w:w="983" w:type="dxa"/>
            <w:shd w:val="clear" w:color="000000" w:fill="BFBFBF"/>
          </w:tcPr>
          <w:p w14:paraId="447BCB3D"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1,609</w:t>
            </w:r>
          </w:p>
        </w:tc>
        <w:tc>
          <w:tcPr>
            <w:tcW w:w="983" w:type="dxa"/>
            <w:shd w:val="clear" w:color="000000" w:fill="BFBFBF"/>
          </w:tcPr>
          <w:p w14:paraId="5C30B954"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1,408</w:t>
            </w:r>
          </w:p>
        </w:tc>
      </w:tr>
      <w:tr w:rsidR="00E01934" w:rsidRPr="00E01934" w14:paraId="2733C68A" w14:textId="77777777" w:rsidTr="00E019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top w:val="single" w:sz="4" w:space="0" w:color="FFFFFF" w:themeColor="background1"/>
              <w:bottom w:val="single" w:sz="4" w:space="0" w:color="FFFFFF" w:themeColor="background1"/>
            </w:tcBorders>
            <w:vAlign w:val="center"/>
          </w:tcPr>
          <w:p w14:paraId="1B27AD3C" w14:textId="77777777" w:rsidR="00E01934" w:rsidRPr="00E01934" w:rsidRDefault="00E01934" w:rsidP="00E01934">
            <w:pPr>
              <w:pStyle w:val="Tablesinglespacedparagraph"/>
              <w:rPr>
                <w:rFonts w:asciiTheme="minorHAnsi" w:hAnsiTheme="minorHAnsi" w:cstheme="minorHAnsi"/>
              </w:rPr>
            </w:pPr>
            <w:r w:rsidRPr="00E01934">
              <w:rPr>
                <w:rFonts w:asciiTheme="minorHAnsi" w:hAnsiTheme="minorHAnsi" w:cstheme="minorHAnsi"/>
              </w:rPr>
              <w:t>Bay of Plenty</w:t>
            </w:r>
          </w:p>
        </w:tc>
        <w:tc>
          <w:tcPr>
            <w:tcW w:w="982" w:type="dxa"/>
          </w:tcPr>
          <w:p w14:paraId="5C2D92AA"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26</w:t>
            </w:r>
          </w:p>
        </w:tc>
        <w:tc>
          <w:tcPr>
            <w:tcW w:w="983" w:type="dxa"/>
          </w:tcPr>
          <w:p w14:paraId="5B60629E"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39</w:t>
            </w:r>
          </w:p>
        </w:tc>
        <w:tc>
          <w:tcPr>
            <w:tcW w:w="983" w:type="dxa"/>
          </w:tcPr>
          <w:p w14:paraId="1BB41F97"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6</w:t>
            </w:r>
          </w:p>
        </w:tc>
        <w:tc>
          <w:tcPr>
            <w:tcW w:w="982" w:type="dxa"/>
          </w:tcPr>
          <w:p w14:paraId="682CB5AD"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8</w:t>
            </w:r>
          </w:p>
        </w:tc>
        <w:tc>
          <w:tcPr>
            <w:tcW w:w="983" w:type="dxa"/>
          </w:tcPr>
          <w:p w14:paraId="1642952D"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w:t>
            </w:r>
          </w:p>
        </w:tc>
        <w:tc>
          <w:tcPr>
            <w:tcW w:w="983" w:type="dxa"/>
            <w:shd w:val="clear" w:color="000000" w:fill="BFBFBF"/>
          </w:tcPr>
          <w:p w14:paraId="1361A555"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80</w:t>
            </w:r>
          </w:p>
        </w:tc>
        <w:tc>
          <w:tcPr>
            <w:tcW w:w="983" w:type="dxa"/>
            <w:shd w:val="clear" w:color="000000" w:fill="BFBFBF"/>
          </w:tcPr>
          <w:p w14:paraId="24107A62"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94</w:t>
            </w:r>
          </w:p>
        </w:tc>
      </w:tr>
      <w:tr w:rsidR="00E01934" w:rsidRPr="00E01934" w14:paraId="33CABA37" w14:textId="77777777" w:rsidTr="00E019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top w:val="single" w:sz="4" w:space="0" w:color="FFFFFF" w:themeColor="background1"/>
              <w:bottom w:val="single" w:sz="4" w:space="0" w:color="FFFFFF" w:themeColor="background1"/>
            </w:tcBorders>
            <w:vAlign w:val="center"/>
          </w:tcPr>
          <w:p w14:paraId="085453CF" w14:textId="77777777" w:rsidR="00E01934" w:rsidRPr="00E01934" w:rsidRDefault="00E01934" w:rsidP="00E01934">
            <w:pPr>
              <w:pStyle w:val="Tablesinglespacedparagraph"/>
              <w:rPr>
                <w:rFonts w:asciiTheme="minorHAnsi" w:hAnsiTheme="minorHAnsi" w:cstheme="minorHAnsi"/>
              </w:rPr>
            </w:pPr>
            <w:r w:rsidRPr="00E01934">
              <w:rPr>
                <w:rFonts w:asciiTheme="minorHAnsi" w:hAnsiTheme="minorHAnsi" w:cstheme="minorHAnsi"/>
              </w:rPr>
              <w:t>Northland</w:t>
            </w:r>
          </w:p>
        </w:tc>
        <w:tc>
          <w:tcPr>
            <w:tcW w:w="982" w:type="dxa"/>
          </w:tcPr>
          <w:p w14:paraId="261FDE1A"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70</w:t>
            </w:r>
          </w:p>
        </w:tc>
        <w:tc>
          <w:tcPr>
            <w:tcW w:w="983" w:type="dxa"/>
          </w:tcPr>
          <w:p w14:paraId="2F98643D"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64</w:t>
            </w:r>
          </w:p>
        </w:tc>
        <w:tc>
          <w:tcPr>
            <w:tcW w:w="983" w:type="dxa"/>
          </w:tcPr>
          <w:p w14:paraId="044A3502"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22</w:t>
            </w:r>
          </w:p>
        </w:tc>
        <w:tc>
          <w:tcPr>
            <w:tcW w:w="982" w:type="dxa"/>
          </w:tcPr>
          <w:p w14:paraId="2DE02DB9"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17</w:t>
            </w:r>
          </w:p>
        </w:tc>
        <w:tc>
          <w:tcPr>
            <w:tcW w:w="983" w:type="dxa"/>
          </w:tcPr>
          <w:p w14:paraId="0C46DB31" w14:textId="5816A08A" w:rsidR="00E01934" w:rsidRPr="00E01934" w:rsidRDefault="004D35F3"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w:t>
            </w:r>
          </w:p>
        </w:tc>
        <w:tc>
          <w:tcPr>
            <w:tcW w:w="983" w:type="dxa"/>
            <w:shd w:val="clear" w:color="000000" w:fill="BFBFBF"/>
          </w:tcPr>
          <w:p w14:paraId="15539722"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173</w:t>
            </w:r>
          </w:p>
        </w:tc>
        <w:tc>
          <w:tcPr>
            <w:tcW w:w="983" w:type="dxa"/>
            <w:shd w:val="clear" w:color="000000" w:fill="BFBFBF"/>
          </w:tcPr>
          <w:p w14:paraId="42D9ACE6"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159</w:t>
            </w:r>
          </w:p>
        </w:tc>
      </w:tr>
      <w:tr w:rsidR="00E01934" w:rsidRPr="00E01934" w14:paraId="62631D5C" w14:textId="77777777" w:rsidTr="00E019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top w:val="single" w:sz="4" w:space="0" w:color="FFFFFF" w:themeColor="background1"/>
              <w:bottom w:val="single" w:sz="4" w:space="0" w:color="FFFFFF" w:themeColor="background1"/>
            </w:tcBorders>
            <w:vAlign w:val="center"/>
          </w:tcPr>
          <w:p w14:paraId="03568E7A" w14:textId="77777777" w:rsidR="00E01934" w:rsidRPr="00E01934" w:rsidRDefault="00E01934" w:rsidP="00E01934">
            <w:pPr>
              <w:pStyle w:val="Tablesinglespacedparagraph"/>
              <w:rPr>
                <w:rFonts w:asciiTheme="minorHAnsi" w:hAnsiTheme="minorHAnsi" w:cstheme="minorHAnsi"/>
              </w:rPr>
            </w:pPr>
            <w:r w:rsidRPr="00E01934">
              <w:rPr>
                <w:rFonts w:asciiTheme="minorHAnsi" w:hAnsiTheme="minorHAnsi" w:cstheme="minorHAnsi"/>
              </w:rPr>
              <w:t>Waikato</w:t>
            </w:r>
          </w:p>
        </w:tc>
        <w:tc>
          <w:tcPr>
            <w:tcW w:w="982" w:type="dxa"/>
          </w:tcPr>
          <w:p w14:paraId="2AA47E2B"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144</w:t>
            </w:r>
          </w:p>
        </w:tc>
        <w:tc>
          <w:tcPr>
            <w:tcW w:w="983" w:type="dxa"/>
          </w:tcPr>
          <w:p w14:paraId="0388F2AB"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203</w:t>
            </w:r>
          </w:p>
        </w:tc>
        <w:tc>
          <w:tcPr>
            <w:tcW w:w="983" w:type="dxa"/>
          </w:tcPr>
          <w:p w14:paraId="37D242B1"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64</w:t>
            </w:r>
          </w:p>
        </w:tc>
        <w:tc>
          <w:tcPr>
            <w:tcW w:w="982" w:type="dxa"/>
          </w:tcPr>
          <w:p w14:paraId="18555F76"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19</w:t>
            </w:r>
          </w:p>
        </w:tc>
        <w:tc>
          <w:tcPr>
            <w:tcW w:w="983" w:type="dxa"/>
          </w:tcPr>
          <w:p w14:paraId="1E3BFF92"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2</w:t>
            </w:r>
          </w:p>
        </w:tc>
        <w:tc>
          <w:tcPr>
            <w:tcW w:w="983" w:type="dxa"/>
            <w:shd w:val="clear" w:color="000000" w:fill="BFBFBF"/>
          </w:tcPr>
          <w:p w14:paraId="7EC8455F"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432</w:t>
            </w:r>
          </w:p>
        </w:tc>
        <w:tc>
          <w:tcPr>
            <w:tcW w:w="983" w:type="dxa"/>
            <w:shd w:val="clear" w:color="000000" w:fill="BFBFBF"/>
          </w:tcPr>
          <w:p w14:paraId="641A5CB3"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325</w:t>
            </w:r>
          </w:p>
        </w:tc>
      </w:tr>
      <w:tr w:rsidR="00E01934" w:rsidRPr="00E01934" w14:paraId="0B1C7F5D" w14:textId="77777777" w:rsidTr="00E019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top w:val="single" w:sz="4" w:space="0" w:color="FFFFFF" w:themeColor="background1"/>
              <w:bottom w:val="single" w:sz="4" w:space="0" w:color="FFFFFF" w:themeColor="background1"/>
            </w:tcBorders>
            <w:vAlign w:val="center"/>
          </w:tcPr>
          <w:p w14:paraId="0F6A4690" w14:textId="77777777" w:rsidR="00E01934" w:rsidRPr="00E01934" w:rsidRDefault="00E01934" w:rsidP="00E01934">
            <w:pPr>
              <w:pStyle w:val="Tablesinglespacedparagraph"/>
              <w:rPr>
                <w:rFonts w:asciiTheme="minorHAnsi" w:hAnsiTheme="minorHAnsi" w:cstheme="minorHAnsi"/>
              </w:rPr>
            </w:pPr>
            <w:r w:rsidRPr="00E01934">
              <w:rPr>
                <w:rFonts w:asciiTheme="minorHAnsi" w:hAnsiTheme="minorHAnsi" w:cstheme="minorHAnsi"/>
              </w:rPr>
              <w:t>Taranaki</w:t>
            </w:r>
          </w:p>
        </w:tc>
        <w:tc>
          <w:tcPr>
            <w:tcW w:w="982" w:type="dxa"/>
          </w:tcPr>
          <w:p w14:paraId="7B21CA9D"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28</w:t>
            </w:r>
          </w:p>
        </w:tc>
        <w:tc>
          <w:tcPr>
            <w:tcW w:w="983" w:type="dxa"/>
          </w:tcPr>
          <w:p w14:paraId="5A66F41A"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31</w:t>
            </w:r>
          </w:p>
        </w:tc>
        <w:tc>
          <w:tcPr>
            <w:tcW w:w="983" w:type="dxa"/>
          </w:tcPr>
          <w:p w14:paraId="3AAF6815"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10</w:t>
            </w:r>
          </w:p>
        </w:tc>
        <w:tc>
          <w:tcPr>
            <w:tcW w:w="982" w:type="dxa"/>
          </w:tcPr>
          <w:p w14:paraId="7638B0E9"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2</w:t>
            </w:r>
          </w:p>
        </w:tc>
        <w:tc>
          <w:tcPr>
            <w:tcW w:w="983" w:type="dxa"/>
          </w:tcPr>
          <w:p w14:paraId="77E7DF31" w14:textId="7719C378" w:rsidR="00E01934" w:rsidRPr="00E01934" w:rsidRDefault="004D35F3"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w:t>
            </w:r>
          </w:p>
        </w:tc>
        <w:tc>
          <w:tcPr>
            <w:tcW w:w="983" w:type="dxa"/>
            <w:shd w:val="clear" w:color="000000" w:fill="BFBFBF"/>
          </w:tcPr>
          <w:p w14:paraId="156A4115"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71</w:t>
            </w:r>
          </w:p>
        </w:tc>
        <w:tc>
          <w:tcPr>
            <w:tcW w:w="983" w:type="dxa"/>
            <w:shd w:val="clear" w:color="000000" w:fill="BFBFBF"/>
          </w:tcPr>
          <w:p w14:paraId="284F73DC"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58</w:t>
            </w:r>
          </w:p>
        </w:tc>
      </w:tr>
      <w:tr w:rsidR="00E01934" w:rsidRPr="00E01934" w14:paraId="6FC031A1" w14:textId="77777777" w:rsidTr="00E019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top w:val="single" w:sz="4" w:space="0" w:color="FFFFFF" w:themeColor="background1"/>
              <w:bottom w:val="single" w:sz="4" w:space="0" w:color="FFFFFF" w:themeColor="background1"/>
            </w:tcBorders>
            <w:vAlign w:val="center"/>
          </w:tcPr>
          <w:p w14:paraId="5F4ECE5A" w14:textId="77777777" w:rsidR="00E01934" w:rsidRPr="00E01934" w:rsidRDefault="00E01934" w:rsidP="00E01934">
            <w:pPr>
              <w:pStyle w:val="Tablesinglespacedparagraph"/>
              <w:rPr>
                <w:rFonts w:asciiTheme="minorHAnsi" w:hAnsiTheme="minorHAnsi" w:cstheme="minorHAnsi"/>
              </w:rPr>
            </w:pPr>
            <w:r w:rsidRPr="00E01934">
              <w:rPr>
                <w:rFonts w:asciiTheme="minorHAnsi" w:hAnsiTheme="minorHAnsi" w:cstheme="minorHAnsi"/>
              </w:rPr>
              <w:t>Hawke’s Bay</w:t>
            </w:r>
          </w:p>
        </w:tc>
        <w:tc>
          <w:tcPr>
            <w:tcW w:w="982" w:type="dxa"/>
          </w:tcPr>
          <w:p w14:paraId="6D4F3C0B"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76</w:t>
            </w:r>
          </w:p>
        </w:tc>
        <w:tc>
          <w:tcPr>
            <w:tcW w:w="983" w:type="dxa"/>
          </w:tcPr>
          <w:p w14:paraId="13BF5AAD"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66</w:t>
            </w:r>
          </w:p>
        </w:tc>
        <w:tc>
          <w:tcPr>
            <w:tcW w:w="983" w:type="dxa"/>
          </w:tcPr>
          <w:p w14:paraId="2F0648E2"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18</w:t>
            </w:r>
          </w:p>
        </w:tc>
        <w:tc>
          <w:tcPr>
            <w:tcW w:w="982" w:type="dxa"/>
          </w:tcPr>
          <w:p w14:paraId="1F26DC1F"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10</w:t>
            </w:r>
          </w:p>
        </w:tc>
        <w:tc>
          <w:tcPr>
            <w:tcW w:w="983" w:type="dxa"/>
          </w:tcPr>
          <w:p w14:paraId="30D758D2" w14:textId="326CBDAB" w:rsidR="00E01934" w:rsidRPr="00E01934" w:rsidRDefault="004D35F3"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color w:val="000000"/>
              </w:rPr>
              <w:t>-</w:t>
            </w:r>
          </w:p>
        </w:tc>
        <w:tc>
          <w:tcPr>
            <w:tcW w:w="983" w:type="dxa"/>
            <w:shd w:val="clear" w:color="000000" w:fill="BFBFBF"/>
          </w:tcPr>
          <w:p w14:paraId="507735AC"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170</w:t>
            </w:r>
          </w:p>
        </w:tc>
        <w:tc>
          <w:tcPr>
            <w:tcW w:w="983" w:type="dxa"/>
            <w:shd w:val="clear" w:color="000000" w:fill="BFBFBF"/>
          </w:tcPr>
          <w:p w14:paraId="0852E8F8"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138</w:t>
            </w:r>
          </w:p>
        </w:tc>
      </w:tr>
      <w:tr w:rsidR="00E01934" w:rsidRPr="00E01934" w14:paraId="7A56623E" w14:textId="77777777" w:rsidTr="00E019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top w:val="single" w:sz="4" w:space="0" w:color="FFFFFF" w:themeColor="background1"/>
              <w:bottom w:val="single" w:sz="4" w:space="0" w:color="FFFFFF" w:themeColor="background1"/>
            </w:tcBorders>
            <w:vAlign w:val="center"/>
          </w:tcPr>
          <w:p w14:paraId="3B3CEEE4" w14:textId="77777777" w:rsidR="00E01934" w:rsidRPr="00E01934" w:rsidRDefault="00E01934" w:rsidP="00E01934">
            <w:pPr>
              <w:pStyle w:val="Tablesinglespacedparagraph"/>
              <w:rPr>
                <w:rFonts w:asciiTheme="minorHAnsi" w:hAnsiTheme="minorHAnsi" w:cstheme="minorHAnsi"/>
              </w:rPr>
            </w:pPr>
            <w:r w:rsidRPr="00E01934">
              <w:rPr>
                <w:rFonts w:asciiTheme="minorHAnsi" w:hAnsiTheme="minorHAnsi" w:cstheme="minorHAnsi"/>
              </w:rPr>
              <w:t>Manawatu/Whanganui</w:t>
            </w:r>
          </w:p>
        </w:tc>
        <w:tc>
          <w:tcPr>
            <w:tcW w:w="982" w:type="dxa"/>
          </w:tcPr>
          <w:p w14:paraId="2BA56EFB"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78</w:t>
            </w:r>
          </w:p>
        </w:tc>
        <w:tc>
          <w:tcPr>
            <w:tcW w:w="983" w:type="dxa"/>
          </w:tcPr>
          <w:p w14:paraId="049F57F9"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78</w:t>
            </w:r>
          </w:p>
        </w:tc>
        <w:tc>
          <w:tcPr>
            <w:tcW w:w="983" w:type="dxa"/>
          </w:tcPr>
          <w:p w14:paraId="6FFE9531"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48</w:t>
            </w:r>
          </w:p>
        </w:tc>
        <w:tc>
          <w:tcPr>
            <w:tcW w:w="982" w:type="dxa"/>
          </w:tcPr>
          <w:p w14:paraId="14AE5950"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9</w:t>
            </w:r>
          </w:p>
        </w:tc>
        <w:tc>
          <w:tcPr>
            <w:tcW w:w="983" w:type="dxa"/>
          </w:tcPr>
          <w:p w14:paraId="7FA503BD"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2</w:t>
            </w:r>
          </w:p>
        </w:tc>
        <w:tc>
          <w:tcPr>
            <w:tcW w:w="983" w:type="dxa"/>
            <w:shd w:val="clear" w:color="000000" w:fill="BFBFBF"/>
          </w:tcPr>
          <w:p w14:paraId="788D53E8"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215</w:t>
            </w:r>
          </w:p>
        </w:tc>
        <w:tc>
          <w:tcPr>
            <w:tcW w:w="983" w:type="dxa"/>
            <w:shd w:val="clear" w:color="000000" w:fill="BFBFBF"/>
          </w:tcPr>
          <w:p w14:paraId="60D8DAFF"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227</w:t>
            </w:r>
          </w:p>
        </w:tc>
      </w:tr>
      <w:tr w:rsidR="00E01934" w:rsidRPr="00E01934" w14:paraId="7C9D3DAA" w14:textId="77777777" w:rsidTr="00E019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top w:val="single" w:sz="4" w:space="0" w:color="FFFFFF" w:themeColor="background1"/>
              <w:bottom w:val="single" w:sz="4" w:space="0" w:color="FFFFFF" w:themeColor="background1"/>
            </w:tcBorders>
            <w:vAlign w:val="center"/>
          </w:tcPr>
          <w:p w14:paraId="5F03DD28" w14:textId="77777777" w:rsidR="00E01934" w:rsidRPr="00E01934" w:rsidRDefault="00E01934" w:rsidP="00E01934">
            <w:pPr>
              <w:pStyle w:val="Tablesinglespacedparagraph"/>
              <w:rPr>
                <w:rFonts w:asciiTheme="minorHAnsi" w:hAnsiTheme="minorHAnsi" w:cstheme="minorHAnsi"/>
              </w:rPr>
            </w:pPr>
            <w:r w:rsidRPr="00E01934">
              <w:rPr>
                <w:rFonts w:asciiTheme="minorHAnsi" w:hAnsiTheme="minorHAnsi" w:cstheme="minorHAnsi"/>
              </w:rPr>
              <w:t>Wairarapa</w:t>
            </w:r>
          </w:p>
        </w:tc>
        <w:tc>
          <w:tcPr>
            <w:tcW w:w="982" w:type="dxa"/>
          </w:tcPr>
          <w:p w14:paraId="32483275"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12</w:t>
            </w:r>
          </w:p>
        </w:tc>
        <w:tc>
          <w:tcPr>
            <w:tcW w:w="983" w:type="dxa"/>
          </w:tcPr>
          <w:p w14:paraId="16C46DB3"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10</w:t>
            </w:r>
          </w:p>
        </w:tc>
        <w:tc>
          <w:tcPr>
            <w:tcW w:w="983" w:type="dxa"/>
          </w:tcPr>
          <w:p w14:paraId="08B1328A"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12</w:t>
            </w:r>
          </w:p>
        </w:tc>
        <w:tc>
          <w:tcPr>
            <w:tcW w:w="982" w:type="dxa"/>
          </w:tcPr>
          <w:p w14:paraId="10EC88B1"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3</w:t>
            </w:r>
          </w:p>
        </w:tc>
        <w:tc>
          <w:tcPr>
            <w:tcW w:w="983" w:type="dxa"/>
          </w:tcPr>
          <w:p w14:paraId="5D449663" w14:textId="10B51254" w:rsidR="00E01934" w:rsidRPr="00E01934" w:rsidRDefault="004D35F3"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color w:val="000000"/>
              </w:rPr>
              <w:t>-</w:t>
            </w:r>
          </w:p>
        </w:tc>
        <w:tc>
          <w:tcPr>
            <w:tcW w:w="983" w:type="dxa"/>
            <w:shd w:val="clear" w:color="000000" w:fill="BFBFBF"/>
          </w:tcPr>
          <w:p w14:paraId="2B4A34A0"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37</w:t>
            </w:r>
          </w:p>
        </w:tc>
        <w:tc>
          <w:tcPr>
            <w:tcW w:w="983" w:type="dxa"/>
            <w:shd w:val="clear" w:color="000000" w:fill="BFBFBF"/>
          </w:tcPr>
          <w:p w14:paraId="58D19DBD"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43</w:t>
            </w:r>
          </w:p>
        </w:tc>
      </w:tr>
      <w:tr w:rsidR="00E01934" w:rsidRPr="00E01934" w14:paraId="5ACB30EB" w14:textId="77777777" w:rsidTr="00E019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top w:val="single" w:sz="4" w:space="0" w:color="FFFFFF" w:themeColor="background1"/>
              <w:bottom w:val="single" w:sz="4" w:space="0" w:color="FFFFFF" w:themeColor="background1"/>
            </w:tcBorders>
            <w:vAlign w:val="center"/>
          </w:tcPr>
          <w:p w14:paraId="37539314" w14:textId="77777777" w:rsidR="00E01934" w:rsidRPr="00E01934" w:rsidRDefault="00E01934" w:rsidP="00E01934">
            <w:pPr>
              <w:pStyle w:val="Tablesinglespacedparagraph"/>
              <w:rPr>
                <w:rFonts w:asciiTheme="minorHAnsi" w:hAnsiTheme="minorHAnsi" w:cstheme="minorHAnsi"/>
              </w:rPr>
            </w:pPr>
            <w:r w:rsidRPr="00E01934">
              <w:rPr>
                <w:rFonts w:asciiTheme="minorHAnsi" w:hAnsiTheme="minorHAnsi" w:cstheme="minorHAnsi"/>
              </w:rPr>
              <w:t>East Cape</w:t>
            </w:r>
          </w:p>
        </w:tc>
        <w:tc>
          <w:tcPr>
            <w:tcW w:w="982" w:type="dxa"/>
          </w:tcPr>
          <w:p w14:paraId="1C3E2489"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10</w:t>
            </w:r>
          </w:p>
        </w:tc>
        <w:tc>
          <w:tcPr>
            <w:tcW w:w="983" w:type="dxa"/>
          </w:tcPr>
          <w:p w14:paraId="170C4D13"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15</w:t>
            </w:r>
          </w:p>
        </w:tc>
        <w:tc>
          <w:tcPr>
            <w:tcW w:w="983" w:type="dxa"/>
          </w:tcPr>
          <w:p w14:paraId="4DF5994F"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982" w:type="dxa"/>
          </w:tcPr>
          <w:p w14:paraId="62074982"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4</w:t>
            </w:r>
          </w:p>
        </w:tc>
        <w:tc>
          <w:tcPr>
            <w:tcW w:w="983" w:type="dxa"/>
          </w:tcPr>
          <w:p w14:paraId="4C9BE9F3" w14:textId="0D8CE5C1" w:rsidR="00E01934" w:rsidRPr="00E01934" w:rsidRDefault="004D35F3"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w:t>
            </w:r>
          </w:p>
        </w:tc>
        <w:tc>
          <w:tcPr>
            <w:tcW w:w="983" w:type="dxa"/>
            <w:shd w:val="clear" w:color="000000" w:fill="BFBFBF"/>
          </w:tcPr>
          <w:p w14:paraId="146AF46F"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29</w:t>
            </w:r>
          </w:p>
        </w:tc>
        <w:tc>
          <w:tcPr>
            <w:tcW w:w="983" w:type="dxa"/>
            <w:shd w:val="clear" w:color="000000" w:fill="BFBFBF"/>
          </w:tcPr>
          <w:p w14:paraId="6630020A"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30</w:t>
            </w:r>
          </w:p>
        </w:tc>
      </w:tr>
      <w:tr w:rsidR="00E01934" w:rsidRPr="00E01934" w14:paraId="05369599" w14:textId="77777777" w:rsidTr="00E019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top w:val="single" w:sz="4" w:space="0" w:color="FFFFFF" w:themeColor="background1"/>
              <w:bottom w:val="single" w:sz="4" w:space="0" w:color="FFFFFF" w:themeColor="background1"/>
            </w:tcBorders>
            <w:vAlign w:val="center"/>
          </w:tcPr>
          <w:p w14:paraId="402087CE" w14:textId="77777777" w:rsidR="00E01934" w:rsidRPr="00E01934" w:rsidRDefault="00E01934" w:rsidP="00E01934">
            <w:pPr>
              <w:pStyle w:val="Tablesinglespacedparagraph"/>
              <w:rPr>
                <w:rFonts w:asciiTheme="minorHAnsi" w:hAnsiTheme="minorHAnsi" w:cstheme="minorHAnsi"/>
              </w:rPr>
            </w:pPr>
            <w:r w:rsidRPr="00E01934">
              <w:rPr>
                <w:rFonts w:asciiTheme="minorHAnsi" w:hAnsiTheme="minorHAnsi" w:cstheme="minorHAnsi"/>
              </w:rPr>
              <w:t>Wellington</w:t>
            </w:r>
          </w:p>
        </w:tc>
        <w:tc>
          <w:tcPr>
            <w:tcW w:w="982" w:type="dxa"/>
          </w:tcPr>
          <w:p w14:paraId="3B06BAE9"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375</w:t>
            </w:r>
          </w:p>
        </w:tc>
        <w:tc>
          <w:tcPr>
            <w:tcW w:w="983" w:type="dxa"/>
          </w:tcPr>
          <w:p w14:paraId="0C3D44A7"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266</w:t>
            </w:r>
          </w:p>
        </w:tc>
        <w:tc>
          <w:tcPr>
            <w:tcW w:w="983" w:type="dxa"/>
          </w:tcPr>
          <w:p w14:paraId="257F8380"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272</w:t>
            </w:r>
          </w:p>
        </w:tc>
        <w:tc>
          <w:tcPr>
            <w:tcW w:w="982" w:type="dxa"/>
          </w:tcPr>
          <w:p w14:paraId="27E48E42"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56</w:t>
            </w:r>
          </w:p>
        </w:tc>
        <w:tc>
          <w:tcPr>
            <w:tcW w:w="983" w:type="dxa"/>
          </w:tcPr>
          <w:p w14:paraId="06323BC4"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8</w:t>
            </w:r>
          </w:p>
        </w:tc>
        <w:tc>
          <w:tcPr>
            <w:tcW w:w="983" w:type="dxa"/>
            <w:shd w:val="clear" w:color="000000" w:fill="BFBFBF"/>
          </w:tcPr>
          <w:p w14:paraId="502B941C"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977</w:t>
            </w:r>
          </w:p>
        </w:tc>
        <w:tc>
          <w:tcPr>
            <w:tcW w:w="983" w:type="dxa"/>
            <w:shd w:val="clear" w:color="000000" w:fill="BFBFBF"/>
          </w:tcPr>
          <w:p w14:paraId="32DDE212"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1,088</w:t>
            </w:r>
          </w:p>
        </w:tc>
      </w:tr>
      <w:tr w:rsidR="00E01934" w:rsidRPr="00E01934" w14:paraId="5AD016EA" w14:textId="77777777" w:rsidTr="00E019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top w:val="single" w:sz="4" w:space="0" w:color="FFFFFF" w:themeColor="background1"/>
              <w:bottom w:val="single" w:sz="4" w:space="0" w:color="FFFFFF" w:themeColor="background1"/>
            </w:tcBorders>
            <w:vAlign w:val="center"/>
          </w:tcPr>
          <w:p w14:paraId="1A15C5E2" w14:textId="77777777" w:rsidR="00E01934" w:rsidRPr="00E01934" w:rsidRDefault="00E01934" w:rsidP="00E01934">
            <w:pPr>
              <w:pStyle w:val="Tablesinglespacedparagraph"/>
              <w:rPr>
                <w:rStyle w:val="Emphasis"/>
                <w:rFonts w:asciiTheme="minorHAnsi" w:hAnsiTheme="minorHAnsi" w:cstheme="minorHAnsi"/>
              </w:rPr>
            </w:pPr>
            <w:r w:rsidRPr="00E01934">
              <w:rPr>
                <w:rStyle w:val="Emphasis"/>
                <w:rFonts w:asciiTheme="minorHAnsi" w:hAnsiTheme="minorHAnsi" w:cstheme="minorHAnsi"/>
              </w:rPr>
              <w:t xml:space="preserve">Total North Island </w:t>
            </w:r>
          </w:p>
        </w:tc>
        <w:tc>
          <w:tcPr>
            <w:tcW w:w="982" w:type="dxa"/>
            <w:shd w:val="clear" w:color="auto" w:fill="BFBFBF"/>
          </w:tcPr>
          <w:p w14:paraId="50552486"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Fonts w:asciiTheme="minorHAnsi" w:hAnsiTheme="minorHAnsi" w:cstheme="minorHAnsi"/>
                <w:b/>
                <w:bCs/>
                <w:color w:val="000000"/>
              </w:rPr>
              <w:t>1,345</w:t>
            </w:r>
          </w:p>
        </w:tc>
        <w:tc>
          <w:tcPr>
            <w:tcW w:w="983" w:type="dxa"/>
            <w:shd w:val="clear" w:color="auto" w:fill="BFBFBF"/>
          </w:tcPr>
          <w:p w14:paraId="6D671613"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Fonts w:asciiTheme="minorHAnsi" w:hAnsiTheme="minorHAnsi" w:cstheme="minorHAnsi"/>
                <w:b/>
                <w:bCs/>
                <w:color w:val="000000"/>
              </w:rPr>
              <w:t>1,368</w:t>
            </w:r>
          </w:p>
        </w:tc>
        <w:tc>
          <w:tcPr>
            <w:tcW w:w="983" w:type="dxa"/>
            <w:shd w:val="clear" w:color="auto" w:fill="BFBFBF"/>
          </w:tcPr>
          <w:p w14:paraId="26C6B83C"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Fonts w:asciiTheme="minorHAnsi" w:hAnsiTheme="minorHAnsi" w:cstheme="minorHAnsi"/>
                <w:b/>
                <w:bCs/>
                <w:color w:val="000000"/>
              </w:rPr>
              <w:t>850</w:t>
            </w:r>
          </w:p>
        </w:tc>
        <w:tc>
          <w:tcPr>
            <w:tcW w:w="982" w:type="dxa"/>
            <w:shd w:val="clear" w:color="auto" w:fill="BFBFBF"/>
          </w:tcPr>
          <w:p w14:paraId="3096ADD7"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Fonts w:asciiTheme="minorHAnsi" w:hAnsiTheme="minorHAnsi" w:cstheme="minorHAnsi"/>
                <w:b/>
                <w:bCs/>
                <w:color w:val="000000"/>
              </w:rPr>
              <w:t>212</w:t>
            </w:r>
          </w:p>
        </w:tc>
        <w:tc>
          <w:tcPr>
            <w:tcW w:w="983" w:type="dxa"/>
            <w:shd w:val="clear" w:color="auto" w:fill="BFBFBF"/>
          </w:tcPr>
          <w:p w14:paraId="1F97D4FE"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Fonts w:asciiTheme="minorHAnsi" w:hAnsiTheme="minorHAnsi" w:cstheme="minorHAnsi"/>
                <w:b/>
                <w:bCs/>
                <w:color w:val="000000"/>
              </w:rPr>
              <w:t>18</w:t>
            </w:r>
          </w:p>
        </w:tc>
        <w:tc>
          <w:tcPr>
            <w:tcW w:w="983" w:type="dxa"/>
            <w:shd w:val="clear" w:color="000000" w:fill="BFBFBF"/>
          </w:tcPr>
          <w:p w14:paraId="1ED2DD7B"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3,793</w:t>
            </w:r>
          </w:p>
        </w:tc>
        <w:tc>
          <w:tcPr>
            <w:tcW w:w="983" w:type="dxa"/>
            <w:shd w:val="clear" w:color="000000" w:fill="BFBFBF"/>
          </w:tcPr>
          <w:p w14:paraId="1A877CEC"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3,570</w:t>
            </w:r>
          </w:p>
        </w:tc>
      </w:tr>
      <w:tr w:rsidR="00E01934" w:rsidRPr="00E01934" w14:paraId="49B50B77" w14:textId="77777777" w:rsidTr="00E019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top w:val="single" w:sz="4" w:space="0" w:color="FFFFFF" w:themeColor="background1"/>
              <w:bottom w:val="single" w:sz="4" w:space="0" w:color="FFFFFF" w:themeColor="background1"/>
            </w:tcBorders>
            <w:vAlign w:val="center"/>
          </w:tcPr>
          <w:p w14:paraId="7C0BFD26" w14:textId="77777777" w:rsidR="00E01934" w:rsidRPr="00E01934" w:rsidRDefault="00E01934" w:rsidP="00E01934">
            <w:pPr>
              <w:pStyle w:val="Tablesinglespacedparagraph"/>
              <w:rPr>
                <w:rFonts w:asciiTheme="minorHAnsi" w:hAnsiTheme="minorHAnsi" w:cstheme="minorHAnsi"/>
              </w:rPr>
            </w:pPr>
            <w:r w:rsidRPr="00E01934">
              <w:rPr>
                <w:rFonts w:asciiTheme="minorHAnsi" w:hAnsiTheme="minorHAnsi" w:cstheme="minorHAnsi"/>
              </w:rPr>
              <w:t xml:space="preserve">Nelson/Marlborough </w:t>
            </w:r>
          </w:p>
        </w:tc>
        <w:tc>
          <w:tcPr>
            <w:tcW w:w="982" w:type="dxa"/>
          </w:tcPr>
          <w:p w14:paraId="72FB9B74"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43</w:t>
            </w:r>
          </w:p>
        </w:tc>
        <w:tc>
          <w:tcPr>
            <w:tcW w:w="983" w:type="dxa"/>
          </w:tcPr>
          <w:p w14:paraId="3987ACB3"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67</w:t>
            </w:r>
          </w:p>
        </w:tc>
        <w:tc>
          <w:tcPr>
            <w:tcW w:w="983" w:type="dxa"/>
          </w:tcPr>
          <w:p w14:paraId="24F916BC"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12</w:t>
            </w:r>
          </w:p>
        </w:tc>
        <w:tc>
          <w:tcPr>
            <w:tcW w:w="982" w:type="dxa"/>
          </w:tcPr>
          <w:p w14:paraId="02E9FD9F"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18</w:t>
            </w:r>
          </w:p>
        </w:tc>
        <w:tc>
          <w:tcPr>
            <w:tcW w:w="983" w:type="dxa"/>
          </w:tcPr>
          <w:p w14:paraId="65B36FA3" w14:textId="7156CA4B" w:rsidR="00E01934" w:rsidRPr="00E01934" w:rsidRDefault="004D35F3"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color w:val="000000"/>
              </w:rPr>
              <w:t>-</w:t>
            </w:r>
          </w:p>
        </w:tc>
        <w:tc>
          <w:tcPr>
            <w:tcW w:w="983" w:type="dxa"/>
            <w:shd w:val="clear" w:color="000000" w:fill="BFBFBF"/>
          </w:tcPr>
          <w:p w14:paraId="2FCEA6DF"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140</w:t>
            </w:r>
          </w:p>
        </w:tc>
        <w:tc>
          <w:tcPr>
            <w:tcW w:w="983" w:type="dxa"/>
            <w:shd w:val="clear" w:color="000000" w:fill="BFBFBF"/>
          </w:tcPr>
          <w:p w14:paraId="25E47DA6"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114</w:t>
            </w:r>
          </w:p>
        </w:tc>
      </w:tr>
      <w:tr w:rsidR="00E01934" w:rsidRPr="00E01934" w14:paraId="1A623716" w14:textId="77777777" w:rsidTr="00E019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top w:val="single" w:sz="4" w:space="0" w:color="FFFFFF" w:themeColor="background1"/>
              <w:bottom w:val="single" w:sz="4" w:space="0" w:color="FFFFFF" w:themeColor="background1"/>
            </w:tcBorders>
            <w:vAlign w:val="center"/>
          </w:tcPr>
          <w:p w14:paraId="4185BCFB" w14:textId="77777777" w:rsidR="00E01934" w:rsidRPr="00E01934" w:rsidRDefault="00E01934" w:rsidP="00E01934">
            <w:pPr>
              <w:pStyle w:val="Tablesinglespacedparagraph"/>
              <w:rPr>
                <w:rFonts w:asciiTheme="minorHAnsi" w:hAnsiTheme="minorHAnsi" w:cstheme="minorHAnsi"/>
              </w:rPr>
            </w:pPr>
            <w:r w:rsidRPr="00E01934">
              <w:rPr>
                <w:rFonts w:asciiTheme="minorHAnsi" w:hAnsiTheme="minorHAnsi" w:cstheme="minorHAnsi"/>
              </w:rPr>
              <w:t>Dunedin</w:t>
            </w:r>
          </w:p>
        </w:tc>
        <w:tc>
          <w:tcPr>
            <w:tcW w:w="982" w:type="dxa"/>
          </w:tcPr>
          <w:p w14:paraId="42AFC07A"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17</w:t>
            </w:r>
          </w:p>
        </w:tc>
        <w:tc>
          <w:tcPr>
            <w:tcW w:w="983" w:type="dxa"/>
          </w:tcPr>
          <w:p w14:paraId="6B77D33F"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27</w:t>
            </w:r>
          </w:p>
        </w:tc>
        <w:tc>
          <w:tcPr>
            <w:tcW w:w="983" w:type="dxa"/>
          </w:tcPr>
          <w:p w14:paraId="6EF00A4D"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8</w:t>
            </w:r>
          </w:p>
        </w:tc>
        <w:tc>
          <w:tcPr>
            <w:tcW w:w="982" w:type="dxa"/>
          </w:tcPr>
          <w:p w14:paraId="09C813E7"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19</w:t>
            </w:r>
          </w:p>
        </w:tc>
        <w:tc>
          <w:tcPr>
            <w:tcW w:w="983" w:type="dxa"/>
          </w:tcPr>
          <w:p w14:paraId="5BB035FF" w14:textId="299B8D64" w:rsidR="00E01934" w:rsidRPr="00E01934" w:rsidRDefault="004D35F3"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w:t>
            </w:r>
          </w:p>
        </w:tc>
        <w:tc>
          <w:tcPr>
            <w:tcW w:w="983" w:type="dxa"/>
            <w:shd w:val="clear" w:color="000000" w:fill="BFBFBF"/>
          </w:tcPr>
          <w:p w14:paraId="12145081"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71</w:t>
            </w:r>
          </w:p>
        </w:tc>
        <w:tc>
          <w:tcPr>
            <w:tcW w:w="983" w:type="dxa"/>
            <w:shd w:val="clear" w:color="000000" w:fill="BFBFBF"/>
          </w:tcPr>
          <w:p w14:paraId="306128AD"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82</w:t>
            </w:r>
          </w:p>
        </w:tc>
      </w:tr>
      <w:tr w:rsidR="00E01934" w:rsidRPr="00E01934" w14:paraId="64F2A6DB" w14:textId="77777777" w:rsidTr="00E019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top w:val="single" w:sz="4" w:space="0" w:color="FFFFFF" w:themeColor="background1"/>
              <w:bottom w:val="single" w:sz="4" w:space="0" w:color="FFFFFF" w:themeColor="background1"/>
            </w:tcBorders>
            <w:vAlign w:val="center"/>
          </w:tcPr>
          <w:p w14:paraId="44E81059" w14:textId="77777777" w:rsidR="00E01934" w:rsidRPr="00E01934" w:rsidRDefault="00E01934" w:rsidP="00E01934">
            <w:pPr>
              <w:pStyle w:val="Tablesinglespacedparagraph"/>
              <w:rPr>
                <w:rFonts w:asciiTheme="minorHAnsi" w:hAnsiTheme="minorHAnsi" w:cstheme="minorHAnsi"/>
              </w:rPr>
            </w:pPr>
            <w:r w:rsidRPr="00E01934">
              <w:rPr>
                <w:rFonts w:asciiTheme="minorHAnsi" w:hAnsiTheme="minorHAnsi" w:cstheme="minorHAnsi"/>
              </w:rPr>
              <w:t>Otago</w:t>
            </w:r>
          </w:p>
        </w:tc>
        <w:tc>
          <w:tcPr>
            <w:tcW w:w="982" w:type="dxa"/>
          </w:tcPr>
          <w:p w14:paraId="15C7F981"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52</w:t>
            </w:r>
          </w:p>
        </w:tc>
        <w:tc>
          <w:tcPr>
            <w:tcW w:w="983" w:type="dxa"/>
          </w:tcPr>
          <w:p w14:paraId="33BB952B"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37</w:t>
            </w:r>
          </w:p>
        </w:tc>
        <w:tc>
          <w:tcPr>
            <w:tcW w:w="983" w:type="dxa"/>
          </w:tcPr>
          <w:p w14:paraId="3E565B27"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14</w:t>
            </w:r>
          </w:p>
        </w:tc>
        <w:tc>
          <w:tcPr>
            <w:tcW w:w="982" w:type="dxa"/>
          </w:tcPr>
          <w:p w14:paraId="11F3BA6B"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10</w:t>
            </w:r>
          </w:p>
        </w:tc>
        <w:tc>
          <w:tcPr>
            <w:tcW w:w="983" w:type="dxa"/>
          </w:tcPr>
          <w:p w14:paraId="4E4346C7" w14:textId="4F8C0FC4" w:rsidR="00E01934" w:rsidRPr="00E01934" w:rsidRDefault="004D35F3"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color w:val="000000"/>
              </w:rPr>
              <w:t>-</w:t>
            </w:r>
          </w:p>
        </w:tc>
        <w:tc>
          <w:tcPr>
            <w:tcW w:w="983" w:type="dxa"/>
            <w:shd w:val="clear" w:color="000000" w:fill="BFBFBF"/>
          </w:tcPr>
          <w:p w14:paraId="05FF2B12"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113</w:t>
            </w:r>
          </w:p>
        </w:tc>
        <w:tc>
          <w:tcPr>
            <w:tcW w:w="983" w:type="dxa"/>
            <w:shd w:val="clear" w:color="000000" w:fill="BFBFBF"/>
          </w:tcPr>
          <w:p w14:paraId="2923FECC"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102</w:t>
            </w:r>
          </w:p>
        </w:tc>
      </w:tr>
      <w:tr w:rsidR="00E01934" w:rsidRPr="00E01934" w14:paraId="0DE649F9" w14:textId="77777777" w:rsidTr="00E019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top w:val="single" w:sz="4" w:space="0" w:color="FFFFFF" w:themeColor="background1"/>
              <w:bottom w:val="single" w:sz="4" w:space="0" w:color="FFFFFF" w:themeColor="background1"/>
            </w:tcBorders>
            <w:vAlign w:val="center"/>
          </w:tcPr>
          <w:p w14:paraId="4BF81C17" w14:textId="77777777" w:rsidR="00E01934" w:rsidRPr="00E01934" w:rsidRDefault="00E01934" w:rsidP="00E01934">
            <w:pPr>
              <w:pStyle w:val="Tablesinglespacedparagraph"/>
              <w:rPr>
                <w:rFonts w:asciiTheme="minorHAnsi" w:hAnsiTheme="minorHAnsi" w:cstheme="minorHAnsi"/>
              </w:rPr>
            </w:pPr>
            <w:r w:rsidRPr="00E01934">
              <w:rPr>
                <w:rFonts w:asciiTheme="minorHAnsi" w:hAnsiTheme="minorHAnsi" w:cstheme="minorHAnsi"/>
              </w:rPr>
              <w:t>Southland</w:t>
            </w:r>
          </w:p>
        </w:tc>
        <w:tc>
          <w:tcPr>
            <w:tcW w:w="982" w:type="dxa"/>
          </w:tcPr>
          <w:p w14:paraId="085A73DA"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23</w:t>
            </w:r>
          </w:p>
        </w:tc>
        <w:tc>
          <w:tcPr>
            <w:tcW w:w="983" w:type="dxa"/>
          </w:tcPr>
          <w:p w14:paraId="111B2F57"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38</w:t>
            </w:r>
          </w:p>
        </w:tc>
        <w:tc>
          <w:tcPr>
            <w:tcW w:w="983" w:type="dxa"/>
          </w:tcPr>
          <w:p w14:paraId="5AF3D879"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18</w:t>
            </w:r>
          </w:p>
        </w:tc>
        <w:tc>
          <w:tcPr>
            <w:tcW w:w="982" w:type="dxa"/>
          </w:tcPr>
          <w:p w14:paraId="57C478D1"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w:t>
            </w:r>
          </w:p>
        </w:tc>
        <w:tc>
          <w:tcPr>
            <w:tcW w:w="983" w:type="dxa"/>
          </w:tcPr>
          <w:p w14:paraId="275BC21E" w14:textId="4B45B542" w:rsidR="00E01934" w:rsidRPr="00E01934" w:rsidRDefault="004D35F3"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w:t>
            </w:r>
          </w:p>
        </w:tc>
        <w:tc>
          <w:tcPr>
            <w:tcW w:w="983" w:type="dxa"/>
            <w:shd w:val="clear" w:color="000000" w:fill="BFBFBF"/>
          </w:tcPr>
          <w:p w14:paraId="0632CAB9"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80</w:t>
            </w:r>
          </w:p>
        </w:tc>
        <w:tc>
          <w:tcPr>
            <w:tcW w:w="983" w:type="dxa"/>
            <w:shd w:val="clear" w:color="000000" w:fill="BFBFBF"/>
          </w:tcPr>
          <w:p w14:paraId="6597DC2B"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75</w:t>
            </w:r>
          </w:p>
        </w:tc>
      </w:tr>
      <w:tr w:rsidR="00E01934" w:rsidRPr="00E01934" w14:paraId="0219C2B9" w14:textId="77777777" w:rsidTr="00E019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top w:val="single" w:sz="4" w:space="0" w:color="FFFFFF" w:themeColor="background1"/>
              <w:bottom w:val="single" w:sz="4" w:space="0" w:color="FFFFFF" w:themeColor="background1"/>
            </w:tcBorders>
            <w:vAlign w:val="center"/>
          </w:tcPr>
          <w:p w14:paraId="56B07B98" w14:textId="77777777" w:rsidR="00E01934" w:rsidRPr="00E01934" w:rsidRDefault="00E01934" w:rsidP="00E01934">
            <w:pPr>
              <w:pStyle w:val="Tablesinglespacedparagraph"/>
              <w:rPr>
                <w:rFonts w:asciiTheme="minorHAnsi" w:hAnsiTheme="minorHAnsi" w:cstheme="minorHAnsi"/>
              </w:rPr>
            </w:pPr>
            <w:r w:rsidRPr="00E01934">
              <w:rPr>
                <w:rFonts w:asciiTheme="minorHAnsi" w:hAnsiTheme="minorHAnsi" w:cstheme="minorHAnsi"/>
              </w:rPr>
              <w:t>Canterbury</w:t>
            </w:r>
          </w:p>
        </w:tc>
        <w:tc>
          <w:tcPr>
            <w:tcW w:w="982" w:type="dxa"/>
          </w:tcPr>
          <w:p w14:paraId="4B826184"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60</w:t>
            </w:r>
          </w:p>
        </w:tc>
        <w:tc>
          <w:tcPr>
            <w:tcW w:w="983" w:type="dxa"/>
          </w:tcPr>
          <w:p w14:paraId="63E3E2FC"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42</w:t>
            </w:r>
          </w:p>
        </w:tc>
        <w:tc>
          <w:tcPr>
            <w:tcW w:w="983" w:type="dxa"/>
          </w:tcPr>
          <w:p w14:paraId="3887DC2D"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10</w:t>
            </w:r>
          </w:p>
        </w:tc>
        <w:tc>
          <w:tcPr>
            <w:tcW w:w="982" w:type="dxa"/>
          </w:tcPr>
          <w:p w14:paraId="4F168323"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w:t>
            </w:r>
          </w:p>
        </w:tc>
        <w:tc>
          <w:tcPr>
            <w:tcW w:w="983" w:type="dxa"/>
          </w:tcPr>
          <w:p w14:paraId="2DB1B8EC"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2</w:t>
            </w:r>
          </w:p>
        </w:tc>
        <w:tc>
          <w:tcPr>
            <w:tcW w:w="983" w:type="dxa"/>
            <w:shd w:val="clear" w:color="000000" w:fill="BFBFBF"/>
          </w:tcPr>
          <w:p w14:paraId="160FFC18"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115</w:t>
            </w:r>
          </w:p>
        </w:tc>
        <w:tc>
          <w:tcPr>
            <w:tcW w:w="983" w:type="dxa"/>
            <w:shd w:val="clear" w:color="000000" w:fill="BFBFBF"/>
          </w:tcPr>
          <w:p w14:paraId="7E46EDB2"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120</w:t>
            </w:r>
          </w:p>
        </w:tc>
      </w:tr>
      <w:tr w:rsidR="00E01934" w:rsidRPr="00E01934" w14:paraId="15AFF537" w14:textId="77777777" w:rsidTr="00E019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top w:val="single" w:sz="4" w:space="0" w:color="FFFFFF" w:themeColor="background1"/>
              <w:bottom w:val="single" w:sz="4" w:space="0" w:color="FFFFFF" w:themeColor="background1"/>
            </w:tcBorders>
            <w:vAlign w:val="center"/>
          </w:tcPr>
          <w:p w14:paraId="314FECD4" w14:textId="77777777" w:rsidR="00E01934" w:rsidRPr="00E01934" w:rsidRDefault="00E01934" w:rsidP="00E01934">
            <w:pPr>
              <w:pStyle w:val="Tablesinglespacedparagraph"/>
              <w:rPr>
                <w:rFonts w:asciiTheme="minorHAnsi" w:hAnsiTheme="minorHAnsi" w:cstheme="minorHAnsi"/>
              </w:rPr>
            </w:pPr>
            <w:r w:rsidRPr="00E01934">
              <w:rPr>
                <w:rFonts w:asciiTheme="minorHAnsi" w:hAnsiTheme="minorHAnsi" w:cstheme="minorHAnsi"/>
              </w:rPr>
              <w:t>Christchurch</w:t>
            </w:r>
          </w:p>
        </w:tc>
        <w:tc>
          <w:tcPr>
            <w:tcW w:w="982" w:type="dxa"/>
          </w:tcPr>
          <w:p w14:paraId="623D4EA4"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146</w:t>
            </w:r>
          </w:p>
        </w:tc>
        <w:tc>
          <w:tcPr>
            <w:tcW w:w="983" w:type="dxa"/>
          </w:tcPr>
          <w:p w14:paraId="64FEE150"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195</w:t>
            </w:r>
          </w:p>
        </w:tc>
        <w:tc>
          <w:tcPr>
            <w:tcW w:w="983" w:type="dxa"/>
          </w:tcPr>
          <w:p w14:paraId="21169DF2"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57</w:t>
            </w:r>
          </w:p>
        </w:tc>
        <w:tc>
          <w:tcPr>
            <w:tcW w:w="982" w:type="dxa"/>
          </w:tcPr>
          <w:p w14:paraId="7BB60542"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20</w:t>
            </w:r>
          </w:p>
        </w:tc>
        <w:tc>
          <w:tcPr>
            <w:tcW w:w="983" w:type="dxa"/>
          </w:tcPr>
          <w:p w14:paraId="10F4A599"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4</w:t>
            </w:r>
          </w:p>
        </w:tc>
        <w:tc>
          <w:tcPr>
            <w:tcW w:w="983" w:type="dxa"/>
            <w:shd w:val="clear" w:color="000000" w:fill="BFBFBF"/>
          </w:tcPr>
          <w:p w14:paraId="1481925C"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422</w:t>
            </w:r>
          </w:p>
        </w:tc>
        <w:tc>
          <w:tcPr>
            <w:tcW w:w="983" w:type="dxa"/>
            <w:shd w:val="clear" w:color="000000" w:fill="BFBFBF"/>
          </w:tcPr>
          <w:p w14:paraId="49D89A9A"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420</w:t>
            </w:r>
          </w:p>
        </w:tc>
      </w:tr>
      <w:tr w:rsidR="00E01934" w:rsidRPr="00E01934" w14:paraId="76CF61C9" w14:textId="77777777" w:rsidTr="00E019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top w:val="single" w:sz="4" w:space="0" w:color="FFFFFF" w:themeColor="background1"/>
              <w:bottom w:val="single" w:sz="4" w:space="0" w:color="FFFFFF" w:themeColor="background1"/>
            </w:tcBorders>
            <w:vAlign w:val="center"/>
          </w:tcPr>
          <w:p w14:paraId="1A5F0EB5" w14:textId="77777777" w:rsidR="00E01934" w:rsidRPr="00E01934" w:rsidRDefault="00E01934" w:rsidP="00E01934">
            <w:pPr>
              <w:pStyle w:val="Tablesinglespacedparagraph"/>
              <w:rPr>
                <w:rFonts w:asciiTheme="minorHAnsi" w:hAnsiTheme="minorHAnsi" w:cstheme="minorHAnsi"/>
              </w:rPr>
            </w:pPr>
            <w:r w:rsidRPr="00E01934">
              <w:rPr>
                <w:rFonts w:asciiTheme="minorHAnsi" w:hAnsiTheme="minorHAnsi" w:cstheme="minorHAnsi"/>
              </w:rPr>
              <w:t>Westland</w:t>
            </w:r>
          </w:p>
        </w:tc>
        <w:tc>
          <w:tcPr>
            <w:tcW w:w="982" w:type="dxa"/>
          </w:tcPr>
          <w:p w14:paraId="4BC3F36B"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20</w:t>
            </w:r>
          </w:p>
        </w:tc>
        <w:tc>
          <w:tcPr>
            <w:tcW w:w="983" w:type="dxa"/>
          </w:tcPr>
          <w:p w14:paraId="375E3C85"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27</w:t>
            </w:r>
          </w:p>
        </w:tc>
        <w:tc>
          <w:tcPr>
            <w:tcW w:w="983" w:type="dxa"/>
          </w:tcPr>
          <w:p w14:paraId="35447C54"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5</w:t>
            </w:r>
          </w:p>
        </w:tc>
        <w:tc>
          <w:tcPr>
            <w:tcW w:w="982" w:type="dxa"/>
          </w:tcPr>
          <w:p w14:paraId="1F627D55"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4</w:t>
            </w:r>
          </w:p>
        </w:tc>
        <w:tc>
          <w:tcPr>
            <w:tcW w:w="983" w:type="dxa"/>
          </w:tcPr>
          <w:p w14:paraId="206EDF0D" w14:textId="4C4783C3" w:rsidR="00E01934" w:rsidRPr="00E01934" w:rsidRDefault="004D35F3"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color w:val="000000"/>
              </w:rPr>
              <w:t>-</w:t>
            </w:r>
          </w:p>
        </w:tc>
        <w:tc>
          <w:tcPr>
            <w:tcW w:w="983" w:type="dxa"/>
            <w:shd w:val="clear" w:color="000000" w:fill="BFBFBF"/>
          </w:tcPr>
          <w:p w14:paraId="586FBFE7"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56</w:t>
            </w:r>
          </w:p>
        </w:tc>
        <w:tc>
          <w:tcPr>
            <w:tcW w:w="983" w:type="dxa"/>
            <w:shd w:val="clear" w:color="000000" w:fill="BFBFBF"/>
          </w:tcPr>
          <w:p w14:paraId="5221D403"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48</w:t>
            </w:r>
          </w:p>
        </w:tc>
      </w:tr>
      <w:tr w:rsidR="00E01934" w:rsidRPr="00E01934" w14:paraId="435E8CC7" w14:textId="77777777" w:rsidTr="00E019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top w:val="single" w:sz="4" w:space="0" w:color="FFFFFF" w:themeColor="background1"/>
              <w:bottom w:val="single" w:sz="4" w:space="0" w:color="FFFFFF" w:themeColor="background1"/>
            </w:tcBorders>
            <w:vAlign w:val="center"/>
          </w:tcPr>
          <w:p w14:paraId="0CE74F0A" w14:textId="77777777" w:rsidR="00E01934" w:rsidRPr="00E01934" w:rsidRDefault="00E01934" w:rsidP="00E01934">
            <w:pPr>
              <w:pStyle w:val="Tablesinglespacedparagraph"/>
              <w:rPr>
                <w:rFonts w:asciiTheme="minorHAnsi" w:hAnsiTheme="minorHAnsi" w:cstheme="minorHAnsi"/>
              </w:rPr>
            </w:pPr>
            <w:r w:rsidRPr="00E01934">
              <w:rPr>
                <w:rFonts w:asciiTheme="minorHAnsi" w:hAnsiTheme="minorHAnsi" w:cstheme="minorHAnsi"/>
              </w:rPr>
              <w:t>Chatham Islands</w:t>
            </w:r>
          </w:p>
        </w:tc>
        <w:tc>
          <w:tcPr>
            <w:tcW w:w="982" w:type="dxa"/>
          </w:tcPr>
          <w:p w14:paraId="20CFDF38"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983" w:type="dxa"/>
          </w:tcPr>
          <w:p w14:paraId="61B31DBD"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2</w:t>
            </w:r>
          </w:p>
        </w:tc>
        <w:tc>
          <w:tcPr>
            <w:tcW w:w="983" w:type="dxa"/>
          </w:tcPr>
          <w:p w14:paraId="2F88D6EB"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982" w:type="dxa"/>
          </w:tcPr>
          <w:p w14:paraId="2FA9C77E"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c>
          <w:tcPr>
            <w:tcW w:w="983" w:type="dxa"/>
          </w:tcPr>
          <w:p w14:paraId="1F57099D" w14:textId="6E96A10F" w:rsidR="00E01934" w:rsidRPr="00E01934" w:rsidRDefault="004D35F3"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w:t>
            </w:r>
          </w:p>
        </w:tc>
        <w:tc>
          <w:tcPr>
            <w:tcW w:w="983" w:type="dxa"/>
            <w:shd w:val="clear" w:color="000000" w:fill="BFBFBF"/>
          </w:tcPr>
          <w:p w14:paraId="69188188"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2</w:t>
            </w:r>
          </w:p>
        </w:tc>
        <w:tc>
          <w:tcPr>
            <w:tcW w:w="983" w:type="dxa"/>
            <w:shd w:val="clear" w:color="000000" w:fill="BFBFBF"/>
          </w:tcPr>
          <w:p w14:paraId="6C2E32C4"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w:t>
            </w:r>
          </w:p>
        </w:tc>
      </w:tr>
      <w:tr w:rsidR="00E01934" w:rsidRPr="00E01934" w14:paraId="685E60C1" w14:textId="77777777" w:rsidTr="00E019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top w:val="single" w:sz="4" w:space="0" w:color="FFFFFF" w:themeColor="background1"/>
              <w:bottom w:val="single" w:sz="4" w:space="0" w:color="FFFFFF" w:themeColor="background1"/>
            </w:tcBorders>
            <w:vAlign w:val="center"/>
          </w:tcPr>
          <w:p w14:paraId="1D4B86A3" w14:textId="77777777" w:rsidR="00E01934" w:rsidRPr="00E01934" w:rsidRDefault="00E01934" w:rsidP="00E01934">
            <w:pPr>
              <w:pStyle w:val="Tablesinglespacedparagraph"/>
              <w:rPr>
                <w:rStyle w:val="Emphasis"/>
                <w:rFonts w:asciiTheme="minorHAnsi" w:hAnsiTheme="minorHAnsi" w:cstheme="minorHAnsi"/>
              </w:rPr>
            </w:pPr>
            <w:r w:rsidRPr="00E01934">
              <w:rPr>
                <w:rStyle w:val="Emphasis"/>
                <w:rFonts w:asciiTheme="minorHAnsi" w:hAnsiTheme="minorHAnsi" w:cstheme="minorHAnsi"/>
              </w:rPr>
              <w:t xml:space="preserve">Total South Island </w:t>
            </w:r>
          </w:p>
        </w:tc>
        <w:tc>
          <w:tcPr>
            <w:tcW w:w="982" w:type="dxa"/>
            <w:shd w:val="clear" w:color="auto" w:fill="BFBFBF"/>
          </w:tcPr>
          <w:p w14:paraId="7578D49B"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Fonts w:asciiTheme="minorHAnsi" w:hAnsiTheme="minorHAnsi" w:cstheme="minorHAnsi"/>
                <w:b/>
                <w:bCs/>
                <w:color w:val="000000"/>
              </w:rPr>
              <w:t>361</w:t>
            </w:r>
          </w:p>
        </w:tc>
        <w:tc>
          <w:tcPr>
            <w:tcW w:w="983" w:type="dxa"/>
            <w:shd w:val="clear" w:color="auto" w:fill="BFBFBF"/>
          </w:tcPr>
          <w:p w14:paraId="378143C2"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Fonts w:asciiTheme="minorHAnsi" w:hAnsiTheme="minorHAnsi" w:cstheme="minorHAnsi"/>
                <w:b/>
                <w:bCs/>
                <w:color w:val="000000"/>
              </w:rPr>
              <w:t>435</w:t>
            </w:r>
          </w:p>
        </w:tc>
        <w:tc>
          <w:tcPr>
            <w:tcW w:w="983" w:type="dxa"/>
            <w:shd w:val="clear" w:color="auto" w:fill="BFBFBF"/>
          </w:tcPr>
          <w:p w14:paraId="75113048"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Fonts w:asciiTheme="minorHAnsi" w:hAnsiTheme="minorHAnsi" w:cstheme="minorHAnsi"/>
                <w:b/>
                <w:bCs/>
                <w:color w:val="000000"/>
              </w:rPr>
              <w:t>124</w:t>
            </w:r>
          </w:p>
        </w:tc>
        <w:tc>
          <w:tcPr>
            <w:tcW w:w="982" w:type="dxa"/>
            <w:shd w:val="clear" w:color="auto" w:fill="BFBFBF"/>
          </w:tcPr>
          <w:p w14:paraId="2F762CF3"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Fonts w:asciiTheme="minorHAnsi" w:hAnsiTheme="minorHAnsi" w:cstheme="minorHAnsi"/>
                <w:b/>
                <w:bCs/>
                <w:color w:val="000000"/>
              </w:rPr>
              <w:t>73</w:t>
            </w:r>
          </w:p>
        </w:tc>
        <w:tc>
          <w:tcPr>
            <w:tcW w:w="983" w:type="dxa"/>
            <w:shd w:val="clear" w:color="auto" w:fill="BFBFBF"/>
          </w:tcPr>
          <w:p w14:paraId="63A7243E"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Fonts w:asciiTheme="minorHAnsi" w:hAnsiTheme="minorHAnsi" w:cstheme="minorHAnsi"/>
                <w:b/>
                <w:bCs/>
                <w:color w:val="000000"/>
              </w:rPr>
              <w:t>6</w:t>
            </w:r>
          </w:p>
        </w:tc>
        <w:tc>
          <w:tcPr>
            <w:tcW w:w="983" w:type="dxa"/>
            <w:shd w:val="clear" w:color="000000" w:fill="BFBFBF"/>
          </w:tcPr>
          <w:p w14:paraId="1E2640AF"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999</w:t>
            </w:r>
          </w:p>
        </w:tc>
        <w:tc>
          <w:tcPr>
            <w:tcW w:w="983" w:type="dxa"/>
            <w:shd w:val="clear" w:color="000000" w:fill="BFBFBF"/>
          </w:tcPr>
          <w:p w14:paraId="3C8C2B1A"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961</w:t>
            </w:r>
          </w:p>
        </w:tc>
      </w:tr>
      <w:tr w:rsidR="00E01934" w:rsidRPr="00E01934" w14:paraId="18D214A9" w14:textId="77777777" w:rsidTr="00E019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top w:val="single" w:sz="4" w:space="0" w:color="FFFFFF" w:themeColor="background1"/>
              <w:bottom w:val="single" w:sz="4" w:space="0" w:color="FFFFFF" w:themeColor="background1"/>
            </w:tcBorders>
            <w:vAlign w:val="center"/>
          </w:tcPr>
          <w:p w14:paraId="07B2C3ED" w14:textId="77777777" w:rsidR="00E01934" w:rsidRPr="00E01934" w:rsidRDefault="00E01934" w:rsidP="00E01934">
            <w:pPr>
              <w:pStyle w:val="Tablesinglespacedparagraph"/>
              <w:rPr>
                <w:rFonts w:asciiTheme="minorHAnsi" w:hAnsiTheme="minorHAnsi" w:cstheme="minorHAnsi"/>
              </w:rPr>
            </w:pPr>
            <w:r w:rsidRPr="00E01934">
              <w:rPr>
                <w:rFonts w:asciiTheme="minorHAnsi" w:hAnsiTheme="minorHAnsi" w:cstheme="minorHAnsi"/>
              </w:rPr>
              <w:t>Location not known</w:t>
            </w:r>
          </w:p>
        </w:tc>
        <w:tc>
          <w:tcPr>
            <w:tcW w:w="982" w:type="dxa"/>
          </w:tcPr>
          <w:p w14:paraId="70131F94"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5,480</w:t>
            </w:r>
          </w:p>
        </w:tc>
        <w:tc>
          <w:tcPr>
            <w:tcW w:w="983" w:type="dxa"/>
          </w:tcPr>
          <w:p w14:paraId="28AF71B8"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948</w:t>
            </w:r>
          </w:p>
        </w:tc>
        <w:tc>
          <w:tcPr>
            <w:tcW w:w="983" w:type="dxa"/>
          </w:tcPr>
          <w:p w14:paraId="6DAA6A8B"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364</w:t>
            </w:r>
          </w:p>
        </w:tc>
        <w:tc>
          <w:tcPr>
            <w:tcW w:w="982" w:type="dxa"/>
          </w:tcPr>
          <w:p w14:paraId="3DC65A5F"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86</w:t>
            </w:r>
          </w:p>
        </w:tc>
        <w:tc>
          <w:tcPr>
            <w:tcW w:w="983" w:type="dxa"/>
          </w:tcPr>
          <w:p w14:paraId="7D85BC5C"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54</w:t>
            </w:r>
          </w:p>
        </w:tc>
        <w:tc>
          <w:tcPr>
            <w:tcW w:w="983" w:type="dxa"/>
            <w:shd w:val="clear" w:color="000000" w:fill="BFBFBF"/>
          </w:tcPr>
          <w:p w14:paraId="0E980B10"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6,932</w:t>
            </w:r>
          </w:p>
        </w:tc>
        <w:tc>
          <w:tcPr>
            <w:tcW w:w="983" w:type="dxa"/>
            <w:shd w:val="clear" w:color="000000" w:fill="BFBFBF"/>
          </w:tcPr>
          <w:p w14:paraId="79ED1F2E"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7,086</w:t>
            </w:r>
          </w:p>
        </w:tc>
      </w:tr>
      <w:tr w:rsidR="00E01934" w:rsidRPr="00E01934" w14:paraId="060E475A" w14:textId="77777777" w:rsidTr="00E0193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top w:val="single" w:sz="4" w:space="0" w:color="FFFFFF" w:themeColor="background1"/>
              <w:bottom w:val="single" w:sz="4" w:space="0" w:color="FFFFFF" w:themeColor="background1"/>
            </w:tcBorders>
            <w:vAlign w:val="center"/>
          </w:tcPr>
          <w:p w14:paraId="4E6F4F11" w14:textId="77777777" w:rsidR="00E01934" w:rsidRPr="00E01934" w:rsidRDefault="00E01934" w:rsidP="00E01934">
            <w:pPr>
              <w:pStyle w:val="Tablesinglespacedparagraph"/>
              <w:rPr>
                <w:rFonts w:asciiTheme="minorHAnsi" w:hAnsiTheme="minorHAnsi" w:cstheme="minorHAnsi"/>
              </w:rPr>
            </w:pPr>
            <w:r w:rsidRPr="00E01934">
              <w:rPr>
                <w:rFonts w:asciiTheme="minorHAnsi" w:hAnsiTheme="minorHAnsi" w:cstheme="minorHAnsi"/>
              </w:rPr>
              <w:t>Overseas</w:t>
            </w:r>
          </w:p>
        </w:tc>
        <w:tc>
          <w:tcPr>
            <w:tcW w:w="982" w:type="dxa"/>
          </w:tcPr>
          <w:p w14:paraId="1F391772"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69</w:t>
            </w:r>
          </w:p>
        </w:tc>
        <w:tc>
          <w:tcPr>
            <w:tcW w:w="983" w:type="dxa"/>
          </w:tcPr>
          <w:p w14:paraId="6C4522D7"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138</w:t>
            </w:r>
          </w:p>
        </w:tc>
        <w:tc>
          <w:tcPr>
            <w:tcW w:w="983" w:type="dxa"/>
          </w:tcPr>
          <w:p w14:paraId="33567550"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15</w:t>
            </w:r>
          </w:p>
        </w:tc>
        <w:tc>
          <w:tcPr>
            <w:tcW w:w="982" w:type="dxa"/>
          </w:tcPr>
          <w:p w14:paraId="16DF446C"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E01934">
              <w:rPr>
                <w:rFonts w:asciiTheme="minorHAnsi" w:hAnsiTheme="minorHAnsi" w:cstheme="minorHAnsi"/>
                <w:color w:val="000000"/>
              </w:rPr>
              <w:t>3</w:t>
            </w:r>
          </w:p>
        </w:tc>
        <w:tc>
          <w:tcPr>
            <w:tcW w:w="983" w:type="dxa"/>
          </w:tcPr>
          <w:p w14:paraId="0E50AC38" w14:textId="23ADB8C2" w:rsidR="00E01934" w:rsidRPr="00E01934" w:rsidRDefault="004D35F3"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color w:val="000000"/>
              </w:rPr>
              <w:t>-</w:t>
            </w:r>
          </w:p>
        </w:tc>
        <w:tc>
          <w:tcPr>
            <w:tcW w:w="983" w:type="dxa"/>
            <w:shd w:val="clear" w:color="000000" w:fill="BFBFBF"/>
          </w:tcPr>
          <w:p w14:paraId="47EB90AC"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225</w:t>
            </w:r>
          </w:p>
        </w:tc>
        <w:tc>
          <w:tcPr>
            <w:tcW w:w="983" w:type="dxa"/>
            <w:shd w:val="clear" w:color="000000" w:fill="BFBFBF"/>
          </w:tcPr>
          <w:p w14:paraId="3319F665" w14:textId="77777777" w:rsidR="00E01934" w:rsidRPr="00E01934" w:rsidRDefault="00E01934" w:rsidP="00E01934">
            <w:pPr>
              <w:pStyle w:val="Tablesinglespacedparagraph"/>
              <w:jc w:val="right"/>
              <w:cnfStyle w:val="000000010000" w:firstRow="0" w:lastRow="0" w:firstColumn="0" w:lastColumn="0" w:oddVBand="0" w:evenVBand="0" w:oddHBand="0" w:evenHBand="1"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336</w:t>
            </w:r>
          </w:p>
        </w:tc>
      </w:tr>
      <w:tr w:rsidR="00E01934" w:rsidRPr="00E01934" w14:paraId="5A018F88" w14:textId="77777777" w:rsidTr="00E0193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20" w:type="dxa"/>
            <w:tcBorders>
              <w:top w:val="single" w:sz="4" w:space="0" w:color="FFFFFF" w:themeColor="background1"/>
            </w:tcBorders>
            <w:vAlign w:val="center"/>
          </w:tcPr>
          <w:p w14:paraId="6CD4062F" w14:textId="77777777" w:rsidR="00E01934" w:rsidRPr="00E01934" w:rsidRDefault="00E01934" w:rsidP="00E01934">
            <w:pPr>
              <w:pStyle w:val="Tablesinglespacedparagraph"/>
              <w:rPr>
                <w:rStyle w:val="Emphasis"/>
                <w:rFonts w:asciiTheme="minorHAnsi" w:hAnsiTheme="minorHAnsi" w:cstheme="minorHAnsi"/>
              </w:rPr>
            </w:pPr>
            <w:r w:rsidRPr="00E01934">
              <w:rPr>
                <w:rStyle w:val="Emphasis"/>
                <w:rFonts w:asciiTheme="minorHAnsi" w:hAnsiTheme="minorHAnsi" w:cstheme="minorHAnsi"/>
              </w:rPr>
              <w:t>Total</w:t>
            </w:r>
          </w:p>
        </w:tc>
        <w:tc>
          <w:tcPr>
            <w:tcW w:w="982" w:type="dxa"/>
            <w:shd w:val="clear" w:color="auto" w:fill="BFBFBF"/>
          </w:tcPr>
          <w:p w14:paraId="1CFE25A6"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Fonts w:asciiTheme="minorHAnsi" w:hAnsiTheme="minorHAnsi" w:cstheme="minorHAnsi"/>
                <w:b/>
                <w:bCs/>
                <w:color w:val="000000"/>
              </w:rPr>
              <w:t>7,255</w:t>
            </w:r>
          </w:p>
        </w:tc>
        <w:tc>
          <w:tcPr>
            <w:tcW w:w="983" w:type="dxa"/>
            <w:shd w:val="clear" w:color="auto" w:fill="BFBFBF"/>
          </w:tcPr>
          <w:p w14:paraId="5CF70C6C"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Fonts w:asciiTheme="minorHAnsi" w:hAnsiTheme="minorHAnsi" w:cstheme="minorHAnsi"/>
                <w:b/>
                <w:bCs/>
                <w:color w:val="000000"/>
              </w:rPr>
              <w:t>2,889</w:t>
            </w:r>
          </w:p>
        </w:tc>
        <w:tc>
          <w:tcPr>
            <w:tcW w:w="983" w:type="dxa"/>
            <w:shd w:val="clear" w:color="auto" w:fill="BFBFBF"/>
          </w:tcPr>
          <w:p w14:paraId="0CA47124"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Fonts w:asciiTheme="minorHAnsi" w:hAnsiTheme="minorHAnsi" w:cstheme="minorHAnsi"/>
                <w:b/>
                <w:bCs/>
                <w:color w:val="000000"/>
              </w:rPr>
              <w:t>1,353</w:t>
            </w:r>
          </w:p>
        </w:tc>
        <w:tc>
          <w:tcPr>
            <w:tcW w:w="982" w:type="dxa"/>
            <w:shd w:val="clear" w:color="auto" w:fill="BFBFBF"/>
          </w:tcPr>
          <w:p w14:paraId="1B9526C1"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Fonts w:asciiTheme="minorHAnsi" w:hAnsiTheme="minorHAnsi" w:cstheme="minorHAnsi"/>
                <w:b/>
                <w:bCs/>
                <w:color w:val="000000"/>
              </w:rPr>
              <w:t>374</w:t>
            </w:r>
          </w:p>
        </w:tc>
        <w:tc>
          <w:tcPr>
            <w:tcW w:w="983" w:type="dxa"/>
            <w:shd w:val="clear" w:color="auto" w:fill="BFBFBF"/>
          </w:tcPr>
          <w:p w14:paraId="43FC8830"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Fonts w:asciiTheme="minorHAnsi" w:hAnsiTheme="minorHAnsi" w:cstheme="minorHAnsi"/>
                <w:b/>
                <w:bCs/>
                <w:color w:val="000000"/>
              </w:rPr>
              <w:t>78</w:t>
            </w:r>
          </w:p>
        </w:tc>
        <w:tc>
          <w:tcPr>
            <w:tcW w:w="983" w:type="dxa"/>
            <w:shd w:val="clear" w:color="000000" w:fill="BFBFBF"/>
          </w:tcPr>
          <w:p w14:paraId="4A017D9E"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Style w:val="Emphasis"/>
                <w:rFonts w:asciiTheme="minorHAnsi" w:hAnsiTheme="minorHAnsi" w:cstheme="minorHAnsi"/>
              </w:rPr>
              <w:t>11,949</w:t>
            </w:r>
          </w:p>
        </w:tc>
        <w:tc>
          <w:tcPr>
            <w:tcW w:w="983" w:type="dxa"/>
            <w:shd w:val="clear" w:color="000000" w:fill="BFBFBF"/>
          </w:tcPr>
          <w:p w14:paraId="363CEA9E" w14:textId="77777777" w:rsidR="00E01934" w:rsidRPr="00E01934" w:rsidRDefault="00E01934" w:rsidP="00E01934">
            <w:pPr>
              <w:pStyle w:val="Tablesinglespacedparagraph"/>
              <w:jc w:val="righ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rPr>
            </w:pPr>
            <w:r w:rsidRPr="00E01934">
              <w:rPr>
                <w:rFonts w:asciiTheme="minorHAnsi" w:hAnsiTheme="minorHAnsi" w:cstheme="minorHAnsi"/>
                <w:b/>
              </w:rPr>
              <w:t>11,953</w:t>
            </w:r>
          </w:p>
        </w:tc>
      </w:tr>
    </w:tbl>
    <w:p w14:paraId="08EC2FF9" w14:textId="306B182D" w:rsidR="00DF1795" w:rsidRPr="007C49E9" w:rsidRDefault="005B795D" w:rsidP="00DF1795">
      <w:pPr>
        <w:pStyle w:val="BodyText"/>
      </w:pPr>
      <w:hyperlink w:anchor="Contents" w:history="1">
        <w:r w:rsidR="00DF1795" w:rsidRPr="00F5248A">
          <w:rPr>
            <w:rStyle w:val="Hyperlink"/>
          </w:rPr>
          <w:t>Back to contents</w:t>
        </w:r>
      </w:hyperlink>
      <w:r w:rsidR="00DF1795" w:rsidRPr="007C49E9">
        <w:br w:type="page"/>
      </w:r>
    </w:p>
    <w:p w14:paraId="67F91595" w14:textId="77777777" w:rsidR="00DF1795" w:rsidRPr="00BE4BB3" w:rsidRDefault="00DF1795" w:rsidP="00DF1795">
      <w:pPr>
        <w:pStyle w:val="Heading2"/>
        <w:spacing w:before="480"/>
      </w:pPr>
      <w:bookmarkStart w:id="182" w:name="_Directory"/>
      <w:bookmarkStart w:id="183" w:name="_Ref54703168"/>
      <w:bookmarkEnd w:id="182"/>
      <w:r w:rsidRPr="00BE4BB3">
        <w:t>Directory</w:t>
      </w:r>
      <w:bookmarkEnd w:id="181"/>
      <w:bookmarkEnd w:id="183"/>
    </w:p>
    <w:p w14:paraId="59BDE2D3" w14:textId="77777777" w:rsidR="00DF1795" w:rsidRPr="00BE4BB3" w:rsidRDefault="00DF1795" w:rsidP="00DF1795">
      <w:pPr>
        <w:pStyle w:val="Heading4"/>
      </w:pPr>
      <w:r w:rsidRPr="00BE4BB3">
        <w:t>Legal authorities for establishing the Office of the Ombudsman</w:t>
      </w:r>
    </w:p>
    <w:p w14:paraId="64B38F7E" w14:textId="77777777" w:rsidR="00DF1795" w:rsidRPr="00BE4BB3" w:rsidRDefault="00DF1795" w:rsidP="00DF1795">
      <w:pPr>
        <w:pStyle w:val="BodyText"/>
      </w:pPr>
      <w:r>
        <w:t xml:space="preserve">The </w:t>
      </w:r>
      <w:r w:rsidRPr="00BE4BB3">
        <w:t>Ombudsm</w:t>
      </w:r>
      <w:r>
        <w:t>a</w:t>
      </w:r>
      <w:r w:rsidRPr="00BE4BB3">
        <w:t xml:space="preserve">n </w:t>
      </w:r>
      <w:r>
        <w:t>is</w:t>
      </w:r>
      <w:r w:rsidRPr="00BE4BB3">
        <w:t xml:space="preserve"> appointed pursuant to sections 8 and 13 of the Ombudsmen Act 1975</w:t>
      </w:r>
      <w:r>
        <w:t>,</w:t>
      </w:r>
      <w:r w:rsidRPr="00BE4BB3">
        <w:t xml:space="preserve"> and report</w:t>
      </w:r>
      <w:r>
        <w:t>s</w:t>
      </w:r>
      <w:r w:rsidRPr="00BE4BB3">
        <w:t xml:space="preserve"> annually to Parliament pursuant to this Act and the Public Finance Act 1989. </w:t>
      </w:r>
      <w:r>
        <w:t>The Ombudsma</w:t>
      </w:r>
      <w:r w:rsidRPr="00BE4BB3">
        <w:t xml:space="preserve">n </w:t>
      </w:r>
      <w:r>
        <w:t>is an Officer</w:t>
      </w:r>
      <w:r w:rsidRPr="00BE4BB3">
        <w:t xml:space="preserve"> of Parliament pursuant to section 3 of the Ombudsmen Act 1975</w:t>
      </w:r>
      <w:r>
        <w:t>,</w:t>
      </w:r>
      <w:r w:rsidRPr="00BE4BB3">
        <w:t xml:space="preserve"> and the Public Finance Act 1989.</w:t>
      </w:r>
    </w:p>
    <w:p w14:paraId="5794C29E" w14:textId="77777777" w:rsidR="00DF1795" w:rsidRPr="00BE4BB3" w:rsidRDefault="00DF1795" w:rsidP="00DF1795">
      <w:pPr>
        <w:pStyle w:val="Heading4"/>
      </w:pPr>
      <w:r w:rsidRPr="00BE4BB3">
        <w:t>Contacting the Ombudsman</w:t>
      </w:r>
    </w:p>
    <w:p w14:paraId="00FB0C2E" w14:textId="77777777" w:rsidR="00DF1795" w:rsidRPr="00BE4BB3" w:rsidRDefault="00DF1795" w:rsidP="00DF1795">
      <w:pPr>
        <w:pStyle w:val="BodyText"/>
        <w:spacing w:after="0"/>
      </w:pPr>
      <w:r w:rsidRPr="00BE4BB3">
        <w:t>Free phone: 0800 802</w:t>
      </w:r>
      <w:r>
        <w:t xml:space="preserve"> </w:t>
      </w:r>
      <w:r w:rsidRPr="00BE4BB3">
        <w:t>602</w:t>
      </w:r>
    </w:p>
    <w:p w14:paraId="3A0EFFF3" w14:textId="77777777" w:rsidR="00DF1795" w:rsidRPr="0075122F" w:rsidRDefault="00DF1795" w:rsidP="00DF1795">
      <w:pPr>
        <w:pStyle w:val="BodyText"/>
        <w:spacing w:after="0"/>
        <w:rPr>
          <w:rStyle w:val="HyperlinkSourceTextReference"/>
        </w:rPr>
      </w:pPr>
      <w:r w:rsidRPr="0075122F">
        <w:rPr>
          <w:rStyle w:val="HyperlinkSourceTextReference"/>
        </w:rPr>
        <w:t>www.ombudsman.parliament.nz</w:t>
      </w:r>
    </w:p>
    <w:p w14:paraId="6C7DF2CE" w14:textId="77777777" w:rsidR="00DF1795" w:rsidRPr="00BE4BB3" w:rsidRDefault="00DF1795" w:rsidP="00DF1795">
      <w:pPr>
        <w:pStyle w:val="BodyText"/>
        <w:spacing w:after="0"/>
      </w:pPr>
      <w:r w:rsidRPr="00BE4BB3">
        <w:t xml:space="preserve">Email: </w:t>
      </w:r>
      <w:r w:rsidRPr="0075122F">
        <w:rPr>
          <w:rStyle w:val="HyperlinkSourceTextReference"/>
        </w:rPr>
        <w:t>info@ombudsman.parliament.nz</w:t>
      </w:r>
    </w:p>
    <w:p w14:paraId="36D8B2DC" w14:textId="77777777" w:rsidR="00DF1795" w:rsidRPr="00BE4BB3" w:rsidRDefault="00DF1795" w:rsidP="00DF1795">
      <w:pPr>
        <w:pStyle w:val="BodyText"/>
        <w:spacing w:after="0"/>
      </w:pPr>
      <w:r w:rsidRPr="00BE4BB3">
        <w:t>Post: PO Box 10152, Wellington 6143</w:t>
      </w:r>
    </w:p>
    <w:p w14:paraId="32527CA9" w14:textId="77777777" w:rsidR="00DF1795" w:rsidRPr="00BE4BB3" w:rsidRDefault="00DF1795" w:rsidP="00DF1795">
      <w:pPr>
        <w:pStyle w:val="BodyText"/>
      </w:pPr>
      <w:r w:rsidRPr="00BE4BB3">
        <w:t>Fax: 04 471 2254</w:t>
      </w:r>
    </w:p>
    <w:p w14:paraId="218537F6" w14:textId="77777777" w:rsidR="00DF1795" w:rsidRPr="00D023E7" w:rsidRDefault="00DF1795" w:rsidP="00DF1795">
      <w:pPr>
        <w:pStyle w:val="Singlespacedparagraph"/>
        <w:rPr>
          <w:b/>
        </w:rPr>
      </w:pPr>
      <w:r w:rsidRPr="00D023E7">
        <w:rPr>
          <w:b/>
        </w:rPr>
        <w:t xml:space="preserve">Wellington </w:t>
      </w:r>
    </w:p>
    <w:p w14:paraId="0EC0A6AC" w14:textId="77777777" w:rsidR="00DF1795" w:rsidRDefault="00DF1795" w:rsidP="00DF1795">
      <w:pPr>
        <w:pStyle w:val="Singlespacedparagraph"/>
      </w:pPr>
      <w:r w:rsidRPr="00BE4BB3">
        <w:t xml:space="preserve">Level </w:t>
      </w:r>
      <w:r>
        <w:t xml:space="preserve">7, </w:t>
      </w:r>
      <w:r w:rsidRPr="00BE4BB3">
        <w:t>70 The Terrace</w:t>
      </w:r>
      <w:r w:rsidRPr="00D023E7">
        <w:t xml:space="preserve"> </w:t>
      </w:r>
    </w:p>
    <w:p w14:paraId="0CF0DF6A" w14:textId="0E5873B3" w:rsidR="00DF1795" w:rsidRDefault="00DF1795" w:rsidP="00DF1795">
      <w:pPr>
        <w:pStyle w:val="Singlespacedparagraph"/>
      </w:pPr>
    </w:p>
    <w:p w14:paraId="0FB79025" w14:textId="77777777" w:rsidR="00DF1795" w:rsidRDefault="00DF1795" w:rsidP="00DF1795">
      <w:pPr>
        <w:pStyle w:val="Singlespacedparagraph"/>
      </w:pPr>
      <w:r w:rsidRPr="00D023E7">
        <w:rPr>
          <w:b/>
        </w:rPr>
        <w:t>Auckland</w:t>
      </w:r>
      <w:r w:rsidRPr="00BE4BB3">
        <w:br/>
        <w:t>Level 10</w:t>
      </w:r>
      <w:r>
        <w:t xml:space="preserve">, </w:t>
      </w:r>
      <w:r w:rsidRPr="00BE4BB3">
        <w:t>55-65 Shortland Street</w:t>
      </w:r>
      <w:r>
        <w:br/>
      </w:r>
    </w:p>
    <w:p w14:paraId="10219C7B" w14:textId="6D484ACB" w:rsidR="00DF1795" w:rsidRDefault="005B795D" w:rsidP="00DF1795">
      <w:pPr>
        <w:pStyle w:val="Singlespacedparagraph"/>
      </w:pPr>
      <w:hyperlink w:anchor="Contents" w:history="1">
        <w:r w:rsidR="00DF1795" w:rsidRPr="00F5248A">
          <w:rPr>
            <w:rStyle w:val="Hyperlink"/>
          </w:rPr>
          <w:t>Back to contents</w:t>
        </w:r>
      </w:hyperlink>
      <w:r w:rsidR="00DF1795">
        <w:t>.</w:t>
      </w:r>
    </w:p>
    <w:p w14:paraId="4818E9A8" w14:textId="77777777" w:rsidR="00522D5D" w:rsidRDefault="007C5A85" w:rsidP="00522D5D">
      <w:pPr>
        <w:pStyle w:val="HeadingAppendix"/>
      </w:pPr>
      <w:bookmarkStart w:id="184" w:name="_Toc486337491"/>
      <w:r>
        <w:t xml:space="preserve">Text alternative versions of diagrams and graphs </w:t>
      </w:r>
      <w:bookmarkEnd w:id="184"/>
    </w:p>
    <w:p w14:paraId="11A05D81" w14:textId="6FBB58DB" w:rsidR="00522D5D" w:rsidRPr="00522D5D" w:rsidRDefault="00522D5D" w:rsidP="00522D5D">
      <w:pPr>
        <w:pStyle w:val="Heading3"/>
        <w:rPr>
          <w:rStyle w:val="Emphasis"/>
          <w:color w:val="auto"/>
        </w:rPr>
      </w:pPr>
      <w:r w:rsidRPr="00522D5D">
        <w:rPr>
          <w:rStyle w:val="Emphasis"/>
          <w:color w:val="auto"/>
        </w:rPr>
        <w:t>Ombudsman’s Outcomes Framework diagram</w:t>
      </w:r>
    </w:p>
    <w:p w14:paraId="76CF2098" w14:textId="2E97D3AD" w:rsidR="00DF1795" w:rsidRPr="00522D5D" w:rsidRDefault="00DF1795" w:rsidP="00DF1795">
      <w:pPr>
        <w:pStyle w:val="Heading5"/>
        <w:rPr>
          <w:rStyle w:val="Emphasis"/>
          <w:b/>
          <w:caps w:val="0"/>
        </w:rPr>
      </w:pPr>
      <w:r w:rsidRPr="00522D5D">
        <w:rPr>
          <w:rStyle w:val="Emphasis"/>
          <w:b/>
          <w:caps w:val="0"/>
        </w:rPr>
        <w:t>General Notes</w:t>
      </w:r>
    </w:p>
    <w:p w14:paraId="0322530B" w14:textId="77777777" w:rsidR="00DF1795" w:rsidRDefault="00DF1795" w:rsidP="00DF1795">
      <w:pPr>
        <w:pStyle w:val="BodyText"/>
      </w:pPr>
      <w:r w:rsidRPr="00E411B7">
        <w:t xml:space="preserve">This framework diagram demonstrates the linkages between the services we deliver though </w:t>
      </w:r>
      <w:r>
        <w:t>the Office’s</w:t>
      </w:r>
      <w:r w:rsidRPr="00E411B7">
        <w:t xml:space="preserve"> outputs, and the outcomes and impacts we are seeking to achieve. </w:t>
      </w:r>
    </w:p>
    <w:p w14:paraId="56D88F28" w14:textId="77777777" w:rsidR="00DF1795" w:rsidRDefault="00DF1795" w:rsidP="00DF1795">
      <w:r>
        <w:t xml:space="preserve">The diagram features a triangle, divided horizontally into four sections and is set on two key foundations. </w:t>
      </w:r>
    </w:p>
    <w:p w14:paraId="4CF8DA48" w14:textId="77777777" w:rsidR="00DF1795" w:rsidRDefault="00DF1795" w:rsidP="00DF1795">
      <w:r>
        <w:t xml:space="preserve">The first section ‘Goal’ forms the triangle’s peak and notes the Office’s key goal—it is set against a photograph of the tips of harakeke (flax); the next section (dark/black—also set against the photograph of harakeke) sets out the ‘Outcomes’; below this in a blue section are the ‘Impacts’, and the bottom section (light grey) sets out the Outputs. Underpinning the diagram which could be seen as the foundation of the triangle, are ‘Well-run Office—timely delivery of quality services and Tiriti o Waitangi acknowledged in our work’. </w:t>
      </w:r>
    </w:p>
    <w:p w14:paraId="01DAEA74" w14:textId="77777777" w:rsidR="00DF1795" w:rsidRDefault="00DF1795" w:rsidP="00DF1795">
      <w:r>
        <w:rPr>
          <w:b/>
        </w:rPr>
        <w:t xml:space="preserve">Text in each section </w:t>
      </w:r>
      <w:r>
        <w:br/>
      </w:r>
      <w:r>
        <w:rPr>
          <w:b/>
        </w:rPr>
        <w:t>Note:</w:t>
      </w:r>
      <w:r>
        <w:t xml:space="preserve"> text is set out from left to right in even rows to fit the section of the triangle.</w:t>
      </w:r>
    </w:p>
    <w:p w14:paraId="46612601" w14:textId="77777777" w:rsidR="00DF1795" w:rsidRDefault="00DF1795" w:rsidP="00DF1795">
      <w:r>
        <w:rPr>
          <w:b/>
        </w:rPr>
        <w:t>Goal</w:t>
      </w:r>
      <w:r>
        <w:t>—People are treated fairly.</w:t>
      </w:r>
    </w:p>
    <w:p w14:paraId="17FBC13F" w14:textId="77777777" w:rsidR="00DF1795" w:rsidRDefault="00DF1795" w:rsidP="00DF1795">
      <w:r>
        <w:rPr>
          <w:b/>
        </w:rPr>
        <w:t>Outcomes</w:t>
      </w:r>
      <w:r>
        <w:t xml:space="preserve">—High public trust in government; People’s rights are protected; Robust independent oversight; New Zealand contributes to regional stability and integrity institutions. </w:t>
      </w:r>
    </w:p>
    <w:p w14:paraId="30313FF1" w14:textId="77777777" w:rsidR="00DF1795" w:rsidRDefault="00DF1795" w:rsidP="00DF1795">
      <w:r>
        <w:rPr>
          <w:b/>
        </w:rPr>
        <w:t>Impacts—</w:t>
      </w:r>
      <w:r>
        <w:t>People participate in government decision making; Government is responsive, efficient, effective</w:t>
      </w:r>
      <w:r w:rsidR="006D7187" w:rsidRPr="005213AA">
        <w:t>,</w:t>
      </w:r>
      <w:r>
        <w:t xml:space="preserve"> and accountable; Government actions are open, fair</w:t>
      </w:r>
      <w:r w:rsidR="006D7187" w:rsidRPr="004B12C8">
        <w:t>,</w:t>
      </w:r>
      <w:r>
        <w:t xml:space="preserve"> and reasonable; People in positions of power act with integrity; People are treated humanely, with dignity by those in authority; New Zealand is a leader in anti-corruption and integrity.</w:t>
      </w:r>
    </w:p>
    <w:p w14:paraId="6C6EC0E9" w14:textId="77777777" w:rsidR="00DF1795" w:rsidRDefault="00DF1795" w:rsidP="00DF1795">
      <w:r>
        <w:rPr>
          <w:b/>
        </w:rPr>
        <w:t>Outputs</w:t>
      </w:r>
      <w:r>
        <w:t>—Inform the public to take constructive action to protect their rights; Improve public sector capability; Consultation to help the public sector make decisions; Enable serious wrongdoing to be disclosed and whistleblowers protected; Remove barriers to people with disabilities participating equally in society; Improve the conditions and treatment of people in detention; Ensure official information is increasingly available and not unlawfully refused; Identify flawed public sector decision making; Learn from, and assist to develop</w:t>
      </w:r>
      <w:r w:rsidR="006D7187" w:rsidRPr="005213AA">
        <w:t>,</w:t>
      </w:r>
      <w:r>
        <w:t xml:space="preserve"> international best practice. </w:t>
      </w:r>
    </w:p>
    <w:p w14:paraId="6FEBABF8" w14:textId="096A41F7" w:rsidR="00DF1795" w:rsidRPr="000E179F" w:rsidRDefault="00DF1795" w:rsidP="00DF1795">
      <w:pPr>
        <w:pStyle w:val="Singlespacedparagraph"/>
        <w:rPr>
          <w:rStyle w:val="Hyperlink"/>
          <w:rFonts w:asciiTheme="minorHAnsi" w:hAnsiTheme="minorHAnsi" w:cstheme="minorHAnsi"/>
          <w:szCs w:val="24"/>
        </w:rPr>
      </w:pPr>
      <w:r>
        <w:rPr>
          <w:rFonts w:asciiTheme="minorHAnsi" w:hAnsiTheme="minorHAnsi" w:cstheme="minorHAnsi"/>
          <w:szCs w:val="24"/>
        </w:rPr>
        <w:fldChar w:fldCharType="begin"/>
      </w:r>
      <w:r>
        <w:rPr>
          <w:rFonts w:asciiTheme="minorHAnsi" w:hAnsiTheme="minorHAnsi" w:cstheme="minorHAnsi"/>
          <w:szCs w:val="24"/>
        </w:rPr>
        <w:instrText xml:space="preserve"> HYPERLINK  \l "_Ombudsman_outcomes_framework_1" </w:instrText>
      </w:r>
      <w:r>
        <w:rPr>
          <w:rFonts w:asciiTheme="minorHAnsi" w:hAnsiTheme="minorHAnsi" w:cstheme="minorHAnsi"/>
          <w:szCs w:val="24"/>
        </w:rPr>
        <w:fldChar w:fldCharType="separate"/>
      </w:r>
      <w:r w:rsidRPr="000E179F">
        <w:rPr>
          <w:rStyle w:val="Hyperlink"/>
          <w:rFonts w:asciiTheme="minorHAnsi" w:hAnsiTheme="minorHAnsi" w:cstheme="minorHAnsi"/>
          <w:szCs w:val="24"/>
        </w:rPr>
        <w:t xml:space="preserve">Return to Outcomes Framework section in document. </w:t>
      </w:r>
    </w:p>
    <w:p w14:paraId="3F3136B7" w14:textId="5853D77A" w:rsidR="00DF1795" w:rsidRPr="00866727" w:rsidRDefault="00DF1795" w:rsidP="00DF1795">
      <w:pPr>
        <w:pStyle w:val="Singlespacedparagraph"/>
        <w:rPr>
          <w:rStyle w:val="Emphasis"/>
        </w:rPr>
      </w:pPr>
      <w:r>
        <w:rPr>
          <w:rFonts w:asciiTheme="minorHAnsi" w:hAnsiTheme="minorHAnsi" w:cstheme="minorHAnsi"/>
          <w:szCs w:val="24"/>
        </w:rPr>
        <w:fldChar w:fldCharType="end"/>
      </w:r>
      <w:r w:rsidR="0099164B" w:rsidRPr="00866727">
        <w:rPr>
          <w:rStyle w:val="Emphasis"/>
        </w:rPr>
        <w:t xml:space="preserve">The following tables, replicate the data featured in graphs in Figures 3 to 7. </w:t>
      </w:r>
    </w:p>
    <w:p w14:paraId="200886D0" w14:textId="77777777" w:rsidR="0099164B" w:rsidRPr="00E411B7" w:rsidRDefault="0099164B" w:rsidP="00DF1795">
      <w:pPr>
        <w:pStyle w:val="Singlespacedparagraph"/>
        <w:rPr>
          <w:rFonts w:asciiTheme="minorHAnsi" w:hAnsiTheme="minorHAnsi" w:cstheme="minorHAnsi"/>
          <w:szCs w:val="24"/>
        </w:rPr>
      </w:pPr>
    </w:p>
    <w:p w14:paraId="15BE7CD5" w14:textId="0291EC5E" w:rsidR="004D7C07" w:rsidRPr="004D7C07" w:rsidRDefault="004D7C07" w:rsidP="00DF1795">
      <w:pPr>
        <w:pStyle w:val="Singlespacedparagraph"/>
        <w:rPr>
          <w:b/>
        </w:rPr>
      </w:pPr>
      <w:bookmarkStart w:id="185" w:name="Figure3table"/>
      <w:r w:rsidRPr="004D7C07">
        <w:rPr>
          <w:b/>
        </w:rPr>
        <w:t>Figure 3</w:t>
      </w:r>
      <w:bookmarkEnd w:id="185"/>
      <w:r w:rsidRPr="004D7C07">
        <w:rPr>
          <w:b/>
        </w:rPr>
        <w:t xml:space="preserve">: </w:t>
      </w:r>
      <w:r w:rsidRPr="004D7C07">
        <w:rPr>
          <w:b/>
          <w:noProof/>
        </w:rPr>
        <w:t>Overall throughput of work over the past 10 years</w:t>
      </w:r>
      <w:r w:rsidRPr="004D7C07">
        <w:rPr>
          <w:b/>
        </w:rPr>
        <w:t xml:space="preserve"> </w:t>
      </w:r>
    </w:p>
    <w:tbl>
      <w:tblPr>
        <w:tblStyle w:val="TableGridAnnualReport"/>
        <w:tblW w:w="7571" w:type="dxa"/>
        <w:tblLook w:val="0420" w:firstRow="1" w:lastRow="0" w:firstColumn="0" w:lastColumn="0" w:noHBand="0" w:noVBand="1"/>
        <w:tblCaption w:val="Table for formatting purposes"/>
      </w:tblPr>
      <w:tblGrid>
        <w:gridCol w:w="1555"/>
        <w:gridCol w:w="1417"/>
        <w:gridCol w:w="1559"/>
        <w:gridCol w:w="1560"/>
        <w:gridCol w:w="1480"/>
      </w:tblGrid>
      <w:tr w:rsidR="004D7C07" w:rsidRPr="004D7C07" w14:paraId="4D52615E" w14:textId="77777777" w:rsidTr="00522D5D">
        <w:trPr>
          <w:cnfStyle w:val="100000000000" w:firstRow="1" w:lastRow="0" w:firstColumn="0" w:lastColumn="0" w:oddVBand="0" w:evenVBand="0" w:oddHBand="0" w:evenHBand="0" w:firstRowFirstColumn="0" w:firstRowLastColumn="0" w:lastRowFirstColumn="0" w:lastRowLastColumn="0"/>
          <w:trHeight w:val="522"/>
        </w:trPr>
        <w:tc>
          <w:tcPr>
            <w:tcW w:w="1555" w:type="dxa"/>
            <w:noWrap/>
            <w:hideMark/>
          </w:tcPr>
          <w:p w14:paraId="76617C80" w14:textId="77CB02EC" w:rsidR="004D7C07" w:rsidRPr="007D57ED" w:rsidRDefault="004D7C07" w:rsidP="00522D5D">
            <w:pPr>
              <w:pStyle w:val="Tableheadingrow1"/>
              <w:rPr>
                <w:rFonts w:ascii="Times New Roman" w:hAnsi="Times New Roman" w:cs="Times New Roman"/>
                <w:b/>
                <w:lang w:eastAsia="en-NZ"/>
              </w:rPr>
            </w:pPr>
            <w:r w:rsidRPr="007D57ED">
              <w:rPr>
                <w:b/>
                <w:lang w:eastAsia="en-NZ"/>
              </w:rPr>
              <w:t>Year</w:t>
            </w:r>
          </w:p>
        </w:tc>
        <w:tc>
          <w:tcPr>
            <w:tcW w:w="1417" w:type="dxa"/>
            <w:noWrap/>
            <w:hideMark/>
          </w:tcPr>
          <w:p w14:paraId="14F223B4" w14:textId="77777777" w:rsidR="004D7C07" w:rsidRPr="007D57ED" w:rsidRDefault="004D7C07" w:rsidP="0099164B">
            <w:pPr>
              <w:pStyle w:val="Tableheadingrow1"/>
              <w:jc w:val="center"/>
              <w:rPr>
                <w:b/>
                <w:lang w:eastAsia="en-NZ"/>
              </w:rPr>
            </w:pPr>
            <w:r w:rsidRPr="007D57ED">
              <w:rPr>
                <w:b/>
                <w:lang w:eastAsia="en-NZ"/>
              </w:rPr>
              <w:t>Received</w:t>
            </w:r>
          </w:p>
        </w:tc>
        <w:tc>
          <w:tcPr>
            <w:tcW w:w="1559" w:type="dxa"/>
            <w:noWrap/>
            <w:hideMark/>
          </w:tcPr>
          <w:p w14:paraId="285064C4" w14:textId="77777777" w:rsidR="004D7C07" w:rsidRPr="007D57ED" w:rsidRDefault="004D7C07" w:rsidP="0099164B">
            <w:pPr>
              <w:pStyle w:val="Tableheadingrow1"/>
              <w:jc w:val="center"/>
              <w:rPr>
                <w:b/>
                <w:lang w:eastAsia="en-NZ"/>
              </w:rPr>
            </w:pPr>
            <w:r w:rsidRPr="007D57ED">
              <w:rPr>
                <w:b/>
                <w:lang w:eastAsia="en-NZ"/>
              </w:rPr>
              <w:t>Under Action in the Year</w:t>
            </w:r>
          </w:p>
        </w:tc>
        <w:tc>
          <w:tcPr>
            <w:tcW w:w="1560" w:type="dxa"/>
            <w:noWrap/>
            <w:hideMark/>
          </w:tcPr>
          <w:p w14:paraId="2F368BC5" w14:textId="77777777" w:rsidR="004D7C07" w:rsidRPr="007D57ED" w:rsidRDefault="004D7C07" w:rsidP="0099164B">
            <w:pPr>
              <w:pStyle w:val="Tableheadingrow1"/>
              <w:jc w:val="center"/>
              <w:rPr>
                <w:b/>
                <w:lang w:eastAsia="en-NZ"/>
              </w:rPr>
            </w:pPr>
            <w:r w:rsidRPr="007D57ED">
              <w:rPr>
                <w:b/>
                <w:lang w:eastAsia="en-NZ"/>
              </w:rPr>
              <w:t>Completed</w:t>
            </w:r>
          </w:p>
        </w:tc>
        <w:tc>
          <w:tcPr>
            <w:tcW w:w="1480" w:type="dxa"/>
            <w:noWrap/>
            <w:hideMark/>
          </w:tcPr>
          <w:p w14:paraId="5A9CD2DD" w14:textId="3AA0B717" w:rsidR="004D7C07" w:rsidRPr="007D57ED" w:rsidRDefault="004D7C07" w:rsidP="0099164B">
            <w:pPr>
              <w:pStyle w:val="Tableheadingrow1"/>
              <w:jc w:val="center"/>
              <w:rPr>
                <w:b/>
                <w:lang w:eastAsia="en-NZ"/>
              </w:rPr>
            </w:pPr>
            <w:r w:rsidRPr="007D57ED">
              <w:rPr>
                <w:b/>
                <w:lang w:eastAsia="en-NZ"/>
              </w:rPr>
              <w:t xml:space="preserve">On Hand at </w:t>
            </w:r>
            <w:r w:rsidRPr="007D57ED">
              <w:rPr>
                <w:b/>
                <w:lang w:eastAsia="en-NZ"/>
              </w:rPr>
              <w:br/>
              <w:t>Year End</w:t>
            </w:r>
          </w:p>
        </w:tc>
      </w:tr>
      <w:tr w:rsidR="004D7C07" w:rsidRPr="004D7C07" w14:paraId="6CA0DE00" w14:textId="77777777" w:rsidTr="00522D5D">
        <w:trPr>
          <w:cnfStyle w:val="000000100000" w:firstRow="0" w:lastRow="0" w:firstColumn="0" w:lastColumn="0" w:oddVBand="0" w:evenVBand="0" w:oddHBand="1" w:evenHBand="0" w:firstRowFirstColumn="0" w:firstRowLastColumn="0" w:lastRowFirstColumn="0" w:lastRowLastColumn="0"/>
          <w:trHeight w:val="255"/>
        </w:trPr>
        <w:tc>
          <w:tcPr>
            <w:tcW w:w="1555" w:type="dxa"/>
            <w:noWrap/>
            <w:hideMark/>
          </w:tcPr>
          <w:p w14:paraId="6C6E415E" w14:textId="77777777" w:rsidR="004D7C07" w:rsidRPr="004D7C07" w:rsidRDefault="004D7C07" w:rsidP="007D57ED">
            <w:pPr>
              <w:pStyle w:val="Tablesinglespacedparagraph"/>
              <w:rPr>
                <w:lang w:eastAsia="en-NZ"/>
              </w:rPr>
            </w:pPr>
            <w:r w:rsidRPr="004D7C07">
              <w:rPr>
                <w:lang w:eastAsia="en-NZ"/>
              </w:rPr>
              <w:t>Jun-10</w:t>
            </w:r>
          </w:p>
        </w:tc>
        <w:tc>
          <w:tcPr>
            <w:tcW w:w="1417" w:type="dxa"/>
            <w:noWrap/>
            <w:hideMark/>
          </w:tcPr>
          <w:p w14:paraId="5CCE9467" w14:textId="77777777" w:rsidR="004D7C07" w:rsidRPr="004D7C07" w:rsidRDefault="004D7C07" w:rsidP="0099164B">
            <w:pPr>
              <w:pStyle w:val="Tablesinglespacedparagraph"/>
              <w:jc w:val="center"/>
              <w:rPr>
                <w:lang w:eastAsia="en-NZ"/>
              </w:rPr>
            </w:pPr>
            <w:r w:rsidRPr="004D7C07">
              <w:rPr>
                <w:lang w:eastAsia="en-NZ"/>
              </w:rPr>
              <w:t>9950</w:t>
            </w:r>
          </w:p>
        </w:tc>
        <w:tc>
          <w:tcPr>
            <w:tcW w:w="1559" w:type="dxa"/>
            <w:noWrap/>
            <w:hideMark/>
          </w:tcPr>
          <w:p w14:paraId="7C202AED" w14:textId="77777777" w:rsidR="004D7C07" w:rsidRPr="004D7C07" w:rsidRDefault="004D7C07" w:rsidP="0099164B">
            <w:pPr>
              <w:pStyle w:val="Tablesinglespacedparagraph"/>
              <w:jc w:val="center"/>
              <w:rPr>
                <w:lang w:eastAsia="en-NZ"/>
              </w:rPr>
            </w:pPr>
            <w:r w:rsidRPr="004D7C07">
              <w:rPr>
                <w:lang w:eastAsia="en-NZ"/>
              </w:rPr>
              <w:t>11294</w:t>
            </w:r>
          </w:p>
        </w:tc>
        <w:tc>
          <w:tcPr>
            <w:tcW w:w="1560" w:type="dxa"/>
            <w:noWrap/>
            <w:hideMark/>
          </w:tcPr>
          <w:p w14:paraId="791BBB6F" w14:textId="77777777" w:rsidR="004D7C07" w:rsidRPr="004D7C07" w:rsidRDefault="004D7C07" w:rsidP="0099164B">
            <w:pPr>
              <w:pStyle w:val="Tablesinglespacedparagraph"/>
              <w:jc w:val="center"/>
              <w:rPr>
                <w:lang w:eastAsia="en-NZ"/>
              </w:rPr>
            </w:pPr>
            <w:r w:rsidRPr="004D7C07">
              <w:rPr>
                <w:lang w:eastAsia="en-NZ"/>
              </w:rPr>
              <w:t>9574</w:t>
            </w:r>
          </w:p>
        </w:tc>
        <w:tc>
          <w:tcPr>
            <w:tcW w:w="1480" w:type="dxa"/>
            <w:noWrap/>
            <w:hideMark/>
          </w:tcPr>
          <w:p w14:paraId="37F27C8C" w14:textId="77777777" w:rsidR="004D7C07" w:rsidRPr="004D7C07" w:rsidRDefault="004D7C07" w:rsidP="0099164B">
            <w:pPr>
              <w:pStyle w:val="Tablesinglespacedparagraph"/>
              <w:jc w:val="center"/>
              <w:rPr>
                <w:lang w:eastAsia="en-NZ"/>
              </w:rPr>
            </w:pPr>
            <w:r w:rsidRPr="004D7C07">
              <w:rPr>
                <w:lang w:eastAsia="en-NZ"/>
              </w:rPr>
              <w:t>1720</w:t>
            </w:r>
          </w:p>
        </w:tc>
      </w:tr>
      <w:tr w:rsidR="004D7C07" w:rsidRPr="004D7C07" w14:paraId="20BC631C" w14:textId="77777777" w:rsidTr="00522D5D">
        <w:trPr>
          <w:cnfStyle w:val="000000010000" w:firstRow="0" w:lastRow="0" w:firstColumn="0" w:lastColumn="0" w:oddVBand="0" w:evenVBand="0" w:oddHBand="0" w:evenHBand="1" w:firstRowFirstColumn="0" w:firstRowLastColumn="0" w:lastRowFirstColumn="0" w:lastRowLastColumn="0"/>
          <w:trHeight w:val="255"/>
        </w:trPr>
        <w:tc>
          <w:tcPr>
            <w:tcW w:w="1555" w:type="dxa"/>
            <w:noWrap/>
            <w:hideMark/>
          </w:tcPr>
          <w:p w14:paraId="7271895A" w14:textId="77777777" w:rsidR="004D7C07" w:rsidRPr="004D7C07" w:rsidRDefault="004D7C07" w:rsidP="007D57ED">
            <w:pPr>
              <w:pStyle w:val="Tablesinglespacedparagraph"/>
              <w:rPr>
                <w:lang w:eastAsia="en-NZ"/>
              </w:rPr>
            </w:pPr>
            <w:r w:rsidRPr="004D7C07">
              <w:rPr>
                <w:lang w:eastAsia="en-NZ"/>
              </w:rPr>
              <w:t>Jun-11</w:t>
            </w:r>
          </w:p>
        </w:tc>
        <w:tc>
          <w:tcPr>
            <w:tcW w:w="1417" w:type="dxa"/>
            <w:noWrap/>
            <w:hideMark/>
          </w:tcPr>
          <w:p w14:paraId="08AF3C82" w14:textId="77777777" w:rsidR="004D7C07" w:rsidRPr="004D7C07" w:rsidRDefault="004D7C07" w:rsidP="0099164B">
            <w:pPr>
              <w:pStyle w:val="Tablesinglespacedparagraph"/>
              <w:jc w:val="center"/>
              <w:rPr>
                <w:lang w:eastAsia="en-NZ"/>
              </w:rPr>
            </w:pPr>
            <w:r w:rsidRPr="004D7C07">
              <w:rPr>
                <w:lang w:eastAsia="en-NZ"/>
              </w:rPr>
              <w:t>8706</w:t>
            </w:r>
          </w:p>
        </w:tc>
        <w:tc>
          <w:tcPr>
            <w:tcW w:w="1559" w:type="dxa"/>
            <w:noWrap/>
            <w:hideMark/>
          </w:tcPr>
          <w:p w14:paraId="45B0EF9D" w14:textId="14A56888" w:rsidR="004D7C07" w:rsidRPr="004D7C07" w:rsidRDefault="004D7C07" w:rsidP="0099164B">
            <w:pPr>
              <w:pStyle w:val="Tablesinglespacedparagraph"/>
              <w:jc w:val="center"/>
              <w:rPr>
                <w:lang w:eastAsia="en-NZ"/>
              </w:rPr>
            </w:pPr>
            <w:r w:rsidRPr="004D7C07">
              <w:rPr>
                <w:lang w:eastAsia="en-NZ"/>
              </w:rPr>
              <w:t>10</w:t>
            </w:r>
            <w:r>
              <w:rPr>
                <w:lang w:eastAsia="en-NZ"/>
              </w:rPr>
              <w:t>,</w:t>
            </w:r>
            <w:r w:rsidRPr="004D7C07">
              <w:rPr>
                <w:lang w:eastAsia="en-NZ"/>
              </w:rPr>
              <w:t>436</w:t>
            </w:r>
          </w:p>
        </w:tc>
        <w:tc>
          <w:tcPr>
            <w:tcW w:w="1560" w:type="dxa"/>
            <w:noWrap/>
            <w:hideMark/>
          </w:tcPr>
          <w:p w14:paraId="2FE53034" w14:textId="77777777" w:rsidR="004D7C07" w:rsidRPr="004D7C07" w:rsidRDefault="004D7C07" w:rsidP="0099164B">
            <w:pPr>
              <w:pStyle w:val="Tablesinglespacedparagraph"/>
              <w:jc w:val="center"/>
              <w:rPr>
                <w:lang w:eastAsia="en-NZ"/>
              </w:rPr>
            </w:pPr>
            <w:r w:rsidRPr="004D7C07">
              <w:rPr>
                <w:lang w:eastAsia="en-NZ"/>
              </w:rPr>
              <w:t>9077</w:t>
            </w:r>
          </w:p>
        </w:tc>
        <w:tc>
          <w:tcPr>
            <w:tcW w:w="1480" w:type="dxa"/>
            <w:noWrap/>
            <w:hideMark/>
          </w:tcPr>
          <w:p w14:paraId="06771063" w14:textId="77777777" w:rsidR="004D7C07" w:rsidRPr="004D7C07" w:rsidRDefault="004D7C07" w:rsidP="0099164B">
            <w:pPr>
              <w:pStyle w:val="Tablesinglespacedparagraph"/>
              <w:jc w:val="center"/>
              <w:rPr>
                <w:lang w:eastAsia="en-NZ"/>
              </w:rPr>
            </w:pPr>
            <w:r w:rsidRPr="004D7C07">
              <w:rPr>
                <w:lang w:eastAsia="en-NZ"/>
              </w:rPr>
              <w:t>1359</w:t>
            </w:r>
          </w:p>
        </w:tc>
      </w:tr>
      <w:tr w:rsidR="004D7C07" w:rsidRPr="004D7C07" w14:paraId="76A608AF" w14:textId="77777777" w:rsidTr="00522D5D">
        <w:trPr>
          <w:cnfStyle w:val="000000100000" w:firstRow="0" w:lastRow="0" w:firstColumn="0" w:lastColumn="0" w:oddVBand="0" w:evenVBand="0" w:oddHBand="1" w:evenHBand="0" w:firstRowFirstColumn="0" w:firstRowLastColumn="0" w:lastRowFirstColumn="0" w:lastRowLastColumn="0"/>
          <w:trHeight w:val="255"/>
        </w:trPr>
        <w:tc>
          <w:tcPr>
            <w:tcW w:w="1555" w:type="dxa"/>
            <w:noWrap/>
            <w:hideMark/>
          </w:tcPr>
          <w:p w14:paraId="7632E509" w14:textId="77777777" w:rsidR="004D7C07" w:rsidRPr="004D7C07" w:rsidRDefault="004D7C07" w:rsidP="007D57ED">
            <w:pPr>
              <w:pStyle w:val="Tablesinglespacedparagraph"/>
              <w:rPr>
                <w:lang w:eastAsia="en-NZ"/>
              </w:rPr>
            </w:pPr>
            <w:r w:rsidRPr="004D7C07">
              <w:rPr>
                <w:lang w:eastAsia="en-NZ"/>
              </w:rPr>
              <w:t>Jun-12</w:t>
            </w:r>
          </w:p>
        </w:tc>
        <w:tc>
          <w:tcPr>
            <w:tcW w:w="1417" w:type="dxa"/>
            <w:noWrap/>
            <w:hideMark/>
          </w:tcPr>
          <w:p w14:paraId="19898F7F" w14:textId="6103ADE2" w:rsidR="004D7C07" w:rsidRPr="004D7C07" w:rsidRDefault="004D7C07" w:rsidP="0099164B">
            <w:pPr>
              <w:pStyle w:val="Tablesinglespacedparagraph"/>
              <w:jc w:val="center"/>
              <w:rPr>
                <w:lang w:eastAsia="en-NZ"/>
              </w:rPr>
            </w:pPr>
            <w:r w:rsidRPr="004D7C07">
              <w:rPr>
                <w:lang w:eastAsia="en-NZ"/>
              </w:rPr>
              <w:t>10</w:t>
            </w:r>
            <w:r>
              <w:rPr>
                <w:lang w:eastAsia="en-NZ"/>
              </w:rPr>
              <w:t>,</w:t>
            </w:r>
            <w:r w:rsidRPr="004D7C07">
              <w:rPr>
                <w:lang w:eastAsia="en-NZ"/>
              </w:rPr>
              <w:t>636</w:t>
            </w:r>
          </w:p>
        </w:tc>
        <w:tc>
          <w:tcPr>
            <w:tcW w:w="1559" w:type="dxa"/>
            <w:noWrap/>
            <w:hideMark/>
          </w:tcPr>
          <w:p w14:paraId="4D52AD1D" w14:textId="7F999EC9" w:rsidR="004D7C07" w:rsidRPr="004D7C07" w:rsidRDefault="004D7C07" w:rsidP="0099164B">
            <w:pPr>
              <w:pStyle w:val="Tablesinglespacedparagraph"/>
              <w:jc w:val="center"/>
              <w:rPr>
                <w:lang w:eastAsia="en-NZ"/>
              </w:rPr>
            </w:pPr>
            <w:r w:rsidRPr="004D7C07">
              <w:rPr>
                <w:lang w:eastAsia="en-NZ"/>
              </w:rPr>
              <w:t>11</w:t>
            </w:r>
            <w:r>
              <w:rPr>
                <w:lang w:eastAsia="en-NZ"/>
              </w:rPr>
              <w:t>,</w:t>
            </w:r>
            <w:r w:rsidRPr="004D7C07">
              <w:rPr>
                <w:lang w:eastAsia="en-NZ"/>
              </w:rPr>
              <w:t>996</w:t>
            </w:r>
          </w:p>
        </w:tc>
        <w:tc>
          <w:tcPr>
            <w:tcW w:w="1560" w:type="dxa"/>
            <w:noWrap/>
            <w:hideMark/>
          </w:tcPr>
          <w:p w14:paraId="77C8114A" w14:textId="3A0C3CB6" w:rsidR="004D7C07" w:rsidRPr="004D7C07" w:rsidRDefault="004D7C07" w:rsidP="0099164B">
            <w:pPr>
              <w:pStyle w:val="Tablesinglespacedparagraph"/>
              <w:jc w:val="center"/>
              <w:rPr>
                <w:lang w:eastAsia="en-NZ"/>
              </w:rPr>
            </w:pPr>
            <w:r w:rsidRPr="004D7C07">
              <w:rPr>
                <w:lang w:eastAsia="en-NZ"/>
              </w:rPr>
              <w:t>10</w:t>
            </w:r>
            <w:r>
              <w:rPr>
                <w:lang w:eastAsia="en-NZ"/>
              </w:rPr>
              <w:t>,</w:t>
            </w:r>
            <w:r w:rsidRPr="004D7C07">
              <w:rPr>
                <w:lang w:eastAsia="en-NZ"/>
              </w:rPr>
              <w:t>250</w:t>
            </w:r>
          </w:p>
        </w:tc>
        <w:tc>
          <w:tcPr>
            <w:tcW w:w="1480" w:type="dxa"/>
            <w:noWrap/>
            <w:hideMark/>
          </w:tcPr>
          <w:p w14:paraId="514C4954" w14:textId="77777777" w:rsidR="004D7C07" w:rsidRPr="004D7C07" w:rsidRDefault="004D7C07" w:rsidP="0099164B">
            <w:pPr>
              <w:pStyle w:val="Tablesinglespacedparagraph"/>
              <w:jc w:val="center"/>
              <w:rPr>
                <w:lang w:eastAsia="en-NZ"/>
              </w:rPr>
            </w:pPr>
            <w:r w:rsidRPr="004D7C07">
              <w:rPr>
                <w:lang w:eastAsia="en-NZ"/>
              </w:rPr>
              <w:t>1746</w:t>
            </w:r>
          </w:p>
        </w:tc>
      </w:tr>
      <w:tr w:rsidR="004D7C07" w:rsidRPr="004D7C07" w14:paraId="7D1F69C3" w14:textId="77777777" w:rsidTr="00522D5D">
        <w:trPr>
          <w:cnfStyle w:val="000000010000" w:firstRow="0" w:lastRow="0" w:firstColumn="0" w:lastColumn="0" w:oddVBand="0" w:evenVBand="0" w:oddHBand="0" w:evenHBand="1" w:firstRowFirstColumn="0" w:firstRowLastColumn="0" w:lastRowFirstColumn="0" w:lastRowLastColumn="0"/>
          <w:trHeight w:val="255"/>
        </w:trPr>
        <w:tc>
          <w:tcPr>
            <w:tcW w:w="1555" w:type="dxa"/>
            <w:hideMark/>
          </w:tcPr>
          <w:p w14:paraId="5AA8145D" w14:textId="77777777" w:rsidR="004D7C07" w:rsidRPr="004D7C07" w:rsidRDefault="004D7C07" w:rsidP="007D57ED">
            <w:pPr>
              <w:pStyle w:val="Tablesinglespacedparagraph"/>
              <w:rPr>
                <w:lang w:eastAsia="en-NZ"/>
              </w:rPr>
            </w:pPr>
            <w:r w:rsidRPr="004D7C07">
              <w:rPr>
                <w:lang w:eastAsia="en-NZ"/>
              </w:rPr>
              <w:t>Jun-13</w:t>
            </w:r>
          </w:p>
        </w:tc>
        <w:tc>
          <w:tcPr>
            <w:tcW w:w="1417" w:type="dxa"/>
            <w:noWrap/>
            <w:hideMark/>
          </w:tcPr>
          <w:p w14:paraId="7D22181C" w14:textId="1B60BC44" w:rsidR="004D7C07" w:rsidRPr="004D7C07" w:rsidRDefault="004D7C07" w:rsidP="0099164B">
            <w:pPr>
              <w:pStyle w:val="Tablesinglespacedparagraph"/>
              <w:jc w:val="center"/>
              <w:rPr>
                <w:lang w:eastAsia="en-NZ"/>
              </w:rPr>
            </w:pPr>
            <w:r w:rsidRPr="004D7C07">
              <w:rPr>
                <w:lang w:eastAsia="en-NZ"/>
              </w:rPr>
              <w:t>13</w:t>
            </w:r>
            <w:r>
              <w:rPr>
                <w:lang w:eastAsia="en-NZ"/>
              </w:rPr>
              <w:t>,</w:t>
            </w:r>
            <w:r w:rsidRPr="004D7C07">
              <w:rPr>
                <w:lang w:eastAsia="en-NZ"/>
              </w:rPr>
              <w:t>684</w:t>
            </w:r>
          </w:p>
        </w:tc>
        <w:tc>
          <w:tcPr>
            <w:tcW w:w="1559" w:type="dxa"/>
            <w:noWrap/>
            <w:hideMark/>
          </w:tcPr>
          <w:p w14:paraId="2003F2B2" w14:textId="27B3EC43" w:rsidR="004D7C07" w:rsidRPr="004D7C07" w:rsidRDefault="004D7C07" w:rsidP="0099164B">
            <w:pPr>
              <w:pStyle w:val="Tablesinglespacedparagraph"/>
              <w:jc w:val="center"/>
              <w:rPr>
                <w:lang w:eastAsia="en-NZ"/>
              </w:rPr>
            </w:pPr>
            <w:r w:rsidRPr="004D7C07">
              <w:rPr>
                <w:lang w:eastAsia="en-NZ"/>
              </w:rPr>
              <w:t>15</w:t>
            </w:r>
            <w:r>
              <w:rPr>
                <w:lang w:eastAsia="en-NZ"/>
              </w:rPr>
              <w:t>,</w:t>
            </w:r>
            <w:r w:rsidRPr="004D7C07">
              <w:rPr>
                <w:lang w:eastAsia="en-NZ"/>
              </w:rPr>
              <w:t>430</w:t>
            </w:r>
          </w:p>
        </w:tc>
        <w:tc>
          <w:tcPr>
            <w:tcW w:w="1560" w:type="dxa"/>
            <w:noWrap/>
            <w:hideMark/>
          </w:tcPr>
          <w:p w14:paraId="52824857" w14:textId="5574802D" w:rsidR="004D7C07" w:rsidRPr="004D7C07" w:rsidRDefault="004D7C07" w:rsidP="0099164B">
            <w:pPr>
              <w:pStyle w:val="Tablesinglespacedparagraph"/>
              <w:jc w:val="center"/>
              <w:rPr>
                <w:lang w:eastAsia="en-NZ"/>
              </w:rPr>
            </w:pPr>
            <w:r w:rsidRPr="004D7C07">
              <w:rPr>
                <w:lang w:eastAsia="en-NZ"/>
              </w:rPr>
              <w:t>13</w:t>
            </w:r>
            <w:r>
              <w:rPr>
                <w:lang w:eastAsia="en-NZ"/>
              </w:rPr>
              <w:t>,</w:t>
            </w:r>
            <w:r w:rsidRPr="004D7C07">
              <w:rPr>
                <w:lang w:eastAsia="en-NZ"/>
              </w:rPr>
              <w:t>358</w:t>
            </w:r>
          </w:p>
        </w:tc>
        <w:tc>
          <w:tcPr>
            <w:tcW w:w="1480" w:type="dxa"/>
            <w:noWrap/>
            <w:hideMark/>
          </w:tcPr>
          <w:p w14:paraId="6B1E1BDA" w14:textId="77777777" w:rsidR="004D7C07" w:rsidRPr="004D7C07" w:rsidRDefault="004D7C07" w:rsidP="0099164B">
            <w:pPr>
              <w:pStyle w:val="Tablesinglespacedparagraph"/>
              <w:jc w:val="center"/>
              <w:rPr>
                <w:lang w:eastAsia="en-NZ"/>
              </w:rPr>
            </w:pPr>
            <w:r w:rsidRPr="004D7C07">
              <w:rPr>
                <w:lang w:eastAsia="en-NZ"/>
              </w:rPr>
              <w:t>2072</w:t>
            </w:r>
          </w:p>
        </w:tc>
      </w:tr>
      <w:tr w:rsidR="004D7C07" w:rsidRPr="004D7C07" w14:paraId="695F5431" w14:textId="77777777" w:rsidTr="00522D5D">
        <w:trPr>
          <w:cnfStyle w:val="000000100000" w:firstRow="0" w:lastRow="0" w:firstColumn="0" w:lastColumn="0" w:oddVBand="0" w:evenVBand="0" w:oddHBand="1" w:evenHBand="0" w:firstRowFirstColumn="0" w:firstRowLastColumn="0" w:lastRowFirstColumn="0" w:lastRowLastColumn="0"/>
          <w:trHeight w:val="255"/>
        </w:trPr>
        <w:tc>
          <w:tcPr>
            <w:tcW w:w="1555" w:type="dxa"/>
            <w:noWrap/>
            <w:hideMark/>
          </w:tcPr>
          <w:p w14:paraId="39294983" w14:textId="77777777" w:rsidR="004D7C07" w:rsidRPr="004D7C07" w:rsidRDefault="004D7C07" w:rsidP="007D57ED">
            <w:pPr>
              <w:pStyle w:val="Tablesinglespacedparagraph"/>
              <w:rPr>
                <w:lang w:eastAsia="en-NZ"/>
              </w:rPr>
            </w:pPr>
            <w:r w:rsidRPr="004D7C07">
              <w:rPr>
                <w:lang w:eastAsia="en-NZ"/>
              </w:rPr>
              <w:t>Jun-14</w:t>
            </w:r>
          </w:p>
        </w:tc>
        <w:tc>
          <w:tcPr>
            <w:tcW w:w="1417" w:type="dxa"/>
            <w:noWrap/>
            <w:hideMark/>
          </w:tcPr>
          <w:p w14:paraId="7FF6012D" w14:textId="0D96470A" w:rsidR="004D7C07" w:rsidRPr="004D7C07" w:rsidRDefault="004D7C07" w:rsidP="0099164B">
            <w:pPr>
              <w:pStyle w:val="Tablesinglespacedparagraph"/>
              <w:jc w:val="center"/>
              <w:rPr>
                <w:lang w:eastAsia="en-NZ"/>
              </w:rPr>
            </w:pPr>
            <w:r w:rsidRPr="004D7C07">
              <w:rPr>
                <w:lang w:eastAsia="en-NZ"/>
              </w:rPr>
              <w:t>11</w:t>
            </w:r>
            <w:r>
              <w:rPr>
                <w:lang w:eastAsia="en-NZ"/>
              </w:rPr>
              <w:t>,</w:t>
            </w:r>
            <w:r w:rsidRPr="004D7C07">
              <w:rPr>
                <w:lang w:eastAsia="en-NZ"/>
              </w:rPr>
              <w:t>044</w:t>
            </w:r>
          </w:p>
        </w:tc>
        <w:tc>
          <w:tcPr>
            <w:tcW w:w="1559" w:type="dxa"/>
            <w:noWrap/>
            <w:hideMark/>
          </w:tcPr>
          <w:p w14:paraId="1B980C58" w14:textId="62E2C1D4" w:rsidR="004D7C07" w:rsidRPr="004D7C07" w:rsidRDefault="004D7C07" w:rsidP="0099164B">
            <w:pPr>
              <w:pStyle w:val="Tablesinglespacedparagraph"/>
              <w:jc w:val="center"/>
              <w:rPr>
                <w:lang w:eastAsia="en-NZ"/>
              </w:rPr>
            </w:pPr>
            <w:r w:rsidRPr="004D7C07">
              <w:rPr>
                <w:lang w:eastAsia="en-NZ"/>
              </w:rPr>
              <w:t>13</w:t>
            </w:r>
            <w:r>
              <w:rPr>
                <w:lang w:eastAsia="en-NZ"/>
              </w:rPr>
              <w:t>,</w:t>
            </w:r>
            <w:r w:rsidRPr="004D7C07">
              <w:rPr>
                <w:lang w:eastAsia="en-NZ"/>
              </w:rPr>
              <w:t>116</w:t>
            </w:r>
          </w:p>
        </w:tc>
        <w:tc>
          <w:tcPr>
            <w:tcW w:w="1560" w:type="dxa"/>
            <w:noWrap/>
            <w:hideMark/>
          </w:tcPr>
          <w:p w14:paraId="331E3C26" w14:textId="3D43445F" w:rsidR="004D7C07" w:rsidRPr="004D7C07" w:rsidRDefault="004D7C07" w:rsidP="0099164B">
            <w:pPr>
              <w:pStyle w:val="Tablesinglespacedparagraph"/>
              <w:jc w:val="center"/>
              <w:rPr>
                <w:lang w:eastAsia="en-NZ"/>
              </w:rPr>
            </w:pPr>
            <w:r w:rsidRPr="004D7C07">
              <w:rPr>
                <w:lang w:eastAsia="en-NZ"/>
              </w:rPr>
              <w:t>11</w:t>
            </w:r>
            <w:r>
              <w:rPr>
                <w:lang w:eastAsia="en-NZ"/>
              </w:rPr>
              <w:t>,</w:t>
            </w:r>
            <w:r w:rsidRPr="004D7C07">
              <w:rPr>
                <w:lang w:eastAsia="en-NZ"/>
              </w:rPr>
              <w:t>505</w:t>
            </w:r>
          </w:p>
        </w:tc>
        <w:tc>
          <w:tcPr>
            <w:tcW w:w="1480" w:type="dxa"/>
            <w:noWrap/>
            <w:hideMark/>
          </w:tcPr>
          <w:p w14:paraId="29F64FC7" w14:textId="77777777" w:rsidR="004D7C07" w:rsidRPr="004D7C07" w:rsidRDefault="004D7C07" w:rsidP="0099164B">
            <w:pPr>
              <w:pStyle w:val="Tablesinglespacedparagraph"/>
              <w:jc w:val="center"/>
              <w:rPr>
                <w:lang w:eastAsia="en-NZ"/>
              </w:rPr>
            </w:pPr>
            <w:r w:rsidRPr="004D7C07">
              <w:rPr>
                <w:lang w:eastAsia="en-NZ"/>
              </w:rPr>
              <w:t>1602</w:t>
            </w:r>
          </w:p>
        </w:tc>
      </w:tr>
      <w:tr w:rsidR="004D7C07" w:rsidRPr="004D7C07" w14:paraId="46435C04" w14:textId="77777777" w:rsidTr="00522D5D">
        <w:trPr>
          <w:cnfStyle w:val="000000010000" w:firstRow="0" w:lastRow="0" w:firstColumn="0" w:lastColumn="0" w:oddVBand="0" w:evenVBand="0" w:oddHBand="0" w:evenHBand="1" w:firstRowFirstColumn="0" w:firstRowLastColumn="0" w:lastRowFirstColumn="0" w:lastRowLastColumn="0"/>
          <w:trHeight w:val="255"/>
        </w:trPr>
        <w:tc>
          <w:tcPr>
            <w:tcW w:w="1555" w:type="dxa"/>
            <w:noWrap/>
            <w:hideMark/>
          </w:tcPr>
          <w:p w14:paraId="092DBFE9" w14:textId="77777777" w:rsidR="004D7C07" w:rsidRPr="004D7C07" w:rsidRDefault="004D7C07" w:rsidP="007D57ED">
            <w:pPr>
              <w:pStyle w:val="Tablesinglespacedparagraph"/>
              <w:rPr>
                <w:lang w:eastAsia="en-NZ"/>
              </w:rPr>
            </w:pPr>
            <w:r w:rsidRPr="004D7C07">
              <w:rPr>
                <w:lang w:eastAsia="en-NZ"/>
              </w:rPr>
              <w:t>Jun-15</w:t>
            </w:r>
          </w:p>
        </w:tc>
        <w:tc>
          <w:tcPr>
            <w:tcW w:w="1417" w:type="dxa"/>
            <w:noWrap/>
            <w:hideMark/>
          </w:tcPr>
          <w:p w14:paraId="3B27F488" w14:textId="77777777" w:rsidR="004D7C07" w:rsidRPr="004D7C07" w:rsidRDefault="004D7C07" w:rsidP="0099164B">
            <w:pPr>
              <w:pStyle w:val="Tablesinglespacedparagraph"/>
              <w:jc w:val="center"/>
              <w:rPr>
                <w:lang w:eastAsia="en-NZ"/>
              </w:rPr>
            </w:pPr>
            <w:r w:rsidRPr="004D7C07">
              <w:rPr>
                <w:lang w:eastAsia="en-NZ"/>
              </w:rPr>
              <w:t>12,151</w:t>
            </w:r>
          </w:p>
        </w:tc>
        <w:tc>
          <w:tcPr>
            <w:tcW w:w="1559" w:type="dxa"/>
            <w:noWrap/>
            <w:hideMark/>
          </w:tcPr>
          <w:p w14:paraId="06DCE9AA" w14:textId="33A01727" w:rsidR="004D7C07" w:rsidRPr="004D7C07" w:rsidRDefault="004D7C07" w:rsidP="0099164B">
            <w:pPr>
              <w:pStyle w:val="Tablesinglespacedparagraph"/>
              <w:jc w:val="center"/>
              <w:rPr>
                <w:lang w:eastAsia="en-NZ"/>
              </w:rPr>
            </w:pPr>
            <w:r w:rsidRPr="004D7C07">
              <w:rPr>
                <w:lang w:eastAsia="en-NZ"/>
              </w:rPr>
              <w:t>13</w:t>
            </w:r>
            <w:r>
              <w:rPr>
                <w:lang w:eastAsia="en-NZ"/>
              </w:rPr>
              <w:t>,</w:t>
            </w:r>
            <w:r w:rsidRPr="004D7C07">
              <w:rPr>
                <w:lang w:eastAsia="en-NZ"/>
              </w:rPr>
              <w:t>753</w:t>
            </w:r>
          </w:p>
        </w:tc>
        <w:tc>
          <w:tcPr>
            <w:tcW w:w="1560" w:type="dxa"/>
            <w:noWrap/>
            <w:hideMark/>
          </w:tcPr>
          <w:p w14:paraId="63FCD395" w14:textId="77777777" w:rsidR="004D7C07" w:rsidRPr="004D7C07" w:rsidRDefault="004D7C07" w:rsidP="0099164B">
            <w:pPr>
              <w:pStyle w:val="Tablesinglespacedparagraph"/>
              <w:jc w:val="center"/>
              <w:rPr>
                <w:lang w:eastAsia="en-NZ"/>
              </w:rPr>
            </w:pPr>
            <w:r w:rsidRPr="004D7C07">
              <w:rPr>
                <w:lang w:eastAsia="en-NZ"/>
              </w:rPr>
              <w:t>11,964</w:t>
            </w:r>
          </w:p>
        </w:tc>
        <w:tc>
          <w:tcPr>
            <w:tcW w:w="1480" w:type="dxa"/>
            <w:noWrap/>
            <w:hideMark/>
          </w:tcPr>
          <w:p w14:paraId="754DD723" w14:textId="77777777" w:rsidR="004D7C07" w:rsidRPr="004D7C07" w:rsidRDefault="004D7C07" w:rsidP="0099164B">
            <w:pPr>
              <w:pStyle w:val="Tablesinglespacedparagraph"/>
              <w:jc w:val="center"/>
              <w:rPr>
                <w:lang w:eastAsia="en-NZ"/>
              </w:rPr>
            </w:pPr>
            <w:r w:rsidRPr="004D7C07">
              <w:rPr>
                <w:lang w:eastAsia="en-NZ"/>
              </w:rPr>
              <w:t>1787</w:t>
            </w:r>
          </w:p>
        </w:tc>
      </w:tr>
      <w:tr w:rsidR="004D7C07" w:rsidRPr="004D7C07" w14:paraId="697E7151" w14:textId="77777777" w:rsidTr="00522D5D">
        <w:trPr>
          <w:cnfStyle w:val="000000100000" w:firstRow="0" w:lastRow="0" w:firstColumn="0" w:lastColumn="0" w:oddVBand="0" w:evenVBand="0" w:oddHBand="1" w:evenHBand="0" w:firstRowFirstColumn="0" w:firstRowLastColumn="0" w:lastRowFirstColumn="0" w:lastRowLastColumn="0"/>
          <w:trHeight w:val="255"/>
        </w:trPr>
        <w:tc>
          <w:tcPr>
            <w:tcW w:w="1555" w:type="dxa"/>
            <w:noWrap/>
            <w:hideMark/>
          </w:tcPr>
          <w:p w14:paraId="212DDA80" w14:textId="77777777" w:rsidR="004D7C07" w:rsidRPr="004D7C07" w:rsidRDefault="004D7C07" w:rsidP="007D57ED">
            <w:pPr>
              <w:pStyle w:val="Tablesinglespacedparagraph"/>
              <w:rPr>
                <w:lang w:eastAsia="en-NZ"/>
              </w:rPr>
            </w:pPr>
            <w:r w:rsidRPr="004D7C07">
              <w:rPr>
                <w:lang w:eastAsia="en-NZ"/>
              </w:rPr>
              <w:t>Jun-16</w:t>
            </w:r>
          </w:p>
        </w:tc>
        <w:tc>
          <w:tcPr>
            <w:tcW w:w="1417" w:type="dxa"/>
            <w:noWrap/>
            <w:hideMark/>
          </w:tcPr>
          <w:p w14:paraId="77241A31" w14:textId="77777777" w:rsidR="004D7C07" w:rsidRPr="004D7C07" w:rsidRDefault="004D7C07" w:rsidP="0099164B">
            <w:pPr>
              <w:pStyle w:val="Tablesinglespacedparagraph"/>
              <w:jc w:val="center"/>
              <w:rPr>
                <w:lang w:eastAsia="en-NZ"/>
              </w:rPr>
            </w:pPr>
            <w:r w:rsidRPr="004D7C07">
              <w:rPr>
                <w:lang w:eastAsia="en-NZ"/>
              </w:rPr>
              <w:t>12,595</w:t>
            </w:r>
          </w:p>
        </w:tc>
        <w:tc>
          <w:tcPr>
            <w:tcW w:w="1559" w:type="dxa"/>
            <w:noWrap/>
            <w:hideMark/>
          </w:tcPr>
          <w:p w14:paraId="3F0DC4C2" w14:textId="77777777" w:rsidR="004D7C07" w:rsidRPr="004D7C07" w:rsidRDefault="004D7C07" w:rsidP="0099164B">
            <w:pPr>
              <w:pStyle w:val="Tablesinglespacedparagraph"/>
              <w:jc w:val="center"/>
              <w:rPr>
                <w:lang w:eastAsia="en-NZ"/>
              </w:rPr>
            </w:pPr>
            <w:r w:rsidRPr="004D7C07">
              <w:rPr>
                <w:lang w:eastAsia="en-NZ"/>
              </w:rPr>
              <w:t>14,382</w:t>
            </w:r>
          </w:p>
        </w:tc>
        <w:tc>
          <w:tcPr>
            <w:tcW w:w="1560" w:type="dxa"/>
            <w:noWrap/>
            <w:hideMark/>
          </w:tcPr>
          <w:p w14:paraId="0E42232B" w14:textId="77777777" w:rsidR="004D7C07" w:rsidRPr="004D7C07" w:rsidRDefault="004D7C07" w:rsidP="0099164B">
            <w:pPr>
              <w:pStyle w:val="Tablesinglespacedparagraph"/>
              <w:jc w:val="center"/>
              <w:rPr>
                <w:lang w:eastAsia="en-NZ"/>
              </w:rPr>
            </w:pPr>
            <w:r w:rsidRPr="004D7C07">
              <w:rPr>
                <w:lang w:eastAsia="en-NZ"/>
              </w:rPr>
              <w:t>12,786</w:t>
            </w:r>
          </w:p>
        </w:tc>
        <w:tc>
          <w:tcPr>
            <w:tcW w:w="1480" w:type="dxa"/>
            <w:noWrap/>
            <w:hideMark/>
          </w:tcPr>
          <w:p w14:paraId="1A4BD030" w14:textId="65018611" w:rsidR="004D7C07" w:rsidRPr="004D7C07" w:rsidRDefault="004D7C07" w:rsidP="0099164B">
            <w:pPr>
              <w:pStyle w:val="Tablesinglespacedparagraph"/>
              <w:jc w:val="center"/>
              <w:rPr>
                <w:lang w:eastAsia="en-NZ"/>
              </w:rPr>
            </w:pPr>
            <w:r w:rsidRPr="004D7C07">
              <w:rPr>
                <w:lang w:eastAsia="en-NZ"/>
              </w:rPr>
              <w:t>1591</w:t>
            </w:r>
          </w:p>
        </w:tc>
      </w:tr>
      <w:tr w:rsidR="004D7C07" w:rsidRPr="004D7C07" w14:paraId="59D88BAF" w14:textId="77777777" w:rsidTr="00522D5D">
        <w:trPr>
          <w:cnfStyle w:val="000000010000" w:firstRow="0" w:lastRow="0" w:firstColumn="0" w:lastColumn="0" w:oddVBand="0" w:evenVBand="0" w:oddHBand="0" w:evenHBand="1" w:firstRowFirstColumn="0" w:firstRowLastColumn="0" w:lastRowFirstColumn="0" w:lastRowLastColumn="0"/>
          <w:trHeight w:val="255"/>
        </w:trPr>
        <w:tc>
          <w:tcPr>
            <w:tcW w:w="1555" w:type="dxa"/>
            <w:noWrap/>
            <w:hideMark/>
          </w:tcPr>
          <w:p w14:paraId="32CE0CE3" w14:textId="77777777" w:rsidR="004D7C07" w:rsidRPr="004D7C07" w:rsidRDefault="004D7C07" w:rsidP="007D57ED">
            <w:pPr>
              <w:pStyle w:val="Tablesinglespacedparagraph"/>
              <w:rPr>
                <w:lang w:eastAsia="en-NZ"/>
              </w:rPr>
            </w:pPr>
            <w:r w:rsidRPr="004D7C07">
              <w:rPr>
                <w:lang w:eastAsia="en-NZ"/>
              </w:rPr>
              <w:t>Jun-17</w:t>
            </w:r>
          </w:p>
        </w:tc>
        <w:tc>
          <w:tcPr>
            <w:tcW w:w="1417" w:type="dxa"/>
            <w:noWrap/>
            <w:hideMark/>
          </w:tcPr>
          <w:p w14:paraId="25D13FDA" w14:textId="77777777" w:rsidR="004D7C07" w:rsidRPr="004D7C07" w:rsidRDefault="004D7C07" w:rsidP="0099164B">
            <w:pPr>
              <w:pStyle w:val="Tablesinglespacedparagraph"/>
              <w:jc w:val="center"/>
              <w:rPr>
                <w:lang w:eastAsia="en-NZ"/>
              </w:rPr>
            </w:pPr>
            <w:r w:rsidRPr="004D7C07">
              <w:rPr>
                <w:lang w:eastAsia="en-NZ"/>
              </w:rPr>
              <w:t>11,846</w:t>
            </w:r>
          </w:p>
        </w:tc>
        <w:tc>
          <w:tcPr>
            <w:tcW w:w="1559" w:type="dxa"/>
            <w:noWrap/>
            <w:hideMark/>
          </w:tcPr>
          <w:p w14:paraId="678B4A70" w14:textId="77777777" w:rsidR="004D7C07" w:rsidRPr="004D7C07" w:rsidRDefault="004D7C07" w:rsidP="0099164B">
            <w:pPr>
              <w:pStyle w:val="Tablesinglespacedparagraph"/>
              <w:jc w:val="center"/>
              <w:rPr>
                <w:lang w:eastAsia="en-NZ"/>
              </w:rPr>
            </w:pPr>
            <w:r w:rsidRPr="004D7C07">
              <w:rPr>
                <w:lang w:eastAsia="en-NZ"/>
              </w:rPr>
              <w:t>13,437</w:t>
            </w:r>
          </w:p>
        </w:tc>
        <w:tc>
          <w:tcPr>
            <w:tcW w:w="1560" w:type="dxa"/>
            <w:noWrap/>
            <w:hideMark/>
          </w:tcPr>
          <w:p w14:paraId="65B38606" w14:textId="77777777" w:rsidR="004D7C07" w:rsidRPr="004D7C07" w:rsidRDefault="004D7C07" w:rsidP="0099164B">
            <w:pPr>
              <w:pStyle w:val="Tablesinglespacedparagraph"/>
              <w:jc w:val="center"/>
              <w:rPr>
                <w:lang w:eastAsia="en-NZ"/>
              </w:rPr>
            </w:pPr>
            <w:r w:rsidRPr="004D7C07">
              <w:rPr>
                <w:lang w:eastAsia="en-NZ"/>
              </w:rPr>
              <w:t>12,141</w:t>
            </w:r>
          </w:p>
        </w:tc>
        <w:tc>
          <w:tcPr>
            <w:tcW w:w="1480" w:type="dxa"/>
            <w:noWrap/>
            <w:hideMark/>
          </w:tcPr>
          <w:p w14:paraId="33297E21" w14:textId="06811717" w:rsidR="004D7C07" w:rsidRPr="004D7C07" w:rsidRDefault="004D7C07" w:rsidP="0099164B">
            <w:pPr>
              <w:pStyle w:val="Tablesinglespacedparagraph"/>
              <w:jc w:val="center"/>
              <w:rPr>
                <w:lang w:eastAsia="en-NZ"/>
              </w:rPr>
            </w:pPr>
            <w:r w:rsidRPr="004D7C07">
              <w:rPr>
                <w:lang w:eastAsia="en-NZ"/>
              </w:rPr>
              <w:t>1294</w:t>
            </w:r>
          </w:p>
        </w:tc>
      </w:tr>
      <w:tr w:rsidR="004D7C07" w:rsidRPr="004D7C07" w14:paraId="2EF3F949" w14:textId="77777777" w:rsidTr="00522D5D">
        <w:trPr>
          <w:cnfStyle w:val="000000100000" w:firstRow="0" w:lastRow="0" w:firstColumn="0" w:lastColumn="0" w:oddVBand="0" w:evenVBand="0" w:oddHBand="1" w:evenHBand="0" w:firstRowFirstColumn="0" w:firstRowLastColumn="0" w:lastRowFirstColumn="0" w:lastRowLastColumn="0"/>
          <w:trHeight w:val="255"/>
        </w:trPr>
        <w:tc>
          <w:tcPr>
            <w:tcW w:w="1555" w:type="dxa"/>
            <w:noWrap/>
            <w:hideMark/>
          </w:tcPr>
          <w:p w14:paraId="63738E4A" w14:textId="77777777" w:rsidR="004D7C07" w:rsidRPr="004D7C07" w:rsidRDefault="004D7C07" w:rsidP="007D57ED">
            <w:pPr>
              <w:pStyle w:val="Tablesinglespacedparagraph"/>
              <w:rPr>
                <w:lang w:eastAsia="en-NZ"/>
              </w:rPr>
            </w:pPr>
            <w:r w:rsidRPr="004D7C07">
              <w:rPr>
                <w:lang w:eastAsia="en-NZ"/>
              </w:rPr>
              <w:t>Jun-18</w:t>
            </w:r>
          </w:p>
        </w:tc>
        <w:tc>
          <w:tcPr>
            <w:tcW w:w="1417" w:type="dxa"/>
            <w:noWrap/>
            <w:hideMark/>
          </w:tcPr>
          <w:p w14:paraId="6326A54A" w14:textId="77777777" w:rsidR="004D7C07" w:rsidRPr="004D7C07" w:rsidRDefault="004D7C07" w:rsidP="0099164B">
            <w:pPr>
              <w:pStyle w:val="Tablesinglespacedparagraph"/>
              <w:jc w:val="center"/>
              <w:rPr>
                <w:lang w:eastAsia="en-NZ"/>
              </w:rPr>
            </w:pPr>
            <w:r w:rsidRPr="004D7C07">
              <w:rPr>
                <w:lang w:eastAsia="en-NZ"/>
              </w:rPr>
              <w:t>11,468</w:t>
            </w:r>
          </w:p>
        </w:tc>
        <w:tc>
          <w:tcPr>
            <w:tcW w:w="1559" w:type="dxa"/>
            <w:noWrap/>
            <w:hideMark/>
          </w:tcPr>
          <w:p w14:paraId="5CA0041D" w14:textId="77777777" w:rsidR="004D7C07" w:rsidRPr="004D7C07" w:rsidRDefault="004D7C07" w:rsidP="0099164B">
            <w:pPr>
              <w:pStyle w:val="Tablesinglespacedparagraph"/>
              <w:jc w:val="center"/>
              <w:rPr>
                <w:lang w:eastAsia="en-NZ"/>
              </w:rPr>
            </w:pPr>
            <w:r w:rsidRPr="004D7C07">
              <w:rPr>
                <w:lang w:eastAsia="en-NZ"/>
              </w:rPr>
              <w:t>12,770</w:t>
            </w:r>
          </w:p>
        </w:tc>
        <w:tc>
          <w:tcPr>
            <w:tcW w:w="1560" w:type="dxa"/>
            <w:noWrap/>
            <w:hideMark/>
          </w:tcPr>
          <w:p w14:paraId="01CAAC86" w14:textId="77777777" w:rsidR="004D7C07" w:rsidRPr="004D7C07" w:rsidRDefault="004D7C07" w:rsidP="0099164B">
            <w:pPr>
              <w:pStyle w:val="Tablesinglespacedparagraph"/>
              <w:jc w:val="center"/>
              <w:rPr>
                <w:lang w:eastAsia="en-NZ"/>
              </w:rPr>
            </w:pPr>
            <w:r w:rsidRPr="004D7C07">
              <w:rPr>
                <w:lang w:eastAsia="en-NZ"/>
              </w:rPr>
              <w:t>11,846</w:t>
            </w:r>
          </w:p>
        </w:tc>
        <w:tc>
          <w:tcPr>
            <w:tcW w:w="1480" w:type="dxa"/>
            <w:noWrap/>
            <w:hideMark/>
          </w:tcPr>
          <w:p w14:paraId="574937F1" w14:textId="77777777" w:rsidR="004D7C07" w:rsidRPr="004D7C07" w:rsidRDefault="004D7C07" w:rsidP="0099164B">
            <w:pPr>
              <w:pStyle w:val="Tablesinglespacedparagraph"/>
              <w:jc w:val="center"/>
              <w:rPr>
                <w:lang w:eastAsia="en-NZ"/>
              </w:rPr>
            </w:pPr>
            <w:r w:rsidRPr="004D7C07">
              <w:rPr>
                <w:lang w:eastAsia="en-NZ"/>
              </w:rPr>
              <w:t>916</w:t>
            </w:r>
          </w:p>
        </w:tc>
      </w:tr>
      <w:tr w:rsidR="004D7C07" w:rsidRPr="004D7C07" w14:paraId="22A23E80" w14:textId="77777777" w:rsidTr="00522D5D">
        <w:trPr>
          <w:cnfStyle w:val="000000010000" w:firstRow="0" w:lastRow="0" w:firstColumn="0" w:lastColumn="0" w:oddVBand="0" w:evenVBand="0" w:oddHBand="0" w:evenHBand="1" w:firstRowFirstColumn="0" w:firstRowLastColumn="0" w:lastRowFirstColumn="0" w:lastRowLastColumn="0"/>
          <w:trHeight w:val="255"/>
        </w:trPr>
        <w:tc>
          <w:tcPr>
            <w:tcW w:w="1555" w:type="dxa"/>
            <w:noWrap/>
            <w:hideMark/>
          </w:tcPr>
          <w:p w14:paraId="60AF431A" w14:textId="77777777" w:rsidR="004D7C07" w:rsidRPr="004D7C07" w:rsidRDefault="004D7C07" w:rsidP="007D57ED">
            <w:pPr>
              <w:pStyle w:val="Tablesinglespacedparagraph"/>
              <w:rPr>
                <w:lang w:eastAsia="en-NZ"/>
              </w:rPr>
            </w:pPr>
            <w:r w:rsidRPr="004D7C07">
              <w:rPr>
                <w:lang w:eastAsia="en-NZ"/>
              </w:rPr>
              <w:t>Jun-19</w:t>
            </w:r>
          </w:p>
        </w:tc>
        <w:tc>
          <w:tcPr>
            <w:tcW w:w="1417" w:type="dxa"/>
            <w:noWrap/>
            <w:hideMark/>
          </w:tcPr>
          <w:p w14:paraId="3EAE37A1" w14:textId="77777777" w:rsidR="004D7C07" w:rsidRPr="004D7C07" w:rsidRDefault="004D7C07" w:rsidP="0099164B">
            <w:pPr>
              <w:pStyle w:val="Tablesinglespacedparagraph"/>
              <w:jc w:val="center"/>
              <w:rPr>
                <w:lang w:eastAsia="en-NZ"/>
              </w:rPr>
            </w:pPr>
            <w:r w:rsidRPr="004D7C07">
              <w:rPr>
                <w:lang w:eastAsia="en-NZ"/>
              </w:rPr>
              <w:t>11,886</w:t>
            </w:r>
          </w:p>
        </w:tc>
        <w:tc>
          <w:tcPr>
            <w:tcW w:w="1559" w:type="dxa"/>
            <w:noWrap/>
            <w:hideMark/>
          </w:tcPr>
          <w:p w14:paraId="3C98E6A4" w14:textId="77777777" w:rsidR="004D7C07" w:rsidRPr="004D7C07" w:rsidRDefault="004D7C07" w:rsidP="0099164B">
            <w:pPr>
              <w:pStyle w:val="Tablesinglespacedparagraph"/>
              <w:jc w:val="center"/>
              <w:rPr>
                <w:lang w:eastAsia="en-NZ"/>
              </w:rPr>
            </w:pPr>
            <w:r w:rsidRPr="004D7C07">
              <w:rPr>
                <w:lang w:eastAsia="en-NZ"/>
              </w:rPr>
              <w:t>12,802</w:t>
            </w:r>
          </w:p>
        </w:tc>
        <w:tc>
          <w:tcPr>
            <w:tcW w:w="1560" w:type="dxa"/>
            <w:noWrap/>
            <w:hideMark/>
          </w:tcPr>
          <w:p w14:paraId="50D50289" w14:textId="77777777" w:rsidR="004D7C07" w:rsidRPr="004D7C07" w:rsidRDefault="004D7C07" w:rsidP="0099164B">
            <w:pPr>
              <w:pStyle w:val="Tablesinglespacedparagraph"/>
              <w:jc w:val="center"/>
              <w:rPr>
                <w:lang w:eastAsia="en-NZ"/>
              </w:rPr>
            </w:pPr>
            <w:r w:rsidRPr="004D7C07">
              <w:rPr>
                <w:lang w:eastAsia="en-NZ"/>
              </w:rPr>
              <w:t>11,793</w:t>
            </w:r>
          </w:p>
        </w:tc>
        <w:tc>
          <w:tcPr>
            <w:tcW w:w="1480" w:type="dxa"/>
            <w:noWrap/>
            <w:hideMark/>
          </w:tcPr>
          <w:p w14:paraId="16CF1D43" w14:textId="215F89D3" w:rsidR="004D7C07" w:rsidRPr="004D7C07" w:rsidRDefault="004D7C07" w:rsidP="0099164B">
            <w:pPr>
              <w:pStyle w:val="Tablesinglespacedparagraph"/>
              <w:jc w:val="center"/>
              <w:rPr>
                <w:lang w:eastAsia="en-NZ"/>
              </w:rPr>
            </w:pPr>
            <w:r w:rsidRPr="004D7C07">
              <w:rPr>
                <w:lang w:eastAsia="en-NZ"/>
              </w:rPr>
              <w:t>1009</w:t>
            </w:r>
          </w:p>
        </w:tc>
      </w:tr>
      <w:tr w:rsidR="004D7C07" w:rsidRPr="004D7C07" w14:paraId="4E11DB67" w14:textId="77777777" w:rsidTr="00522D5D">
        <w:trPr>
          <w:cnfStyle w:val="000000100000" w:firstRow="0" w:lastRow="0" w:firstColumn="0" w:lastColumn="0" w:oddVBand="0" w:evenVBand="0" w:oddHBand="1" w:evenHBand="0" w:firstRowFirstColumn="0" w:firstRowLastColumn="0" w:lastRowFirstColumn="0" w:lastRowLastColumn="0"/>
          <w:trHeight w:val="255"/>
        </w:trPr>
        <w:tc>
          <w:tcPr>
            <w:tcW w:w="1555" w:type="dxa"/>
            <w:noWrap/>
            <w:hideMark/>
          </w:tcPr>
          <w:p w14:paraId="45447FF4" w14:textId="77777777" w:rsidR="004D7C07" w:rsidRPr="004D7C07" w:rsidRDefault="004D7C07" w:rsidP="007D57ED">
            <w:pPr>
              <w:pStyle w:val="Tablesinglespacedparagraph"/>
              <w:rPr>
                <w:lang w:eastAsia="en-NZ"/>
              </w:rPr>
            </w:pPr>
            <w:r w:rsidRPr="004D7C07">
              <w:rPr>
                <w:lang w:eastAsia="en-NZ"/>
              </w:rPr>
              <w:t>Jun-20</w:t>
            </w:r>
          </w:p>
        </w:tc>
        <w:tc>
          <w:tcPr>
            <w:tcW w:w="1417" w:type="dxa"/>
            <w:noWrap/>
            <w:hideMark/>
          </w:tcPr>
          <w:p w14:paraId="6FED8A1B" w14:textId="77777777" w:rsidR="004D7C07" w:rsidRPr="004D7C07" w:rsidRDefault="004D7C07" w:rsidP="0099164B">
            <w:pPr>
              <w:pStyle w:val="Tablesinglespacedparagraph"/>
              <w:jc w:val="center"/>
              <w:rPr>
                <w:lang w:eastAsia="en-NZ"/>
              </w:rPr>
            </w:pPr>
            <w:r w:rsidRPr="004D7C07">
              <w:rPr>
                <w:lang w:eastAsia="en-NZ"/>
              </w:rPr>
              <w:t>11,862</w:t>
            </w:r>
          </w:p>
        </w:tc>
        <w:tc>
          <w:tcPr>
            <w:tcW w:w="1559" w:type="dxa"/>
            <w:noWrap/>
            <w:hideMark/>
          </w:tcPr>
          <w:p w14:paraId="06D81F2E" w14:textId="77777777" w:rsidR="004D7C07" w:rsidRPr="004D7C07" w:rsidRDefault="004D7C07" w:rsidP="0099164B">
            <w:pPr>
              <w:pStyle w:val="Tablesinglespacedparagraph"/>
              <w:jc w:val="center"/>
              <w:rPr>
                <w:lang w:eastAsia="en-NZ"/>
              </w:rPr>
            </w:pPr>
            <w:r w:rsidRPr="004D7C07">
              <w:rPr>
                <w:lang w:eastAsia="en-NZ"/>
              </w:rPr>
              <w:t>12,912</w:t>
            </w:r>
          </w:p>
        </w:tc>
        <w:tc>
          <w:tcPr>
            <w:tcW w:w="1560" w:type="dxa"/>
            <w:noWrap/>
            <w:hideMark/>
          </w:tcPr>
          <w:p w14:paraId="2C30D472" w14:textId="77777777" w:rsidR="004D7C07" w:rsidRPr="004D7C07" w:rsidRDefault="004D7C07" w:rsidP="0099164B">
            <w:pPr>
              <w:pStyle w:val="Tablesinglespacedparagraph"/>
              <w:jc w:val="center"/>
              <w:rPr>
                <w:lang w:eastAsia="en-NZ"/>
              </w:rPr>
            </w:pPr>
            <w:r w:rsidRPr="004D7C07">
              <w:rPr>
                <w:lang w:eastAsia="en-NZ"/>
              </w:rPr>
              <w:t>11,740</w:t>
            </w:r>
          </w:p>
        </w:tc>
        <w:tc>
          <w:tcPr>
            <w:tcW w:w="1480" w:type="dxa"/>
            <w:noWrap/>
            <w:hideMark/>
          </w:tcPr>
          <w:p w14:paraId="6852DDBF" w14:textId="69372D88" w:rsidR="004D7C07" w:rsidRPr="004D7C07" w:rsidRDefault="004D7C07" w:rsidP="0099164B">
            <w:pPr>
              <w:pStyle w:val="Tablesinglespacedparagraph"/>
              <w:jc w:val="center"/>
              <w:rPr>
                <w:lang w:eastAsia="en-NZ"/>
              </w:rPr>
            </w:pPr>
            <w:r w:rsidRPr="004D7C07">
              <w:rPr>
                <w:lang w:eastAsia="en-NZ"/>
              </w:rPr>
              <w:t>1132</w:t>
            </w:r>
          </w:p>
        </w:tc>
      </w:tr>
    </w:tbl>
    <w:p w14:paraId="5CFFABC1" w14:textId="77777777" w:rsidR="004D7C07" w:rsidRDefault="004D7C07" w:rsidP="00DF1795">
      <w:pPr>
        <w:pStyle w:val="Singlespacedparagraph"/>
      </w:pPr>
    </w:p>
    <w:p w14:paraId="35F07365" w14:textId="2B93B0D8" w:rsidR="004D7C07" w:rsidRDefault="005B795D" w:rsidP="00DF1795">
      <w:pPr>
        <w:pStyle w:val="Singlespacedparagraph"/>
      </w:pPr>
      <w:hyperlink w:anchor="Figure3" w:history="1">
        <w:r w:rsidR="004D7C07" w:rsidRPr="00522D5D">
          <w:rPr>
            <w:rStyle w:val="Hyperlink"/>
          </w:rPr>
          <w:t>Return to Figure 3 in text</w:t>
        </w:r>
      </w:hyperlink>
      <w:r w:rsidR="004D7C07">
        <w:t xml:space="preserve">. </w:t>
      </w:r>
    </w:p>
    <w:p w14:paraId="5BF426E2" w14:textId="2F94D965" w:rsidR="007D57ED" w:rsidRDefault="007D57ED" w:rsidP="00DF1795">
      <w:pPr>
        <w:pStyle w:val="Singlespacedparagraph"/>
      </w:pPr>
    </w:p>
    <w:p w14:paraId="676DEA2A" w14:textId="73ECD514" w:rsidR="007D57ED" w:rsidRDefault="007D57ED" w:rsidP="00DF1795">
      <w:pPr>
        <w:pStyle w:val="Singlespacedparagraph"/>
      </w:pPr>
      <w:bookmarkStart w:id="186" w:name="Figure4table"/>
      <w:r w:rsidRPr="007D57ED">
        <w:rPr>
          <w:b/>
        </w:rPr>
        <w:t>Figure 4</w:t>
      </w:r>
      <w:bookmarkEnd w:id="186"/>
      <w:r w:rsidRPr="007D57ED">
        <w:rPr>
          <w:b/>
        </w:rPr>
        <w:t xml:space="preserve">: </w:t>
      </w:r>
      <w:r w:rsidRPr="007D57ED">
        <w:rPr>
          <w:b/>
          <w:noProof/>
        </w:rPr>
        <w:t>OA complaints received and actioned over the past 10 years</w:t>
      </w:r>
    </w:p>
    <w:tbl>
      <w:tblPr>
        <w:tblW w:w="75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1550"/>
        <w:gridCol w:w="1417"/>
        <w:gridCol w:w="1635"/>
        <w:gridCol w:w="1560"/>
        <w:gridCol w:w="1374"/>
      </w:tblGrid>
      <w:tr w:rsidR="007D57ED" w:rsidRPr="007D57ED" w14:paraId="237F8CBF" w14:textId="77777777" w:rsidTr="0099164B">
        <w:trPr>
          <w:trHeight w:val="255"/>
          <w:tblHeader/>
        </w:trPr>
        <w:tc>
          <w:tcPr>
            <w:tcW w:w="1550" w:type="dxa"/>
            <w:tcBorders>
              <w:bottom w:val="single" w:sz="8" w:space="0" w:color="FFFFFF"/>
            </w:tcBorders>
            <w:shd w:val="clear" w:color="auto" w:fill="2BB673"/>
            <w:noWrap/>
            <w:vAlign w:val="bottom"/>
            <w:hideMark/>
          </w:tcPr>
          <w:p w14:paraId="11B8F6BE" w14:textId="77777777" w:rsidR="007D57ED" w:rsidRPr="007D57ED" w:rsidRDefault="007D57ED" w:rsidP="007D57ED">
            <w:pPr>
              <w:pStyle w:val="Tableheadingrow1"/>
              <w:rPr>
                <w:b/>
                <w:lang w:eastAsia="en-NZ"/>
              </w:rPr>
            </w:pPr>
            <w:r w:rsidRPr="007D57ED">
              <w:rPr>
                <w:b/>
                <w:lang w:eastAsia="en-NZ"/>
              </w:rPr>
              <w:t>Date</w:t>
            </w:r>
          </w:p>
        </w:tc>
        <w:tc>
          <w:tcPr>
            <w:tcW w:w="1417" w:type="dxa"/>
            <w:tcBorders>
              <w:bottom w:val="single" w:sz="8" w:space="0" w:color="FFFFFF"/>
            </w:tcBorders>
            <w:shd w:val="clear" w:color="auto" w:fill="2BB673"/>
            <w:noWrap/>
            <w:vAlign w:val="bottom"/>
            <w:hideMark/>
          </w:tcPr>
          <w:p w14:paraId="7FDE8F4B" w14:textId="77777777" w:rsidR="007D57ED" w:rsidRPr="007D57ED" w:rsidRDefault="007D57ED" w:rsidP="0099164B">
            <w:pPr>
              <w:pStyle w:val="Tableheadingrow1"/>
              <w:jc w:val="center"/>
              <w:rPr>
                <w:b/>
                <w:lang w:eastAsia="en-NZ"/>
              </w:rPr>
            </w:pPr>
            <w:r w:rsidRPr="007D57ED">
              <w:rPr>
                <w:b/>
                <w:lang w:eastAsia="en-NZ"/>
              </w:rPr>
              <w:t>Received</w:t>
            </w:r>
          </w:p>
        </w:tc>
        <w:tc>
          <w:tcPr>
            <w:tcW w:w="1635" w:type="dxa"/>
            <w:tcBorders>
              <w:bottom w:val="single" w:sz="8" w:space="0" w:color="FFFFFF"/>
            </w:tcBorders>
            <w:shd w:val="clear" w:color="auto" w:fill="2BB673"/>
            <w:noWrap/>
            <w:vAlign w:val="bottom"/>
            <w:hideMark/>
          </w:tcPr>
          <w:p w14:paraId="182C19E6" w14:textId="77777777" w:rsidR="007D57ED" w:rsidRPr="007D57ED" w:rsidRDefault="007D57ED" w:rsidP="0099164B">
            <w:pPr>
              <w:pStyle w:val="Tableheadingrow1"/>
              <w:jc w:val="center"/>
              <w:rPr>
                <w:b/>
                <w:lang w:eastAsia="en-NZ"/>
              </w:rPr>
            </w:pPr>
            <w:r w:rsidRPr="007D57ED">
              <w:rPr>
                <w:b/>
                <w:lang w:eastAsia="en-NZ"/>
              </w:rPr>
              <w:t>Under Action in the Year</w:t>
            </w:r>
          </w:p>
        </w:tc>
        <w:tc>
          <w:tcPr>
            <w:tcW w:w="1560" w:type="dxa"/>
            <w:tcBorders>
              <w:bottom w:val="single" w:sz="8" w:space="0" w:color="FFFFFF"/>
            </w:tcBorders>
            <w:shd w:val="clear" w:color="auto" w:fill="2BB673"/>
            <w:noWrap/>
            <w:vAlign w:val="bottom"/>
            <w:hideMark/>
          </w:tcPr>
          <w:p w14:paraId="6EEA4486" w14:textId="77777777" w:rsidR="007D57ED" w:rsidRPr="007D57ED" w:rsidRDefault="007D57ED" w:rsidP="0099164B">
            <w:pPr>
              <w:pStyle w:val="Tableheadingrow1"/>
              <w:jc w:val="center"/>
              <w:rPr>
                <w:b/>
                <w:lang w:eastAsia="en-NZ"/>
              </w:rPr>
            </w:pPr>
            <w:r w:rsidRPr="007D57ED">
              <w:rPr>
                <w:b/>
                <w:lang w:eastAsia="en-NZ"/>
              </w:rPr>
              <w:t>Completed</w:t>
            </w:r>
          </w:p>
        </w:tc>
        <w:tc>
          <w:tcPr>
            <w:tcW w:w="1374" w:type="dxa"/>
            <w:tcBorders>
              <w:bottom w:val="single" w:sz="8" w:space="0" w:color="FFFFFF"/>
            </w:tcBorders>
            <w:shd w:val="clear" w:color="auto" w:fill="2BB673"/>
            <w:noWrap/>
            <w:vAlign w:val="bottom"/>
            <w:hideMark/>
          </w:tcPr>
          <w:p w14:paraId="2C53BCD2" w14:textId="77777777" w:rsidR="007D57ED" w:rsidRPr="007D57ED" w:rsidRDefault="007D57ED" w:rsidP="0099164B">
            <w:pPr>
              <w:pStyle w:val="Tableheadingrow1"/>
              <w:jc w:val="center"/>
              <w:rPr>
                <w:b/>
                <w:lang w:eastAsia="en-NZ"/>
              </w:rPr>
            </w:pPr>
            <w:r w:rsidRPr="007D57ED">
              <w:rPr>
                <w:b/>
                <w:lang w:eastAsia="en-NZ"/>
              </w:rPr>
              <w:t>On Hand at Year End</w:t>
            </w:r>
          </w:p>
        </w:tc>
      </w:tr>
      <w:tr w:rsidR="007D57ED" w:rsidRPr="007D57ED" w14:paraId="3F6775D6" w14:textId="77777777" w:rsidTr="0099164B">
        <w:trPr>
          <w:trHeight w:val="255"/>
        </w:trPr>
        <w:tc>
          <w:tcPr>
            <w:tcW w:w="1550" w:type="dxa"/>
            <w:shd w:val="clear" w:color="auto" w:fill="E9E9E9"/>
            <w:noWrap/>
            <w:vAlign w:val="bottom"/>
            <w:hideMark/>
          </w:tcPr>
          <w:p w14:paraId="6F4747A9" w14:textId="77777777" w:rsidR="007D57ED" w:rsidRPr="007D57ED" w:rsidRDefault="007D57ED" w:rsidP="0099164B">
            <w:pPr>
              <w:pStyle w:val="Tablesinglespacedparagraph"/>
              <w:rPr>
                <w:lang w:eastAsia="en-NZ"/>
              </w:rPr>
            </w:pPr>
            <w:r w:rsidRPr="007D57ED">
              <w:rPr>
                <w:lang w:eastAsia="en-NZ"/>
              </w:rPr>
              <w:t>Jun-10</w:t>
            </w:r>
          </w:p>
        </w:tc>
        <w:tc>
          <w:tcPr>
            <w:tcW w:w="1417" w:type="dxa"/>
            <w:shd w:val="clear" w:color="auto" w:fill="E9E9E9"/>
            <w:noWrap/>
            <w:vAlign w:val="bottom"/>
            <w:hideMark/>
          </w:tcPr>
          <w:p w14:paraId="1C951B27" w14:textId="77777777" w:rsidR="007D57ED" w:rsidRPr="007D57ED" w:rsidRDefault="007D57ED" w:rsidP="0099164B">
            <w:pPr>
              <w:pStyle w:val="Tablesinglespacedparagraph"/>
              <w:jc w:val="center"/>
              <w:rPr>
                <w:lang w:eastAsia="en-NZ"/>
              </w:rPr>
            </w:pPr>
            <w:r w:rsidRPr="007D57ED">
              <w:rPr>
                <w:lang w:eastAsia="en-NZ"/>
              </w:rPr>
              <w:t>8488</w:t>
            </w:r>
          </w:p>
        </w:tc>
        <w:tc>
          <w:tcPr>
            <w:tcW w:w="1635" w:type="dxa"/>
            <w:shd w:val="clear" w:color="auto" w:fill="E9E9E9"/>
            <w:noWrap/>
            <w:vAlign w:val="bottom"/>
            <w:hideMark/>
          </w:tcPr>
          <w:p w14:paraId="1F3F6B48" w14:textId="7B96F70D" w:rsidR="007D57ED" w:rsidRPr="007D57ED" w:rsidRDefault="007D57ED" w:rsidP="0099164B">
            <w:pPr>
              <w:pStyle w:val="Tablesinglespacedparagraph"/>
              <w:jc w:val="center"/>
              <w:rPr>
                <w:lang w:eastAsia="en-NZ"/>
              </w:rPr>
            </w:pPr>
            <w:r w:rsidRPr="007D57ED">
              <w:rPr>
                <w:lang w:eastAsia="en-NZ"/>
              </w:rPr>
              <w:t>9282</w:t>
            </w:r>
          </w:p>
        </w:tc>
        <w:tc>
          <w:tcPr>
            <w:tcW w:w="1560" w:type="dxa"/>
            <w:shd w:val="clear" w:color="auto" w:fill="E9E9E9"/>
            <w:noWrap/>
            <w:vAlign w:val="bottom"/>
            <w:hideMark/>
          </w:tcPr>
          <w:p w14:paraId="5F0360E7" w14:textId="77777777" w:rsidR="007D57ED" w:rsidRPr="007D57ED" w:rsidRDefault="007D57ED" w:rsidP="0099164B">
            <w:pPr>
              <w:pStyle w:val="Tablesinglespacedparagraph"/>
              <w:jc w:val="center"/>
              <w:rPr>
                <w:lang w:eastAsia="en-NZ"/>
              </w:rPr>
            </w:pPr>
            <w:r w:rsidRPr="007D57ED">
              <w:rPr>
                <w:lang w:eastAsia="en-NZ"/>
              </w:rPr>
              <w:t>8250</w:t>
            </w:r>
          </w:p>
        </w:tc>
        <w:tc>
          <w:tcPr>
            <w:tcW w:w="1374" w:type="dxa"/>
            <w:shd w:val="clear" w:color="auto" w:fill="E9E9E9"/>
            <w:noWrap/>
            <w:vAlign w:val="bottom"/>
            <w:hideMark/>
          </w:tcPr>
          <w:p w14:paraId="1FA95D27" w14:textId="77777777" w:rsidR="007D57ED" w:rsidRPr="007D57ED" w:rsidRDefault="007D57ED" w:rsidP="0099164B">
            <w:pPr>
              <w:pStyle w:val="Tablesinglespacedparagraph"/>
              <w:jc w:val="center"/>
              <w:rPr>
                <w:lang w:eastAsia="en-NZ"/>
              </w:rPr>
            </w:pPr>
            <w:r w:rsidRPr="007D57ED">
              <w:rPr>
                <w:lang w:eastAsia="en-NZ"/>
              </w:rPr>
              <w:t>1032</w:t>
            </w:r>
          </w:p>
        </w:tc>
      </w:tr>
      <w:tr w:rsidR="007D57ED" w:rsidRPr="007D57ED" w14:paraId="4451F7C9" w14:textId="77777777" w:rsidTr="0099164B">
        <w:trPr>
          <w:trHeight w:val="255"/>
        </w:trPr>
        <w:tc>
          <w:tcPr>
            <w:tcW w:w="1550" w:type="dxa"/>
            <w:shd w:val="clear" w:color="auto" w:fill="E9E9E9"/>
            <w:noWrap/>
            <w:vAlign w:val="bottom"/>
            <w:hideMark/>
          </w:tcPr>
          <w:p w14:paraId="7F207651" w14:textId="77777777" w:rsidR="007D57ED" w:rsidRPr="007D57ED" w:rsidRDefault="007D57ED" w:rsidP="0099164B">
            <w:pPr>
              <w:pStyle w:val="Tablesinglespacedparagraph"/>
              <w:rPr>
                <w:lang w:eastAsia="en-NZ"/>
              </w:rPr>
            </w:pPr>
            <w:r w:rsidRPr="007D57ED">
              <w:rPr>
                <w:lang w:eastAsia="en-NZ"/>
              </w:rPr>
              <w:t>Jun-11</w:t>
            </w:r>
          </w:p>
        </w:tc>
        <w:tc>
          <w:tcPr>
            <w:tcW w:w="1417" w:type="dxa"/>
            <w:shd w:val="clear" w:color="auto" w:fill="E9E9E9"/>
            <w:noWrap/>
            <w:vAlign w:val="bottom"/>
            <w:hideMark/>
          </w:tcPr>
          <w:p w14:paraId="1B6810FE" w14:textId="77777777" w:rsidR="007D57ED" w:rsidRPr="007D57ED" w:rsidRDefault="007D57ED" w:rsidP="0099164B">
            <w:pPr>
              <w:pStyle w:val="Tablesinglespacedparagraph"/>
              <w:jc w:val="center"/>
              <w:rPr>
                <w:lang w:eastAsia="en-NZ"/>
              </w:rPr>
            </w:pPr>
            <w:r w:rsidRPr="007D57ED">
              <w:rPr>
                <w:lang w:eastAsia="en-NZ"/>
              </w:rPr>
              <w:t>6163</w:t>
            </w:r>
          </w:p>
        </w:tc>
        <w:tc>
          <w:tcPr>
            <w:tcW w:w="1635" w:type="dxa"/>
            <w:shd w:val="clear" w:color="auto" w:fill="E9E9E9"/>
            <w:noWrap/>
            <w:vAlign w:val="bottom"/>
            <w:hideMark/>
          </w:tcPr>
          <w:p w14:paraId="026094A7" w14:textId="52C934CA" w:rsidR="007D57ED" w:rsidRPr="007D57ED" w:rsidRDefault="007D57ED" w:rsidP="0099164B">
            <w:pPr>
              <w:pStyle w:val="Tablesinglespacedparagraph"/>
              <w:jc w:val="center"/>
              <w:rPr>
                <w:lang w:eastAsia="en-NZ"/>
              </w:rPr>
            </w:pPr>
            <w:r w:rsidRPr="007D57ED">
              <w:rPr>
                <w:lang w:eastAsia="en-NZ"/>
              </w:rPr>
              <w:t>7195</w:t>
            </w:r>
          </w:p>
        </w:tc>
        <w:tc>
          <w:tcPr>
            <w:tcW w:w="1560" w:type="dxa"/>
            <w:shd w:val="clear" w:color="auto" w:fill="E9E9E9"/>
            <w:noWrap/>
            <w:vAlign w:val="bottom"/>
            <w:hideMark/>
          </w:tcPr>
          <w:p w14:paraId="4E337CDF" w14:textId="77777777" w:rsidR="007D57ED" w:rsidRPr="007D57ED" w:rsidRDefault="007D57ED" w:rsidP="0099164B">
            <w:pPr>
              <w:pStyle w:val="Tablesinglespacedparagraph"/>
              <w:jc w:val="center"/>
              <w:rPr>
                <w:lang w:eastAsia="en-NZ"/>
              </w:rPr>
            </w:pPr>
            <w:r w:rsidRPr="007D57ED">
              <w:rPr>
                <w:lang w:eastAsia="en-NZ"/>
              </w:rPr>
              <w:t>6411</w:t>
            </w:r>
          </w:p>
        </w:tc>
        <w:tc>
          <w:tcPr>
            <w:tcW w:w="1374" w:type="dxa"/>
            <w:shd w:val="clear" w:color="auto" w:fill="E9E9E9"/>
            <w:noWrap/>
            <w:vAlign w:val="bottom"/>
            <w:hideMark/>
          </w:tcPr>
          <w:p w14:paraId="284A4551" w14:textId="77777777" w:rsidR="007D57ED" w:rsidRPr="007D57ED" w:rsidRDefault="007D57ED" w:rsidP="0099164B">
            <w:pPr>
              <w:pStyle w:val="Tablesinglespacedparagraph"/>
              <w:jc w:val="center"/>
              <w:rPr>
                <w:lang w:eastAsia="en-NZ"/>
              </w:rPr>
            </w:pPr>
            <w:r w:rsidRPr="007D57ED">
              <w:rPr>
                <w:lang w:eastAsia="en-NZ"/>
              </w:rPr>
              <w:t>735</w:t>
            </w:r>
          </w:p>
        </w:tc>
      </w:tr>
      <w:tr w:rsidR="007D57ED" w:rsidRPr="007D57ED" w14:paraId="60707EB3" w14:textId="77777777" w:rsidTr="0099164B">
        <w:trPr>
          <w:trHeight w:val="255"/>
        </w:trPr>
        <w:tc>
          <w:tcPr>
            <w:tcW w:w="1550" w:type="dxa"/>
            <w:shd w:val="clear" w:color="auto" w:fill="E9E9E9"/>
            <w:noWrap/>
            <w:vAlign w:val="bottom"/>
            <w:hideMark/>
          </w:tcPr>
          <w:p w14:paraId="179BBF2D" w14:textId="77777777" w:rsidR="007D57ED" w:rsidRPr="007D57ED" w:rsidRDefault="007D57ED" w:rsidP="0099164B">
            <w:pPr>
              <w:pStyle w:val="Tablesinglespacedparagraph"/>
              <w:rPr>
                <w:lang w:eastAsia="en-NZ"/>
              </w:rPr>
            </w:pPr>
            <w:r w:rsidRPr="007D57ED">
              <w:rPr>
                <w:lang w:eastAsia="en-NZ"/>
              </w:rPr>
              <w:t>Jun-12</w:t>
            </w:r>
          </w:p>
        </w:tc>
        <w:tc>
          <w:tcPr>
            <w:tcW w:w="1417" w:type="dxa"/>
            <w:shd w:val="clear" w:color="auto" w:fill="E9E9E9"/>
            <w:noWrap/>
            <w:vAlign w:val="bottom"/>
            <w:hideMark/>
          </w:tcPr>
          <w:p w14:paraId="4D01DD11" w14:textId="4EE21611" w:rsidR="007D57ED" w:rsidRPr="007D57ED" w:rsidRDefault="007D57ED" w:rsidP="0099164B">
            <w:pPr>
              <w:pStyle w:val="Tablesinglespacedparagraph"/>
              <w:jc w:val="center"/>
              <w:rPr>
                <w:lang w:eastAsia="en-NZ"/>
              </w:rPr>
            </w:pPr>
            <w:r w:rsidRPr="007D57ED">
              <w:rPr>
                <w:lang w:eastAsia="en-NZ"/>
              </w:rPr>
              <w:t>2459</w:t>
            </w:r>
          </w:p>
        </w:tc>
        <w:tc>
          <w:tcPr>
            <w:tcW w:w="1635" w:type="dxa"/>
            <w:shd w:val="clear" w:color="auto" w:fill="E9E9E9"/>
            <w:noWrap/>
            <w:vAlign w:val="bottom"/>
            <w:hideMark/>
          </w:tcPr>
          <w:p w14:paraId="5B8AA619" w14:textId="6909EA7E" w:rsidR="007D57ED" w:rsidRPr="007D57ED" w:rsidRDefault="007D57ED" w:rsidP="0099164B">
            <w:pPr>
              <w:pStyle w:val="Tablesinglespacedparagraph"/>
              <w:jc w:val="center"/>
              <w:rPr>
                <w:lang w:eastAsia="en-NZ"/>
              </w:rPr>
            </w:pPr>
            <w:r w:rsidRPr="007D57ED">
              <w:rPr>
                <w:lang w:eastAsia="en-NZ"/>
              </w:rPr>
              <w:t>3194</w:t>
            </w:r>
          </w:p>
        </w:tc>
        <w:tc>
          <w:tcPr>
            <w:tcW w:w="1560" w:type="dxa"/>
            <w:shd w:val="clear" w:color="auto" w:fill="E9E9E9"/>
            <w:noWrap/>
            <w:vAlign w:val="bottom"/>
            <w:hideMark/>
          </w:tcPr>
          <w:p w14:paraId="7112ED83" w14:textId="77777777" w:rsidR="007D57ED" w:rsidRPr="007D57ED" w:rsidRDefault="007D57ED" w:rsidP="0099164B">
            <w:pPr>
              <w:pStyle w:val="Tablesinglespacedparagraph"/>
              <w:jc w:val="center"/>
              <w:rPr>
                <w:lang w:eastAsia="en-NZ"/>
              </w:rPr>
            </w:pPr>
            <w:r w:rsidRPr="007D57ED">
              <w:rPr>
                <w:lang w:eastAsia="en-NZ"/>
              </w:rPr>
              <w:t>2383</w:t>
            </w:r>
          </w:p>
        </w:tc>
        <w:tc>
          <w:tcPr>
            <w:tcW w:w="1374" w:type="dxa"/>
            <w:shd w:val="clear" w:color="auto" w:fill="E9E9E9"/>
            <w:noWrap/>
            <w:vAlign w:val="bottom"/>
            <w:hideMark/>
          </w:tcPr>
          <w:p w14:paraId="7E2EB206" w14:textId="77777777" w:rsidR="007D57ED" w:rsidRPr="007D57ED" w:rsidRDefault="007D57ED" w:rsidP="0099164B">
            <w:pPr>
              <w:pStyle w:val="Tablesinglespacedparagraph"/>
              <w:jc w:val="center"/>
              <w:rPr>
                <w:lang w:eastAsia="en-NZ"/>
              </w:rPr>
            </w:pPr>
            <w:r w:rsidRPr="007D57ED">
              <w:rPr>
                <w:lang w:eastAsia="en-NZ"/>
              </w:rPr>
              <w:t>803</w:t>
            </w:r>
          </w:p>
        </w:tc>
      </w:tr>
      <w:tr w:rsidR="007D57ED" w:rsidRPr="007D57ED" w14:paraId="784FE058" w14:textId="77777777" w:rsidTr="0099164B">
        <w:trPr>
          <w:trHeight w:val="255"/>
        </w:trPr>
        <w:tc>
          <w:tcPr>
            <w:tcW w:w="1550" w:type="dxa"/>
            <w:shd w:val="clear" w:color="auto" w:fill="E9E9E9"/>
            <w:noWrap/>
            <w:vAlign w:val="bottom"/>
            <w:hideMark/>
          </w:tcPr>
          <w:p w14:paraId="56B96FDE" w14:textId="77777777" w:rsidR="007D57ED" w:rsidRPr="007D57ED" w:rsidRDefault="007D57ED" w:rsidP="0099164B">
            <w:pPr>
              <w:pStyle w:val="Tablesinglespacedparagraph"/>
              <w:rPr>
                <w:lang w:eastAsia="en-NZ"/>
              </w:rPr>
            </w:pPr>
            <w:r w:rsidRPr="007D57ED">
              <w:rPr>
                <w:lang w:eastAsia="en-NZ"/>
              </w:rPr>
              <w:t>Jun-13</w:t>
            </w:r>
          </w:p>
        </w:tc>
        <w:tc>
          <w:tcPr>
            <w:tcW w:w="1417" w:type="dxa"/>
            <w:shd w:val="clear" w:color="auto" w:fill="E9E9E9"/>
            <w:noWrap/>
            <w:vAlign w:val="bottom"/>
            <w:hideMark/>
          </w:tcPr>
          <w:p w14:paraId="2305857F" w14:textId="080256B3" w:rsidR="007D57ED" w:rsidRPr="007D57ED" w:rsidRDefault="007D57ED" w:rsidP="0099164B">
            <w:pPr>
              <w:pStyle w:val="Tablesinglespacedparagraph"/>
              <w:jc w:val="center"/>
              <w:rPr>
                <w:lang w:eastAsia="en-NZ"/>
              </w:rPr>
            </w:pPr>
            <w:r w:rsidRPr="007D57ED">
              <w:rPr>
                <w:lang w:eastAsia="en-NZ"/>
              </w:rPr>
              <w:t>2745</w:t>
            </w:r>
          </w:p>
        </w:tc>
        <w:tc>
          <w:tcPr>
            <w:tcW w:w="1635" w:type="dxa"/>
            <w:shd w:val="clear" w:color="auto" w:fill="E9E9E9"/>
            <w:noWrap/>
            <w:vAlign w:val="bottom"/>
            <w:hideMark/>
          </w:tcPr>
          <w:p w14:paraId="25DF178E" w14:textId="3DFD743F" w:rsidR="007D57ED" w:rsidRPr="007D57ED" w:rsidRDefault="007D57ED" w:rsidP="0099164B">
            <w:pPr>
              <w:pStyle w:val="Tablesinglespacedparagraph"/>
              <w:jc w:val="center"/>
              <w:rPr>
                <w:lang w:eastAsia="en-NZ"/>
              </w:rPr>
            </w:pPr>
            <w:r w:rsidRPr="007D57ED">
              <w:rPr>
                <w:lang w:eastAsia="en-NZ"/>
              </w:rPr>
              <w:t>3548</w:t>
            </w:r>
          </w:p>
        </w:tc>
        <w:tc>
          <w:tcPr>
            <w:tcW w:w="1560" w:type="dxa"/>
            <w:shd w:val="clear" w:color="auto" w:fill="E9E9E9"/>
            <w:noWrap/>
            <w:vAlign w:val="bottom"/>
            <w:hideMark/>
          </w:tcPr>
          <w:p w14:paraId="7A9761D2" w14:textId="6B0E1500" w:rsidR="007D57ED" w:rsidRPr="007D57ED" w:rsidRDefault="007D57ED" w:rsidP="0099164B">
            <w:pPr>
              <w:pStyle w:val="Tablesinglespacedparagraph"/>
              <w:jc w:val="center"/>
              <w:rPr>
                <w:lang w:eastAsia="en-NZ"/>
              </w:rPr>
            </w:pPr>
            <w:r w:rsidRPr="007D57ED">
              <w:rPr>
                <w:lang w:eastAsia="en-NZ"/>
              </w:rPr>
              <w:t>2878</w:t>
            </w:r>
          </w:p>
        </w:tc>
        <w:tc>
          <w:tcPr>
            <w:tcW w:w="1374" w:type="dxa"/>
            <w:shd w:val="clear" w:color="auto" w:fill="E9E9E9"/>
            <w:noWrap/>
            <w:vAlign w:val="bottom"/>
            <w:hideMark/>
          </w:tcPr>
          <w:p w14:paraId="1C90C12F" w14:textId="77777777" w:rsidR="007D57ED" w:rsidRPr="007D57ED" w:rsidRDefault="007D57ED" w:rsidP="0099164B">
            <w:pPr>
              <w:pStyle w:val="Tablesinglespacedparagraph"/>
              <w:jc w:val="center"/>
              <w:rPr>
                <w:lang w:eastAsia="en-NZ"/>
              </w:rPr>
            </w:pPr>
            <w:r w:rsidRPr="007D57ED">
              <w:rPr>
                <w:lang w:eastAsia="en-NZ"/>
              </w:rPr>
              <w:t>687</w:t>
            </w:r>
          </w:p>
        </w:tc>
      </w:tr>
      <w:tr w:rsidR="007D57ED" w:rsidRPr="007D57ED" w14:paraId="0CB7A196" w14:textId="77777777" w:rsidTr="0099164B">
        <w:trPr>
          <w:trHeight w:val="255"/>
        </w:trPr>
        <w:tc>
          <w:tcPr>
            <w:tcW w:w="1550" w:type="dxa"/>
            <w:shd w:val="clear" w:color="auto" w:fill="E9E9E9"/>
            <w:noWrap/>
            <w:vAlign w:val="bottom"/>
            <w:hideMark/>
          </w:tcPr>
          <w:p w14:paraId="2B5E799F" w14:textId="77777777" w:rsidR="007D57ED" w:rsidRPr="007D57ED" w:rsidRDefault="007D57ED" w:rsidP="0099164B">
            <w:pPr>
              <w:pStyle w:val="Tablesinglespacedparagraph"/>
              <w:rPr>
                <w:lang w:eastAsia="en-NZ"/>
              </w:rPr>
            </w:pPr>
            <w:r w:rsidRPr="007D57ED">
              <w:rPr>
                <w:lang w:eastAsia="en-NZ"/>
              </w:rPr>
              <w:t>Jun-14</w:t>
            </w:r>
          </w:p>
        </w:tc>
        <w:tc>
          <w:tcPr>
            <w:tcW w:w="1417" w:type="dxa"/>
            <w:shd w:val="clear" w:color="auto" w:fill="E9E9E9"/>
            <w:noWrap/>
            <w:vAlign w:val="bottom"/>
            <w:hideMark/>
          </w:tcPr>
          <w:p w14:paraId="626C80BB" w14:textId="18389B70" w:rsidR="007D57ED" w:rsidRPr="007D57ED" w:rsidRDefault="007D57ED" w:rsidP="0099164B">
            <w:pPr>
              <w:pStyle w:val="Tablesinglespacedparagraph"/>
              <w:jc w:val="center"/>
              <w:rPr>
                <w:lang w:eastAsia="en-NZ"/>
              </w:rPr>
            </w:pPr>
            <w:r w:rsidRPr="007D57ED">
              <w:rPr>
                <w:lang w:eastAsia="en-NZ"/>
              </w:rPr>
              <w:t>2478</w:t>
            </w:r>
          </w:p>
        </w:tc>
        <w:tc>
          <w:tcPr>
            <w:tcW w:w="1635" w:type="dxa"/>
            <w:shd w:val="clear" w:color="auto" w:fill="E9E9E9"/>
            <w:noWrap/>
            <w:vAlign w:val="bottom"/>
            <w:hideMark/>
          </w:tcPr>
          <w:p w14:paraId="77937A12" w14:textId="71D03E75" w:rsidR="007D57ED" w:rsidRPr="007D57ED" w:rsidRDefault="007D57ED" w:rsidP="0099164B">
            <w:pPr>
              <w:pStyle w:val="Tablesinglespacedparagraph"/>
              <w:jc w:val="center"/>
              <w:rPr>
                <w:lang w:eastAsia="en-NZ"/>
              </w:rPr>
            </w:pPr>
            <w:r w:rsidRPr="007D57ED">
              <w:rPr>
                <w:lang w:eastAsia="en-NZ"/>
              </w:rPr>
              <w:t>3165</w:t>
            </w:r>
          </w:p>
        </w:tc>
        <w:tc>
          <w:tcPr>
            <w:tcW w:w="1560" w:type="dxa"/>
            <w:shd w:val="clear" w:color="auto" w:fill="E9E9E9"/>
            <w:noWrap/>
            <w:vAlign w:val="bottom"/>
            <w:hideMark/>
          </w:tcPr>
          <w:p w14:paraId="6FBEF335" w14:textId="2808ACB0" w:rsidR="007D57ED" w:rsidRPr="007D57ED" w:rsidRDefault="007D57ED" w:rsidP="0099164B">
            <w:pPr>
              <w:pStyle w:val="Tablesinglespacedparagraph"/>
              <w:jc w:val="center"/>
              <w:rPr>
                <w:lang w:eastAsia="en-NZ"/>
              </w:rPr>
            </w:pPr>
            <w:r w:rsidRPr="007D57ED">
              <w:rPr>
                <w:lang w:eastAsia="en-NZ"/>
              </w:rPr>
              <w:t>2510</w:t>
            </w:r>
          </w:p>
        </w:tc>
        <w:tc>
          <w:tcPr>
            <w:tcW w:w="1374" w:type="dxa"/>
            <w:shd w:val="clear" w:color="auto" w:fill="E9E9E9"/>
            <w:noWrap/>
            <w:vAlign w:val="bottom"/>
            <w:hideMark/>
          </w:tcPr>
          <w:p w14:paraId="0B851D09" w14:textId="77777777" w:rsidR="007D57ED" w:rsidRPr="007D57ED" w:rsidRDefault="007D57ED" w:rsidP="0099164B">
            <w:pPr>
              <w:pStyle w:val="Tablesinglespacedparagraph"/>
              <w:jc w:val="center"/>
              <w:rPr>
                <w:lang w:eastAsia="en-NZ"/>
              </w:rPr>
            </w:pPr>
            <w:r w:rsidRPr="007D57ED">
              <w:rPr>
                <w:lang w:eastAsia="en-NZ"/>
              </w:rPr>
              <w:t>647</w:t>
            </w:r>
          </w:p>
        </w:tc>
      </w:tr>
      <w:tr w:rsidR="007D57ED" w:rsidRPr="007D57ED" w14:paraId="0DC78053" w14:textId="77777777" w:rsidTr="0099164B">
        <w:trPr>
          <w:trHeight w:val="255"/>
        </w:trPr>
        <w:tc>
          <w:tcPr>
            <w:tcW w:w="1550" w:type="dxa"/>
            <w:shd w:val="clear" w:color="auto" w:fill="E9E9E9"/>
            <w:noWrap/>
            <w:vAlign w:val="bottom"/>
            <w:hideMark/>
          </w:tcPr>
          <w:p w14:paraId="7BBEBD9F" w14:textId="77777777" w:rsidR="007D57ED" w:rsidRPr="007D57ED" w:rsidRDefault="007D57ED" w:rsidP="0099164B">
            <w:pPr>
              <w:pStyle w:val="Tablesinglespacedparagraph"/>
              <w:rPr>
                <w:lang w:eastAsia="en-NZ"/>
              </w:rPr>
            </w:pPr>
            <w:r w:rsidRPr="007D57ED">
              <w:rPr>
                <w:lang w:eastAsia="en-NZ"/>
              </w:rPr>
              <w:t>Jun-15</w:t>
            </w:r>
          </w:p>
        </w:tc>
        <w:tc>
          <w:tcPr>
            <w:tcW w:w="1417" w:type="dxa"/>
            <w:shd w:val="clear" w:color="auto" w:fill="E9E9E9"/>
            <w:noWrap/>
            <w:vAlign w:val="bottom"/>
            <w:hideMark/>
          </w:tcPr>
          <w:p w14:paraId="5F7D7D90" w14:textId="2981B8A0" w:rsidR="007D57ED" w:rsidRPr="007D57ED" w:rsidRDefault="007D57ED" w:rsidP="0099164B">
            <w:pPr>
              <w:pStyle w:val="Tablesinglespacedparagraph"/>
              <w:jc w:val="center"/>
              <w:rPr>
                <w:lang w:eastAsia="en-NZ"/>
              </w:rPr>
            </w:pPr>
            <w:r w:rsidRPr="007D57ED">
              <w:rPr>
                <w:lang w:eastAsia="en-NZ"/>
              </w:rPr>
              <w:t>2304</w:t>
            </w:r>
          </w:p>
        </w:tc>
        <w:tc>
          <w:tcPr>
            <w:tcW w:w="1635" w:type="dxa"/>
            <w:shd w:val="clear" w:color="auto" w:fill="E9E9E9"/>
            <w:noWrap/>
            <w:vAlign w:val="bottom"/>
            <w:hideMark/>
          </w:tcPr>
          <w:p w14:paraId="6C46E071" w14:textId="375B4C08" w:rsidR="007D57ED" w:rsidRPr="007D57ED" w:rsidRDefault="007D57ED" w:rsidP="0099164B">
            <w:pPr>
              <w:pStyle w:val="Tablesinglespacedparagraph"/>
              <w:jc w:val="center"/>
              <w:rPr>
                <w:lang w:eastAsia="en-NZ"/>
              </w:rPr>
            </w:pPr>
            <w:r w:rsidRPr="007D57ED">
              <w:rPr>
                <w:lang w:eastAsia="en-NZ"/>
              </w:rPr>
              <w:t>2951</w:t>
            </w:r>
          </w:p>
        </w:tc>
        <w:tc>
          <w:tcPr>
            <w:tcW w:w="1560" w:type="dxa"/>
            <w:shd w:val="clear" w:color="auto" w:fill="E9E9E9"/>
            <w:noWrap/>
            <w:vAlign w:val="bottom"/>
            <w:hideMark/>
          </w:tcPr>
          <w:p w14:paraId="761D34CD" w14:textId="0F2C3BC2" w:rsidR="007D57ED" w:rsidRPr="007D57ED" w:rsidRDefault="007D57ED" w:rsidP="0099164B">
            <w:pPr>
              <w:pStyle w:val="Tablesinglespacedparagraph"/>
              <w:jc w:val="center"/>
              <w:rPr>
                <w:lang w:eastAsia="en-NZ"/>
              </w:rPr>
            </w:pPr>
            <w:r w:rsidRPr="007D57ED">
              <w:rPr>
                <w:lang w:eastAsia="en-NZ"/>
              </w:rPr>
              <w:t>2226</w:t>
            </w:r>
          </w:p>
        </w:tc>
        <w:tc>
          <w:tcPr>
            <w:tcW w:w="1374" w:type="dxa"/>
            <w:shd w:val="clear" w:color="auto" w:fill="E9E9E9"/>
            <w:noWrap/>
            <w:vAlign w:val="bottom"/>
            <w:hideMark/>
          </w:tcPr>
          <w:p w14:paraId="597F9016" w14:textId="77777777" w:rsidR="007D57ED" w:rsidRPr="007D57ED" w:rsidRDefault="007D57ED" w:rsidP="0099164B">
            <w:pPr>
              <w:pStyle w:val="Tablesinglespacedparagraph"/>
              <w:jc w:val="center"/>
              <w:rPr>
                <w:lang w:eastAsia="en-NZ"/>
              </w:rPr>
            </w:pPr>
            <w:r w:rsidRPr="007D57ED">
              <w:rPr>
                <w:lang w:eastAsia="en-NZ"/>
              </w:rPr>
              <w:t>727</w:t>
            </w:r>
          </w:p>
        </w:tc>
      </w:tr>
      <w:tr w:rsidR="007D57ED" w:rsidRPr="007D57ED" w14:paraId="570CAFAB" w14:textId="77777777" w:rsidTr="0099164B">
        <w:trPr>
          <w:trHeight w:val="255"/>
        </w:trPr>
        <w:tc>
          <w:tcPr>
            <w:tcW w:w="1550" w:type="dxa"/>
            <w:shd w:val="clear" w:color="auto" w:fill="E9E9E9"/>
            <w:noWrap/>
            <w:vAlign w:val="bottom"/>
            <w:hideMark/>
          </w:tcPr>
          <w:p w14:paraId="3992ABF2" w14:textId="77777777" w:rsidR="007D57ED" w:rsidRPr="007D57ED" w:rsidRDefault="007D57ED" w:rsidP="0099164B">
            <w:pPr>
              <w:pStyle w:val="Tablesinglespacedparagraph"/>
              <w:rPr>
                <w:lang w:eastAsia="en-NZ"/>
              </w:rPr>
            </w:pPr>
            <w:r w:rsidRPr="007D57ED">
              <w:rPr>
                <w:lang w:eastAsia="en-NZ"/>
              </w:rPr>
              <w:t>Jun-16</w:t>
            </w:r>
          </w:p>
        </w:tc>
        <w:tc>
          <w:tcPr>
            <w:tcW w:w="1417" w:type="dxa"/>
            <w:shd w:val="clear" w:color="auto" w:fill="E9E9E9"/>
            <w:noWrap/>
            <w:vAlign w:val="bottom"/>
            <w:hideMark/>
          </w:tcPr>
          <w:p w14:paraId="4ADB3ACE" w14:textId="3F0B5585" w:rsidR="007D57ED" w:rsidRPr="007D57ED" w:rsidRDefault="007D57ED" w:rsidP="0099164B">
            <w:pPr>
              <w:pStyle w:val="Tablesinglespacedparagraph"/>
              <w:jc w:val="center"/>
              <w:rPr>
                <w:lang w:eastAsia="en-NZ"/>
              </w:rPr>
            </w:pPr>
            <w:r w:rsidRPr="007D57ED">
              <w:rPr>
                <w:lang w:eastAsia="en-NZ"/>
              </w:rPr>
              <w:t>2054</w:t>
            </w:r>
          </w:p>
        </w:tc>
        <w:tc>
          <w:tcPr>
            <w:tcW w:w="1635" w:type="dxa"/>
            <w:shd w:val="clear" w:color="auto" w:fill="E9E9E9"/>
            <w:noWrap/>
            <w:vAlign w:val="bottom"/>
            <w:hideMark/>
          </w:tcPr>
          <w:p w14:paraId="576BCD26" w14:textId="452D8C5E" w:rsidR="007D57ED" w:rsidRPr="007D57ED" w:rsidRDefault="007D57ED" w:rsidP="0099164B">
            <w:pPr>
              <w:pStyle w:val="Tablesinglespacedparagraph"/>
              <w:jc w:val="center"/>
              <w:rPr>
                <w:lang w:eastAsia="en-NZ"/>
              </w:rPr>
            </w:pPr>
            <w:r w:rsidRPr="007D57ED">
              <w:rPr>
                <w:lang w:eastAsia="en-NZ"/>
              </w:rPr>
              <w:t>2781</w:t>
            </w:r>
          </w:p>
        </w:tc>
        <w:tc>
          <w:tcPr>
            <w:tcW w:w="1560" w:type="dxa"/>
            <w:shd w:val="clear" w:color="auto" w:fill="E9E9E9"/>
            <w:noWrap/>
            <w:vAlign w:val="bottom"/>
            <w:hideMark/>
          </w:tcPr>
          <w:p w14:paraId="5DA9FC40" w14:textId="67ED580A" w:rsidR="007D57ED" w:rsidRPr="007D57ED" w:rsidRDefault="007D57ED" w:rsidP="0099164B">
            <w:pPr>
              <w:pStyle w:val="Tablesinglespacedparagraph"/>
              <w:jc w:val="center"/>
              <w:rPr>
                <w:lang w:eastAsia="en-NZ"/>
              </w:rPr>
            </w:pPr>
            <w:r w:rsidRPr="007D57ED">
              <w:rPr>
                <w:lang w:eastAsia="en-NZ"/>
              </w:rPr>
              <w:t>2241</w:t>
            </w:r>
          </w:p>
        </w:tc>
        <w:tc>
          <w:tcPr>
            <w:tcW w:w="1374" w:type="dxa"/>
            <w:shd w:val="clear" w:color="auto" w:fill="E9E9E9"/>
            <w:noWrap/>
            <w:vAlign w:val="bottom"/>
            <w:hideMark/>
          </w:tcPr>
          <w:p w14:paraId="5D3F0E19" w14:textId="77777777" w:rsidR="007D57ED" w:rsidRPr="007D57ED" w:rsidRDefault="007D57ED" w:rsidP="0099164B">
            <w:pPr>
              <w:pStyle w:val="Tablesinglespacedparagraph"/>
              <w:jc w:val="center"/>
              <w:rPr>
                <w:lang w:eastAsia="en-NZ"/>
              </w:rPr>
            </w:pPr>
            <w:r w:rsidRPr="007D57ED">
              <w:rPr>
                <w:lang w:eastAsia="en-NZ"/>
              </w:rPr>
              <w:t>542</w:t>
            </w:r>
          </w:p>
        </w:tc>
      </w:tr>
      <w:tr w:rsidR="007D57ED" w:rsidRPr="007D57ED" w14:paraId="162832A0" w14:textId="77777777" w:rsidTr="0099164B">
        <w:trPr>
          <w:trHeight w:val="255"/>
        </w:trPr>
        <w:tc>
          <w:tcPr>
            <w:tcW w:w="1550" w:type="dxa"/>
            <w:shd w:val="clear" w:color="auto" w:fill="E9E9E9"/>
            <w:noWrap/>
            <w:vAlign w:val="bottom"/>
            <w:hideMark/>
          </w:tcPr>
          <w:p w14:paraId="1CBC241E" w14:textId="77777777" w:rsidR="007D57ED" w:rsidRPr="007D57ED" w:rsidRDefault="007D57ED" w:rsidP="0099164B">
            <w:pPr>
              <w:pStyle w:val="Tablesinglespacedparagraph"/>
              <w:rPr>
                <w:lang w:eastAsia="en-NZ"/>
              </w:rPr>
            </w:pPr>
            <w:r w:rsidRPr="007D57ED">
              <w:rPr>
                <w:lang w:eastAsia="en-NZ"/>
              </w:rPr>
              <w:t>Jun-17</w:t>
            </w:r>
          </w:p>
        </w:tc>
        <w:tc>
          <w:tcPr>
            <w:tcW w:w="1417" w:type="dxa"/>
            <w:shd w:val="clear" w:color="auto" w:fill="E9E9E9"/>
            <w:noWrap/>
            <w:vAlign w:val="bottom"/>
            <w:hideMark/>
          </w:tcPr>
          <w:p w14:paraId="78C24313" w14:textId="70F4FDB1" w:rsidR="007D57ED" w:rsidRPr="007D57ED" w:rsidRDefault="007D57ED" w:rsidP="0099164B">
            <w:pPr>
              <w:pStyle w:val="Tablesinglespacedparagraph"/>
              <w:jc w:val="center"/>
              <w:rPr>
                <w:lang w:eastAsia="en-NZ"/>
              </w:rPr>
            </w:pPr>
            <w:r w:rsidRPr="007D57ED">
              <w:rPr>
                <w:lang w:eastAsia="en-NZ"/>
              </w:rPr>
              <w:t>2191</w:t>
            </w:r>
          </w:p>
        </w:tc>
        <w:tc>
          <w:tcPr>
            <w:tcW w:w="1635" w:type="dxa"/>
            <w:shd w:val="clear" w:color="auto" w:fill="E9E9E9"/>
            <w:noWrap/>
            <w:vAlign w:val="bottom"/>
            <w:hideMark/>
          </w:tcPr>
          <w:p w14:paraId="4F94283D" w14:textId="0894016A" w:rsidR="007D57ED" w:rsidRPr="007D57ED" w:rsidRDefault="007D57ED" w:rsidP="0099164B">
            <w:pPr>
              <w:pStyle w:val="Tablesinglespacedparagraph"/>
              <w:jc w:val="center"/>
              <w:rPr>
                <w:lang w:eastAsia="en-NZ"/>
              </w:rPr>
            </w:pPr>
            <w:r w:rsidRPr="007D57ED">
              <w:rPr>
                <w:lang w:eastAsia="en-NZ"/>
              </w:rPr>
              <w:t>2733</w:t>
            </w:r>
          </w:p>
        </w:tc>
        <w:tc>
          <w:tcPr>
            <w:tcW w:w="1560" w:type="dxa"/>
            <w:shd w:val="clear" w:color="auto" w:fill="E9E9E9"/>
            <w:noWrap/>
            <w:vAlign w:val="bottom"/>
            <w:hideMark/>
          </w:tcPr>
          <w:p w14:paraId="01D87B37" w14:textId="5B4F70FF" w:rsidR="007D57ED" w:rsidRPr="007D57ED" w:rsidRDefault="007D57ED" w:rsidP="0099164B">
            <w:pPr>
              <w:pStyle w:val="Tablesinglespacedparagraph"/>
              <w:jc w:val="center"/>
              <w:rPr>
                <w:lang w:eastAsia="en-NZ"/>
              </w:rPr>
            </w:pPr>
            <w:r w:rsidRPr="007D57ED">
              <w:rPr>
                <w:lang w:eastAsia="en-NZ"/>
              </w:rPr>
              <w:t>2285</w:t>
            </w:r>
          </w:p>
        </w:tc>
        <w:tc>
          <w:tcPr>
            <w:tcW w:w="1374" w:type="dxa"/>
            <w:shd w:val="clear" w:color="auto" w:fill="E9E9E9"/>
            <w:noWrap/>
            <w:vAlign w:val="bottom"/>
            <w:hideMark/>
          </w:tcPr>
          <w:p w14:paraId="68FB924B" w14:textId="77777777" w:rsidR="007D57ED" w:rsidRPr="007D57ED" w:rsidRDefault="007D57ED" w:rsidP="0099164B">
            <w:pPr>
              <w:pStyle w:val="Tablesinglespacedparagraph"/>
              <w:jc w:val="center"/>
              <w:rPr>
                <w:lang w:eastAsia="en-NZ"/>
              </w:rPr>
            </w:pPr>
            <w:r w:rsidRPr="007D57ED">
              <w:rPr>
                <w:lang w:eastAsia="en-NZ"/>
              </w:rPr>
              <w:t>430</w:t>
            </w:r>
          </w:p>
        </w:tc>
      </w:tr>
      <w:tr w:rsidR="007D57ED" w:rsidRPr="007D57ED" w14:paraId="7CA803D0" w14:textId="77777777" w:rsidTr="0099164B">
        <w:trPr>
          <w:trHeight w:val="255"/>
        </w:trPr>
        <w:tc>
          <w:tcPr>
            <w:tcW w:w="1550" w:type="dxa"/>
            <w:tcBorders>
              <w:bottom w:val="single" w:sz="8" w:space="0" w:color="FFFFFF"/>
            </w:tcBorders>
            <w:shd w:val="clear" w:color="auto" w:fill="E9E9E9"/>
            <w:noWrap/>
            <w:vAlign w:val="bottom"/>
            <w:hideMark/>
          </w:tcPr>
          <w:p w14:paraId="1F2AD368" w14:textId="77777777" w:rsidR="007D57ED" w:rsidRPr="007D57ED" w:rsidRDefault="007D57ED" w:rsidP="0099164B">
            <w:pPr>
              <w:pStyle w:val="Tablesinglespacedparagraph"/>
              <w:rPr>
                <w:lang w:eastAsia="en-NZ"/>
              </w:rPr>
            </w:pPr>
            <w:r w:rsidRPr="007D57ED">
              <w:rPr>
                <w:lang w:eastAsia="en-NZ"/>
              </w:rPr>
              <w:t>Jun-18</w:t>
            </w:r>
          </w:p>
        </w:tc>
        <w:tc>
          <w:tcPr>
            <w:tcW w:w="1417" w:type="dxa"/>
            <w:tcBorders>
              <w:bottom w:val="single" w:sz="8" w:space="0" w:color="FFFFFF"/>
            </w:tcBorders>
            <w:shd w:val="clear" w:color="auto" w:fill="E9E9E9"/>
            <w:noWrap/>
            <w:vAlign w:val="bottom"/>
            <w:hideMark/>
          </w:tcPr>
          <w:p w14:paraId="48FD07DC" w14:textId="5A1B6D7E" w:rsidR="007D57ED" w:rsidRPr="007D57ED" w:rsidRDefault="007D57ED" w:rsidP="0099164B">
            <w:pPr>
              <w:pStyle w:val="Tablesinglespacedparagraph"/>
              <w:jc w:val="center"/>
              <w:rPr>
                <w:lang w:eastAsia="en-NZ"/>
              </w:rPr>
            </w:pPr>
            <w:r w:rsidRPr="007D57ED">
              <w:rPr>
                <w:lang w:eastAsia="en-NZ"/>
              </w:rPr>
              <w:t>2263</w:t>
            </w:r>
          </w:p>
        </w:tc>
        <w:tc>
          <w:tcPr>
            <w:tcW w:w="1635" w:type="dxa"/>
            <w:tcBorders>
              <w:bottom w:val="single" w:sz="8" w:space="0" w:color="FFFFFF"/>
            </w:tcBorders>
            <w:shd w:val="clear" w:color="auto" w:fill="E9E9E9"/>
            <w:noWrap/>
            <w:vAlign w:val="bottom"/>
            <w:hideMark/>
          </w:tcPr>
          <w:p w14:paraId="2E235CEA" w14:textId="20597316" w:rsidR="007D57ED" w:rsidRPr="007D57ED" w:rsidRDefault="007D57ED" w:rsidP="0099164B">
            <w:pPr>
              <w:pStyle w:val="Tablesinglespacedparagraph"/>
              <w:jc w:val="center"/>
              <w:rPr>
                <w:lang w:eastAsia="en-NZ"/>
              </w:rPr>
            </w:pPr>
            <w:r w:rsidRPr="007D57ED">
              <w:rPr>
                <w:lang w:eastAsia="en-NZ"/>
              </w:rPr>
              <w:t>2693</w:t>
            </w:r>
          </w:p>
        </w:tc>
        <w:tc>
          <w:tcPr>
            <w:tcW w:w="1560" w:type="dxa"/>
            <w:tcBorders>
              <w:bottom w:val="single" w:sz="8" w:space="0" w:color="FFFFFF"/>
            </w:tcBorders>
            <w:shd w:val="clear" w:color="auto" w:fill="E9E9E9"/>
            <w:noWrap/>
            <w:vAlign w:val="bottom"/>
            <w:hideMark/>
          </w:tcPr>
          <w:p w14:paraId="1DB03641" w14:textId="65BF1525" w:rsidR="007D57ED" w:rsidRPr="007D57ED" w:rsidRDefault="007D57ED" w:rsidP="0099164B">
            <w:pPr>
              <w:pStyle w:val="Tablesinglespacedparagraph"/>
              <w:jc w:val="center"/>
              <w:rPr>
                <w:lang w:eastAsia="en-NZ"/>
              </w:rPr>
            </w:pPr>
            <w:r w:rsidRPr="007D57ED">
              <w:rPr>
                <w:lang w:eastAsia="en-NZ"/>
              </w:rPr>
              <w:t>2398</w:t>
            </w:r>
          </w:p>
        </w:tc>
        <w:tc>
          <w:tcPr>
            <w:tcW w:w="1374" w:type="dxa"/>
            <w:tcBorders>
              <w:bottom w:val="single" w:sz="8" w:space="0" w:color="FFFFFF"/>
            </w:tcBorders>
            <w:shd w:val="clear" w:color="auto" w:fill="E9E9E9"/>
            <w:noWrap/>
            <w:vAlign w:val="bottom"/>
            <w:hideMark/>
          </w:tcPr>
          <w:p w14:paraId="0C1E2CC4" w14:textId="77777777" w:rsidR="007D57ED" w:rsidRPr="007D57ED" w:rsidRDefault="007D57ED" w:rsidP="0099164B">
            <w:pPr>
              <w:pStyle w:val="Tablesinglespacedparagraph"/>
              <w:jc w:val="center"/>
              <w:rPr>
                <w:lang w:eastAsia="en-NZ"/>
              </w:rPr>
            </w:pPr>
            <w:r w:rsidRPr="007D57ED">
              <w:rPr>
                <w:lang w:eastAsia="en-NZ"/>
              </w:rPr>
              <w:t>296</w:t>
            </w:r>
          </w:p>
        </w:tc>
      </w:tr>
      <w:tr w:rsidR="007D57ED" w:rsidRPr="007D57ED" w14:paraId="7C72B814" w14:textId="77777777" w:rsidTr="0099164B">
        <w:trPr>
          <w:trHeight w:val="255"/>
        </w:trPr>
        <w:tc>
          <w:tcPr>
            <w:tcW w:w="1550" w:type="dxa"/>
            <w:shd w:val="clear" w:color="auto" w:fill="E9E9E9"/>
            <w:noWrap/>
            <w:vAlign w:val="bottom"/>
            <w:hideMark/>
          </w:tcPr>
          <w:p w14:paraId="54A72DA2" w14:textId="77777777" w:rsidR="007D57ED" w:rsidRPr="007D57ED" w:rsidRDefault="007D57ED" w:rsidP="0099164B">
            <w:pPr>
              <w:pStyle w:val="Tablesinglespacedparagraph"/>
              <w:rPr>
                <w:lang w:eastAsia="en-NZ"/>
              </w:rPr>
            </w:pPr>
            <w:r w:rsidRPr="007D57ED">
              <w:rPr>
                <w:lang w:eastAsia="en-NZ"/>
              </w:rPr>
              <w:t>Jun-19</w:t>
            </w:r>
          </w:p>
        </w:tc>
        <w:tc>
          <w:tcPr>
            <w:tcW w:w="1417" w:type="dxa"/>
            <w:shd w:val="clear" w:color="auto" w:fill="E9E9E9"/>
            <w:noWrap/>
            <w:vAlign w:val="bottom"/>
            <w:hideMark/>
          </w:tcPr>
          <w:p w14:paraId="2C8E8F6C" w14:textId="5EC001F3" w:rsidR="007D57ED" w:rsidRPr="007D57ED" w:rsidRDefault="007D57ED" w:rsidP="0099164B">
            <w:pPr>
              <w:pStyle w:val="Tablesinglespacedparagraph"/>
              <w:jc w:val="center"/>
              <w:rPr>
                <w:lang w:eastAsia="en-NZ"/>
              </w:rPr>
            </w:pPr>
            <w:r w:rsidRPr="007D57ED">
              <w:rPr>
                <w:lang w:eastAsia="en-NZ"/>
              </w:rPr>
              <w:t>2413</w:t>
            </w:r>
          </w:p>
        </w:tc>
        <w:tc>
          <w:tcPr>
            <w:tcW w:w="1635" w:type="dxa"/>
            <w:shd w:val="clear" w:color="auto" w:fill="E9E9E9"/>
            <w:noWrap/>
            <w:vAlign w:val="bottom"/>
            <w:hideMark/>
          </w:tcPr>
          <w:p w14:paraId="7420E777" w14:textId="305A8C99" w:rsidR="007D57ED" w:rsidRPr="007D57ED" w:rsidRDefault="007D57ED" w:rsidP="0099164B">
            <w:pPr>
              <w:pStyle w:val="Tablesinglespacedparagraph"/>
              <w:jc w:val="center"/>
              <w:rPr>
                <w:lang w:eastAsia="en-NZ"/>
              </w:rPr>
            </w:pPr>
            <w:r w:rsidRPr="007D57ED">
              <w:rPr>
                <w:lang w:eastAsia="en-NZ"/>
              </w:rPr>
              <w:t>2709</w:t>
            </w:r>
          </w:p>
        </w:tc>
        <w:tc>
          <w:tcPr>
            <w:tcW w:w="1560" w:type="dxa"/>
            <w:shd w:val="clear" w:color="auto" w:fill="E9E9E9"/>
            <w:noWrap/>
            <w:vAlign w:val="bottom"/>
            <w:hideMark/>
          </w:tcPr>
          <w:p w14:paraId="2D5CBA24" w14:textId="47680551" w:rsidR="007D57ED" w:rsidRPr="007D57ED" w:rsidRDefault="007D57ED" w:rsidP="0099164B">
            <w:pPr>
              <w:pStyle w:val="Tablesinglespacedparagraph"/>
              <w:jc w:val="center"/>
              <w:rPr>
                <w:lang w:eastAsia="en-NZ"/>
              </w:rPr>
            </w:pPr>
            <w:r w:rsidRPr="007D57ED">
              <w:rPr>
                <w:lang w:eastAsia="en-NZ"/>
              </w:rPr>
              <w:t>2355</w:t>
            </w:r>
          </w:p>
        </w:tc>
        <w:tc>
          <w:tcPr>
            <w:tcW w:w="1374" w:type="dxa"/>
            <w:shd w:val="clear" w:color="auto" w:fill="E9E9E9"/>
            <w:noWrap/>
            <w:vAlign w:val="bottom"/>
            <w:hideMark/>
          </w:tcPr>
          <w:p w14:paraId="595DBEEF" w14:textId="77777777" w:rsidR="007D57ED" w:rsidRPr="007D57ED" w:rsidRDefault="007D57ED" w:rsidP="0099164B">
            <w:pPr>
              <w:pStyle w:val="Tablesinglespacedparagraph"/>
              <w:jc w:val="center"/>
              <w:rPr>
                <w:lang w:eastAsia="en-NZ"/>
              </w:rPr>
            </w:pPr>
            <w:r w:rsidRPr="007D57ED">
              <w:rPr>
                <w:lang w:eastAsia="en-NZ"/>
              </w:rPr>
              <w:t>354</w:t>
            </w:r>
          </w:p>
        </w:tc>
      </w:tr>
      <w:tr w:rsidR="007D57ED" w:rsidRPr="007D57ED" w14:paraId="62898F81" w14:textId="77777777" w:rsidTr="0099164B">
        <w:trPr>
          <w:trHeight w:val="255"/>
        </w:trPr>
        <w:tc>
          <w:tcPr>
            <w:tcW w:w="1550" w:type="dxa"/>
            <w:shd w:val="clear" w:color="auto" w:fill="E9E9E9"/>
            <w:noWrap/>
            <w:vAlign w:val="bottom"/>
            <w:hideMark/>
          </w:tcPr>
          <w:p w14:paraId="580CCEA0" w14:textId="77777777" w:rsidR="007D57ED" w:rsidRPr="007D57ED" w:rsidRDefault="007D57ED" w:rsidP="0099164B">
            <w:pPr>
              <w:pStyle w:val="Tablesinglespacedparagraph"/>
              <w:rPr>
                <w:lang w:eastAsia="en-NZ"/>
              </w:rPr>
            </w:pPr>
            <w:r w:rsidRPr="007D57ED">
              <w:rPr>
                <w:lang w:eastAsia="en-NZ"/>
              </w:rPr>
              <w:t>Jun-20</w:t>
            </w:r>
          </w:p>
        </w:tc>
        <w:tc>
          <w:tcPr>
            <w:tcW w:w="1417" w:type="dxa"/>
            <w:shd w:val="clear" w:color="auto" w:fill="E9E9E9"/>
            <w:noWrap/>
            <w:vAlign w:val="bottom"/>
            <w:hideMark/>
          </w:tcPr>
          <w:p w14:paraId="7E5FB799" w14:textId="18234102" w:rsidR="007D57ED" w:rsidRPr="007D57ED" w:rsidRDefault="007D57ED" w:rsidP="0099164B">
            <w:pPr>
              <w:pStyle w:val="Tablesinglespacedparagraph"/>
              <w:jc w:val="center"/>
              <w:rPr>
                <w:lang w:eastAsia="en-NZ"/>
              </w:rPr>
            </w:pPr>
            <w:r w:rsidRPr="007D57ED">
              <w:rPr>
                <w:lang w:eastAsia="en-NZ"/>
              </w:rPr>
              <w:t>2811</w:t>
            </w:r>
          </w:p>
        </w:tc>
        <w:tc>
          <w:tcPr>
            <w:tcW w:w="1635" w:type="dxa"/>
            <w:shd w:val="clear" w:color="auto" w:fill="E9E9E9"/>
            <w:noWrap/>
            <w:vAlign w:val="bottom"/>
            <w:hideMark/>
          </w:tcPr>
          <w:p w14:paraId="391362DE" w14:textId="7365D517" w:rsidR="007D57ED" w:rsidRPr="007D57ED" w:rsidRDefault="007D57ED" w:rsidP="0099164B">
            <w:pPr>
              <w:pStyle w:val="Tablesinglespacedparagraph"/>
              <w:jc w:val="center"/>
              <w:rPr>
                <w:lang w:eastAsia="en-NZ"/>
              </w:rPr>
            </w:pPr>
            <w:r w:rsidRPr="007D57ED">
              <w:rPr>
                <w:lang w:eastAsia="en-NZ"/>
              </w:rPr>
              <w:t>3165</w:t>
            </w:r>
          </w:p>
        </w:tc>
        <w:tc>
          <w:tcPr>
            <w:tcW w:w="1560" w:type="dxa"/>
            <w:shd w:val="clear" w:color="auto" w:fill="E9E9E9"/>
            <w:noWrap/>
            <w:vAlign w:val="bottom"/>
            <w:hideMark/>
          </w:tcPr>
          <w:p w14:paraId="37C4A2E9" w14:textId="018D6DAB" w:rsidR="007D57ED" w:rsidRPr="007D57ED" w:rsidRDefault="007D57ED" w:rsidP="0099164B">
            <w:pPr>
              <w:pStyle w:val="Tablesinglespacedparagraph"/>
              <w:jc w:val="center"/>
              <w:rPr>
                <w:lang w:eastAsia="en-NZ"/>
              </w:rPr>
            </w:pPr>
            <w:r w:rsidRPr="007D57ED">
              <w:rPr>
                <w:lang w:eastAsia="en-NZ"/>
              </w:rPr>
              <w:t>2665</w:t>
            </w:r>
          </w:p>
        </w:tc>
        <w:tc>
          <w:tcPr>
            <w:tcW w:w="1374" w:type="dxa"/>
            <w:shd w:val="clear" w:color="auto" w:fill="E9E9E9"/>
            <w:noWrap/>
            <w:vAlign w:val="bottom"/>
            <w:hideMark/>
          </w:tcPr>
          <w:p w14:paraId="0DAA8A55" w14:textId="77777777" w:rsidR="007D57ED" w:rsidRPr="007D57ED" w:rsidRDefault="007D57ED" w:rsidP="0099164B">
            <w:pPr>
              <w:pStyle w:val="Tablesinglespacedparagraph"/>
              <w:jc w:val="center"/>
              <w:rPr>
                <w:lang w:eastAsia="en-NZ"/>
              </w:rPr>
            </w:pPr>
            <w:r w:rsidRPr="007D57ED">
              <w:rPr>
                <w:lang w:eastAsia="en-NZ"/>
              </w:rPr>
              <w:t>500</w:t>
            </w:r>
          </w:p>
        </w:tc>
      </w:tr>
    </w:tbl>
    <w:p w14:paraId="0030A6FB" w14:textId="7E0F9752" w:rsidR="007D57ED" w:rsidRDefault="007D57ED" w:rsidP="00DF1795">
      <w:pPr>
        <w:pStyle w:val="Singlespacedparagraph"/>
      </w:pPr>
    </w:p>
    <w:p w14:paraId="372D1854" w14:textId="4FCD6AF0" w:rsidR="0099164B" w:rsidRDefault="005B795D" w:rsidP="00DF1795">
      <w:pPr>
        <w:pStyle w:val="Singlespacedparagraph"/>
      </w:pPr>
      <w:hyperlink w:anchor="Figure4" w:history="1">
        <w:r w:rsidR="0099164B" w:rsidRPr="0099164B">
          <w:rPr>
            <w:rStyle w:val="Hyperlink"/>
          </w:rPr>
          <w:t>Return to Figure 4 in the text</w:t>
        </w:r>
      </w:hyperlink>
      <w:r w:rsidR="0099164B">
        <w:t xml:space="preserve">. </w:t>
      </w:r>
    </w:p>
    <w:p w14:paraId="5AE586C8" w14:textId="115CB489" w:rsidR="0099164B" w:rsidRDefault="0099164B" w:rsidP="00DF1795">
      <w:pPr>
        <w:pStyle w:val="Singlespacedparagraph"/>
      </w:pPr>
      <w:bookmarkStart w:id="187" w:name="Figure5table"/>
      <w:r w:rsidRPr="0099164B">
        <w:rPr>
          <w:b/>
        </w:rPr>
        <w:t>Figure 5</w:t>
      </w:r>
      <w:bookmarkEnd w:id="187"/>
      <w:r w:rsidRPr="0099164B">
        <w:rPr>
          <w:b/>
        </w:rPr>
        <w:t xml:space="preserve">: </w:t>
      </w:r>
      <w:r w:rsidR="00063117" w:rsidRPr="00063117">
        <w:rPr>
          <w:b/>
          <w:noProof/>
        </w:rPr>
        <w:t>OIA complaints received and actioned over the past 10 years</w:t>
      </w:r>
    </w:p>
    <w:tbl>
      <w:tblPr>
        <w:tblW w:w="7503" w:type="dxa"/>
        <w:shd w:val="clear" w:color="auto" w:fill="D3D3D3"/>
        <w:tblLook w:val="04A0" w:firstRow="1" w:lastRow="0" w:firstColumn="1" w:lastColumn="0" w:noHBand="0" w:noVBand="1"/>
      </w:tblPr>
      <w:tblGrid>
        <w:gridCol w:w="1550"/>
        <w:gridCol w:w="1417"/>
        <w:gridCol w:w="1701"/>
        <w:gridCol w:w="1559"/>
        <w:gridCol w:w="1276"/>
      </w:tblGrid>
      <w:tr w:rsidR="0099164B" w:rsidRPr="0099164B" w14:paraId="3FE6A492" w14:textId="77777777" w:rsidTr="00063117">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2BB673"/>
            <w:noWrap/>
            <w:vAlign w:val="bottom"/>
            <w:hideMark/>
          </w:tcPr>
          <w:p w14:paraId="2698CA81" w14:textId="77777777" w:rsidR="0099164B" w:rsidRPr="0099164B" w:rsidRDefault="0099164B" w:rsidP="0099164B">
            <w:pPr>
              <w:pStyle w:val="BodyText"/>
              <w:rPr>
                <w:rStyle w:val="Emphasis"/>
                <w:color w:val="FFFFFF" w:themeColor="background1"/>
              </w:rPr>
            </w:pPr>
            <w:r w:rsidRPr="0099164B">
              <w:rPr>
                <w:rStyle w:val="Emphasis"/>
                <w:color w:val="FFFFFF" w:themeColor="background1"/>
              </w:rPr>
              <w:t>Date</w:t>
            </w:r>
          </w:p>
        </w:tc>
        <w:tc>
          <w:tcPr>
            <w:tcW w:w="1417" w:type="dxa"/>
            <w:tcBorders>
              <w:top w:val="single" w:sz="8" w:space="0" w:color="FFFFFF"/>
              <w:left w:val="single" w:sz="8" w:space="0" w:color="FFFFFF"/>
              <w:bottom w:val="single" w:sz="8" w:space="0" w:color="FFFFFF"/>
              <w:right w:val="single" w:sz="8" w:space="0" w:color="FFFFFF"/>
            </w:tcBorders>
            <w:shd w:val="clear" w:color="auto" w:fill="2BB673"/>
            <w:noWrap/>
            <w:vAlign w:val="bottom"/>
            <w:hideMark/>
          </w:tcPr>
          <w:p w14:paraId="4E9D8D08" w14:textId="77777777" w:rsidR="0099164B" w:rsidRPr="0099164B" w:rsidRDefault="0099164B" w:rsidP="0099164B">
            <w:pPr>
              <w:pStyle w:val="BodyText"/>
              <w:jc w:val="center"/>
              <w:rPr>
                <w:rStyle w:val="Emphasis"/>
                <w:color w:val="FFFFFF" w:themeColor="background1"/>
              </w:rPr>
            </w:pPr>
            <w:r w:rsidRPr="0099164B">
              <w:rPr>
                <w:rStyle w:val="Emphasis"/>
                <w:color w:val="FFFFFF" w:themeColor="background1"/>
              </w:rPr>
              <w:t>Received</w:t>
            </w:r>
          </w:p>
        </w:tc>
        <w:tc>
          <w:tcPr>
            <w:tcW w:w="1701" w:type="dxa"/>
            <w:tcBorders>
              <w:top w:val="single" w:sz="8" w:space="0" w:color="FFFFFF"/>
              <w:left w:val="single" w:sz="8" w:space="0" w:color="FFFFFF"/>
              <w:bottom w:val="single" w:sz="8" w:space="0" w:color="FFFFFF"/>
              <w:right w:val="single" w:sz="8" w:space="0" w:color="FFFFFF"/>
            </w:tcBorders>
            <w:shd w:val="clear" w:color="auto" w:fill="2BB673"/>
            <w:noWrap/>
            <w:vAlign w:val="bottom"/>
            <w:hideMark/>
          </w:tcPr>
          <w:p w14:paraId="0D384167" w14:textId="77777777" w:rsidR="0099164B" w:rsidRPr="0099164B" w:rsidRDefault="0099164B" w:rsidP="0099164B">
            <w:pPr>
              <w:pStyle w:val="BodyText"/>
              <w:jc w:val="center"/>
              <w:rPr>
                <w:rStyle w:val="Emphasis"/>
                <w:color w:val="FFFFFF" w:themeColor="background1"/>
              </w:rPr>
            </w:pPr>
            <w:r w:rsidRPr="0099164B">
              <w:rPr>
                <w:rStyle w:val="Emphasis"/>
                <w:color w:val="FFFFFF" w:themeColor="background1"/>
              </w:rPr>
              <w:t>Under Action in the Year</w:t>
            </w:r>
          </w:p>
        </w:tc>
        <w:tc>
          <w:tcPr>
            <w:tcW w:w="1559" w:type="dxa"/>
            <w:tcBorders>
              <w:top w:val="single" w:sz="8" w:space="0" w:color="FFFFFF"/>
              <w:left w:val="single" w:sz="8" w:space="0" w:color="FFFFFF"/>
              <w:bottom w:val="single" w:sz="8" w:space="0" w:color="FFFFFF"/>
              <w:right w:val="single" w:sz="8" w:space="0" w:color="FFFFFF"/>
            </w:tcBorders>
            <w:shd w:val="clear" w:color="auto" w:fill="2BB673"/>
            <w:noWrap/>
            <w:vAlign w:val="bottom"/>
            <w:hideMark/>
          </w:tcPr>
          <w:p w14:paraId="4231C98F" w14:textId="77777777" w:rsidR="0099164B" w:rsidRPr="0099164B" w:rsidRDefault="0099164B" w:rsidP="0099164B">
            <w:pPr>
              <w:pStyle w:val="BodyText"/>
              <w:jc w:val="center"/>
              <w:rPr>
                <w:rStyle w:val="Emphasis"/>
                <w:color w:val="FFFFFF" w:themeColor="background1"/>
              </w:rPr>
            </w:pPr>
            <w:r w:rsidRPr="0099164B">
              <w:rPr>
                <w:rStyle w:val="Emphasis"/>
                <w:color w:val="FFFFFF" w:themeColor="background1"/>
              </w:rPr>
              <w:t>Completed</w:t>
            </w:r>
          </w:p>
        </w:tc>
        <w:tc>
          <w:tcPr>
            <w:tcW w:w="1276" w:type="dxa"/>
            <w:tcBorders>
              <w:top w:val="single" w:sz="8" w:space="0" w:color="FFFFFF"/>
              <w:left w:val="single" w:sz="8" w:space="0" w:color="FFFFFF"/>
              <w:bottom w:val="single" w:sz="8" w:space="0" w:color="FFFFFF"/>
              <w:right w:val="single" w:sz="8" w:space="0" w:color="FFFFFF"/>
            </w:tcBorders>
            <w:shd w:val="clear" w:color="auto" w:fill="2BB673"/>
            <w:noWrap/>
            <w:vAlign w:val="bottom"/>
            <w:hideMark/>
          </w:tcPr>
          <w:p w14:paraId="0B0E552F" w14:textId="77777777" w:rsidR="0099164B" w:rsidRPr="0099164B" w:rsidRDefault="0099164B" w:rsidP="0099164B">
            <w:pPr>
              <w:pStyle w:val="BodyText"/>
              <w:jc w:val="center"/>
              <w:rPr>
                <w:rStyle w:val="Emphasis"/>
                <w:color w:val="FFFFFF" w:themeColor="background1"/>
              </w:rPr>
            </w:pPr>
            <w:r w:rsidRPr="0099164B">
              <w:rPr>
                <w:rStyle w:val="Emphasis"/>
                <w:color w:val="FFFFFF" w:themeColor="background1"/>
              </w:rPr>
              <w:t>On Hand at Year End</w:t>
            </w:r>
          </w:p>
        </w:tc>
      </w:tr>
      <w:tr w:rsidR="0099164B" w:rsidRPr="0099164B" w14:paraId="2FF0E141" w14:textId="77777777" w:rsidTr="00063117">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0E444D3C" w14:textId="77777777" w:rsidR="0099164B" w:rsidRPr="0099164B" w:rsidRDefault="0099164B" w:rsidP="0099164B">
            <w:pPr>
              <w:pStyle w:val="Singlespacedparagraph"/>
              <w:rPr>
                <w:lang w:eastAsia="en-NZ"/>
              </w:rPr>
            </w:pPr>
            <w:r w:rsidRPr="0099164B">
              <w:rPr>
                <w:lang w:eastAsia="en-NZ"/>
              </w:rPr>
              <w:t>Jun-10</w:t>
            </w:r>
          </w:p>
        </w:tc>
        <w:tc>
          <w:tcPr>
            <w:tcW w:w="1417"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6D53A241" w14:textId="77777777" w:rsidR="0099164B" w:rsidRPr="0099164B" w:rsidRDefault="0099164B" w:rsidP="0099164B">
            <w:pPr>
              <w:pStyle w:val="Singlespacedparagraph"/>
              <w:jc w:val="center"/>
              <w:rPr>
                <w:lang w:eastAsia="en-NZ"/>
              </w:rPr>
            </w:pPr>
            <w:r w:rsidRPr="0099164B">
              <w:rPr>
                <w:lang w:eastAsia="en-NZ"/>
              </w:rPr>
              <w:t>920</w:t>
            </w:r>
          </w:p>
        </w:tc>
        <w:tc>
          <w:tcPr>
            <w:tcW w:w="1701"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3C847EF1" w14:textId="77777777" w:rsidR="0099164B" w:rsidRPr="0099164B" w:rsidRDefault="0099164B" w:rsidP="0099164B">
            <w:pPr>
              <w:pStyle w:val="Singlespacedparagraph"/>
              <w:jc w:val="center"/>
              <w:rPr>
                <w:lang w:eastAsia="en-NZ"/>
              </w:rPr>
            </w:pPr>
            <w:r w:rsidRPr="0099164B">
              <w:rPr>
                <w:lang w:eastAsia="en-NZ"/>
              </w:rPr>
              <w:t>1348</w:t>
            </w:r>
          </w:p>
        </w:tc>
        <w:tc>
          <w:tcPr>
            <w:tcW w:w="1559"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4206A99C" w14:textId="77777777" w:rsidR="0099164B" w:rsidRPr="0099164B" w:rsidRDefault="0099164B" w:rsidP="0099164B">
            <w:pPr>
              <w:pStyle w:val="Singlespacedparagraph"/>
              <w:jc w:val="center"/>
              <w:rPr>
                <w:lang w:eastAsia="en-NZ"/>
              </w:rPr>
            </w:pPr>
            <w:r w:rsidRPr="0099164B">
              <w:rPr>
                <w:lang w:eastAsia="en-NZ"/>
              </w:rPr>
              <w:t>800</w:t>
            </w:r>
          </w:p>
        </w:tc>
        <w:tc>
          <w:tcPr>
            <w:tcW w:w="1276"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14A59925" w14:textId="77777777" w:rsidR="0099164B" w:rsidRPr="0099164B" w:rsidRDefault="0099164B" w:rsidP="0099164B">
            <w:pPr>
              <w:pStyle w:val="Singlespacedparagraph"/>
              <w:jc w:val="center"/>
              <w:rPr>
                <w:lang w:eastAsia="en-NZ"/>
              </w:rPr>
            </w:pPr>
            <w:r w:rsidRPr="0099164B">
              <w:rPr>
                <w:lang w:eastAsia="en-NZ"/>
              </w:rPr>
              <w:t>548</w:t>
            </w:r>
          </w:p>
        </w:tc>
      </w:tr>
      <w:tr w:rsidR="0099164B" w:rsidRPr="0099164B" w14:paraId="780B45AF" w14:textId="77777777" w:rsidTr="00063117">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46FE5906" w14:textId="77777777" w:rsidR="0099164B" w:rsidRPr="0099164B" w:rsidRDefault="0099164B" w:rsidP="0099164B">
            <w:pPr>
              <w:pStyle w:val="Singlespacedparagraph"/>
              <w:rPr>
                <w:lang w:eastAsia="en-NZ"/>
              </w:rPr>
            </w:pPr>
            <w:r w:rsidRPr="0099164B">
              <w:rPr>
                <w:lang w:eastAsia="en-NZ"/>
              </w:rPr>
              <w:t>Jun-11</w:t>
            </w:r>
          </w:p>
        </w:tc>
        <w:tc>
          <w:tcPr>
            <w:tcW w:w="1417"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26AA0FED" w14:textId="77777777" w:rsidR="0099164B" w:rsidRPr="0099164B" w:rsidRDefault="0099164B" w:rsidP="0099164B">
            <w:pPr>
              <w:pStyle w:val="Singlespacedparagraph"/>
              <w:jc w:val="center"/>
              <w:rPr>
                <w:lang w:eastAsia="en-NZ"/>
              </w:rPr>
            </w:pPr>
            <w:r w:rsidRPr="0099164B">
              <w:rPr>
                <w:lang w:eastAsia="en-NZ"/>
              </w:rPr>
              <w:t>992</w:t>
            </w:r>
          </w:p>
        </w:tc>
        <w:tc>
          <w:tcPr>
            <w:tcW w:w="1701"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6531BB48" w14:textId="77777777" w:rsidR="0099164B" w:rsidRPr="0099164B" w:rsidRDefault="0099164B" w:rsidP="0099164B">
            <w:pPr>
              <w:pStyle w:val="Singlespacedparagraph"/>
              <w:jc w:val="center"/>
              <w:rPr>
                <w:lang w:eastAsia="en-NZ"/>
              </w:rPr>
            </w:pPr>
            <w:r w:rsidRPr="0099164B">
              <w:rPr>
                <w:lang w:eastAsia="en-NZ"/>
              </w:rPr>
              <w:t>1542</w:t>
            </w:r>
          </w:p>
        </w:tc>
        <w:tc>
          <w:tcPr>
            <w:tcW w:w="1559"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3FEA9E3C" w14:textId="77777777" w:rsidR="0099164B" w:rsidRPr="0099164B" w:rsidRDefault="0099164B" w:rsidP="0099164B">
            <w:pPr>
              <w:pStyle w:val="Singlespacedparagraph"/>
              <w:jc w:val="center"/>
              <w:rPr>
                <w:lang w:eastAsia="en-NZ"/>
              </w:rPr>
            </w:pPr>
            <w:r w:rsidRPr="0099164B">
              <w:rPr>
                <w:lang w:eastAsia="en-NZ"/>
              </w:rPr>
              <w:t>1038</w:t>
            </w:r>
          </w:p>
        </w:tc>
        <w:tc>
          <w:tcPr>
            <w:tcW w:w="1276"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26C53EE9" w14:textId="77777777" w:rsidR="0099164B" w:rsidRPr="0099164B" w:rsidRDefault="0099164B" w:rsidP="0099164B">
            <w:pPr>
              <w:pStyle w:val="Singlespacedparagraph"/>
              <w:jc w:val="center"/>
              <w:rPr>
                <w:lang w:eastAsia="en-NZ"/>
              </w:rPr>
            </w:pPr>
            <w:r w:rsidRPr="0099164B">
              <w:rPr>
                <w:lang w:eastAsia="en-NZ"/>
              </w:rPr>
              <w:t>504</w:t>
            </w:r>
          </w:p>
        </w:tc>
      </w:tr>
      <w:tr w:rsidR="0099164B" w:rsidRPr="0099164B" w14:paraId="5BEFB335" w14:textId="77777777" w:rsidTr="00063117">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637D50FE" w14:textId="77777777" w:rsidR="0099164B" w:rsidRPr="0099164B" w:rsidRDefault="0099164B" w:rsidP="0099164B">
            <w:pPr>
              <w:pStyle w:val="Singlespacedparagraph"/>
              <w:rPr>
                <w:lang w:eastAsia="en-NZ"/>
              </w:rPr>
            </w:pPr>
            <w:r w:rsidRPr="0099164B">
              <w:rPr>
                <w:lang w:eastAsia="en-NZ"/>
              </w:rPr>
              <w:t>Jun-12</w:t>
            </w:r>
          </w:p>
        </w:tc>
        <w:tc>
          <w:tcPr>
            <w:tcW w:w="1417"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59991B61" w14:textId="77777777" w:rsidR="0099164B" w:rsidRPr="0099164B" w:rsidRDefault="0099164B" w:rsidP="0099164B">
            <w:pPr>
              <w:pStyle w:val="Singlespacedparagraph"/>
              <w:jc w:val="center"/>
              <w:rPr>
                <w:lang w:eastAsia="en-NZ"/>
              </w:rPr>
            </w:pPr>
            <w:r w:rsidRPr="0099164B">
              <w:rPr>
                <w:lang w:eastAsia="en-NZ"/>
              </w:rPr>
              <w:t>1236</w:t>
            </w:r>
          </w:p>
        </w:tc>
        <w:tc>
          <w:tcPr>
            <w:tcW w:w="1701"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61BC42C9" w14:textId="77777777" w:rsidR="0099164B" w:rsidRPr="0099164B" w:rsidRDefault="0099164B" w:rsidP="0099164B">
            <w:pPr>
              <w:pStyle w:val="Singlespacedparagraph"/>
              <w:jc w:val="center"/>
              <w:rPr>
                <w:lang w:eastAsia="en-NZ"/>
              </w:rPr>
            </w:pPr>
            <w:r w:rsidRPr="0099164B">
              <w:rPr>
                <w:lang w:eastAsia="en-NZ"/>
              </w:rPr>
              <w:t>1740</w:t>
            </w:r>
          </w:p>
        </w:tc>
        <w:tc>
          <w:tcPr>
            <w:tcW w:w="1559"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0E5AFE1A" w14:textId="77777777" w:rsidR="0099164B" w:rsidRPr="0099164B" w:rsidRDefault="0099164B" w:rsidP="0099164B">
            <w:pPr>
              <w:pStyle w:val="Singlespacedparagraph"/>
              <w:jc w:val="center"/>
              <w:rPr>
                <w:lang w:eastAsia="en-NZ"/>
              </w:rPr>
            </w:pPr>
            <w:r w:rsidRPr="0099164B">
              <w:rPr>
                <w:lang w:eastAsia="en-NZ"/>
              </w:rPr>
              <w:t>1076</w:t>
            </w:r>
          </w:p>
        </w:tc>
        <w:tc>
          <w:tcPr>
            <w:tcW w:w="1276"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53D2E032" w14:textId="77777777" w:rsidR="0099164B" w:rsidRPr="0099164B" w:rsidRDefault="0099164B" w:rsidP="0099164B">
            <w:pPr>
              <w:pStyle w:val="Singlespacedparagraph"/>
              <w:jc w:val="center"/>
              <w:rPr>
                <w:lang w:eastAsia="en-NZ"/>
              </w:rPr>
            </w:pPr>
            <w:r w:rsidRPr="0099164B">
              <w:rPr>
                <w:lang w:eastAsia="en-NZ"/>
              </w:rPr>
              <w:t>664</w:t>
            </w:r>
          </w:p>
        </w:tc>
      </w:tr>
      <w:tr w:rsidR="0099164B" w:rsidRPr="0099164B" w14:paraId="0B11C676" w14:textId="77777777" w:rsidTr="00063117">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15BAD851" w14:textId="77777777" w:rsidR="0099164B" w:rsidRPr="0099164B" w:rsidRDefault="0099164B" w:rsidP="0099164B">
            <w:pPr>
              <w:pStyle w:val="Singlespacedparagraph"/>
              <w:rPr>
                <w:lang w:eastAsia="en-NZ"/>
              </w:rPr>
            </w:pPr>
            <w:r w:rsidRPr="0099164B">
              <w:rPr>
                <w:lang w:eastAsia="en-NZ"/>
              </w:rPr>
              <w:t>Jun-13</w:t>
            </w:r>
          </w:p>
        </w:tc>
        <w:tc>
          <w:tcPr>
            <w:tcW w:w="1417"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3C0949A8" w14:textId="77777777" w:rsidR="0099164B" w:rsidRPr="0099164B" w:rsidRDefault="0099164B" w:rsidP="0099164B">
            <w:pPr>
              <w:pStyle w:val="Singlespacedparagraph"/>
              <w:jc w:val="center"/>
              <w:rPr>
                <w:lang w:eastAsia="en-NZ"/>
              </w:rPr>
            </w:pPr>
            <w:r w:rsidRPr="0099164B">
              <w:rPr>
                <w:lang w:eastAsia="en-NZ"/>
              </w:rPr>
              <w:t>2373</w:t>
            </w:r>
          </w:p>
        </w:tc>
        <w:tc>
          <w:tcPr>
            <w:tcW w:w="1701"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4B5B8EA4" w14:textId="77777777" w:rsidR="0099164B" w:rsidRPr="0099164B" w:rsidRDefault="0099164B" w:rsidP="0099164B">
            <w:pPr>
              <w:pStyle w:val="Singlespacedparagraph"/>
              <w:jc w:val="center"/>
              <w:rPr>
                <w:lang w:eastAsia="en-NZ"/>
              </w:rPr>
            </w:pPr>
            <w:r w:rsidRPr="0099164B">
              <w:rPr>
                <w:lang w:eastAsia="en-NZ"/>
              </w:rPr>
              <w:t>3040</w:t>
            </w:r>
          </w:p>
        </w:tc>
        <w:tc>
          <w:tcPr>
            <w:tcW w:w="1559"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127C16E7" w14:textId="77777777" w:rsidR="0099164B" w:rsidRPr="0099164B" w:rsidRDefault="0099164B" w:rsidP="0099164B">
            <w:pPr>
              <w:pStyle w:val="Singlespacedparagraph"/>
              <w:jc w:val="center"/>
              <w:rPr>
                <w:lang w:eastAsia="en-NZ"/>
              </w:rPr>
            </w:pPr>
            <w:r w:rsidRPr="0099164B">
              <w:rPr>
                <w:lang w:eastAsia="en-NZ"/>
              </w:rPr>
              <w:t>1912</w:t>
            </w:r>
          </w:p>
        </w:tc>
        <w:tc>
          <w:tcPr>
            <w:tcW w:w="1276"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3D874FEB" w14:textId="77777777" w:rsidR="0099164B" w:rsidRPr="0099164B" w:rsidRDefault="0099164B" w:rsidP="0099164B">
            <w:pPr>
              <w:pStyle w:val="Singlespacedparagraph"/>
              <w:jc w:val="center"/>
              <w:rPr>
                <w:lang w:eastAsia="en-NZ"/>
              </w:rPr>
            </w:pPr>
            <w:r w:rsidRPr="0099164B">
              <w:rPr>
                <w:lang w:eastAsia="en-NZ"/>
              </w:rPr>
              <w:t>1129</w:t>
            </w:r>
          </w:p>
        </w:tc>
      </w:tr>
      <w:tr w:rsidR="0099164B" w:rsidRPr="0099164B" w14:paraId="17EA0E74" w14:textId="77777777" w:rsidTr="00063117">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43F75969" w14:textId="77777777" w:rsidR="0099164B" w:rsidRPr="0099164B" w:rsidRDefault="0099164B" w:rsidP="0099164B">
            <w:pPr>
              <w:pStyle w:val="Singlespacedparagraph"/>
              <w:rPr>
                <w:lang w:eastAsia="en-NZ"/>
              </w:rPr>
            </w:pPr>
            <w:r w:rsidRPr="0099164B">
              <w:rPr>
                <w:lang w:eastAsia="en-NZ"/>
              </w:rPr>
              <w:t>Jun-14</w:t>
            </w:r>
          </w:p>
        </w:tc>
        <w:tc>
          <w:tcPr>
            <w:tcW w:w="1417"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032DE1FF" w14:textId="77777777" w:rsidR="0099164B" w:rsidRPr="0099164B" w:rsidRDefault="0099164B" w:rsidP="0099164B">
            <w:pPr>
              <w:pStyle w:val="Singlespacedparagraph"/>
              <w:jc w:val="center"/>
              <w:rPr>
                <w:lang w:eastAsia="en-NZ"/>
              </w:rPr>
            </w:pPr>
            <w:r w:rsidRPr="0099164B">
              <w:rPr>
                <w:lang w:eastAsia="en-NZ"/>
              </w:rPr>
              <w:t>1207</w:t>
            </w:r>
          </w:p>
        </w:tc>
        <w:tc>
          <w:tcPr>
            <w:tcW w:w="1701"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1243A6BE" w14:textId="77777777" w:rsidR="0099164B" w:rsidRPr="0099164B" w:rsidRDefault="0099164B" w:rsidP="0099164B">
            <w:pPr>
              <w:pStyle w:val="Singlespacedparagraph"/>
              <w:jc w:val="center"/>
              <w:rPr>
                <w:lang w:eastAsia="en-NZ"/>
              </w:rPr>
            </w:pPr>
            <w:r w:rsidRPr="0099164B">
              <w:rPr>
                <w:lang w:eastAsia="en-NZ"/>
              </w:rPr>
              <w:t>2338</w:t>
            </w:r>
          </w:p>
        </w:tc>
        <w:tc>
          <w:tcPr>
            <w:tcW w:w="1559"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486075DB" w14:textId="77777777" w:rsidR="0099164B" w:rsidRPr="0099164B" w:rsidRDefault="0099164B" w:rsidP="0099164B">
            <w:pPr>
              <w:pStyle w:val="Singlespacedparagraph"/>
              <w:jc w:val="center"/>
              <w:rPr>
                <w:lang w:eastAsia="en-NZ"/>
              </w:rPr>
            </w:pPr>
            <w:r w:rsidRPr="0099164B">
              <w:rPr>
                <w:lang w:eastAsia="en-NZ"/>
              </w:rPr>
              <w:t>1623</w:t>
            </w:r>
          </w:p>
        </w:tc>
        <w:tc>
          <w:tcPr>
            <w:tcW w:w="1276"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37963132" w14:textId="77777777" w:rsidR="0099164B" w:rsidRPr="0099164B" w:rsidRDefault="0099164B" w:rsidP="0099164B">
            <w:pPr>
              <w:pStyle w:val="Singlespacedparagraph"/>
              <w:jc w:val="center"/>
              <w:rPr>
                <w:lang w:eastAsia="en-NZ"/>
              </w:rPr>
            </w:pPr>
            <w:r w:rsidRPr="0099164B">
              <w:rPr>
                <w:lang w:eastAsia="en-NZ"/>
              </w:rPr>
              <w:t>712</w:t>
            </w:r>
          </w:p>
        </w:tc>
      </w:tr>
      <w:tr w:rsidR="0099164B" w:rsidRPr="0099164B" w14:paraId="7C26F0BD" w14:textId="77777777" w:rsidTr="00063117">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09392FF7" w14:textId="77777777" w:rsidR="0099164B" w:rsidRPr="0099164B" w:rsidRDefault="0099164B" w:rsidP="0099164B">
            <w:pPr>
              <w:pStyle w:val="Singlespacedparagraph"/>
              <w:rPr>
                <w:lang w:eastAsia="en-NZ"/>
              </w:rPr>
            </w:pPr>
            <w:r w:rsidRPr="0099164B">
              <w:rPr>
                <w:lang w:eastAsia="en-NZ"/>
              </w:rPr>
              <w:t>Jun-15</w:t>
            </w:r>
          </w:p>
        </w:tc>
        <w:tc>
          <w:tcPr>
            <w:tcW w:w="1417"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71F1D691" w14:textId="77777777" w:rsidR="0099164B" w:rsidRPr="0099164B" w:rsidRDefault="0099164B" w:rsidP="0099164B">
            <w:pPr>
              <w:pStyle w:val="Singlespacedparagraph"/>
              <w:jc w:val="center"/>
              <w:rPr>
                <w:lang w:eastAsia="en-NZ"/>
              </w:rPr>
            </w:pPr>
            <w:r w:rsidRPr="0099164B">
              <w:rPr>
                <w:lang w:eastAsia="en-NZ"/>
              </w:rPr>
              <w:t>1090</w:t>
            </w:r>
          </w:p>
        </w:tc>
        <w:tc>
          <w:tcPr>
            <w:tcW w:w="1701"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65C16F96" w14:textId="77777777" w:rsidR="0099164B" w:rsidRPr="0099164B" w:rsidRDefault="0099164B" w:rsidP="0099164B">
            <w:pPr>
              <w:pStyle w:val="Singlespacedparagraph"/>
              <w:jc w:val="center"/>
              <w:rPr>
                <w:lang w:eastAsia="en-NZ"/>
              </w:rPr>
            </w:pPr>
            <w:r w:rsidRPr="0099164B">
              <w:rPr>
                <w:lang w:eastAsia="en-NZ"/>
              </w:rPr>
              <w:t>1798</w:t>
            </w:r>
          </w:p>
        </w:tc>
        <w:tc>
          <w:tcPr>
            <w:tcW w:w="1559"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48E2B185" w14:textId="77777777" w:rsidR="0099164B" w:rsidRPr="0099164B" w:rsidRDefault="0099164B" w:rsidP="0099164B">
            <w:pPr>
              <w:pStyle w:val="Singlespacedparagraph"/>
              <w:jc w:val="center"/>
              <w:rPr>
                <w:lang w:eastAsia="en-NZ"/>
              </w:rPr>
            </w:pPr>
            <w:r w:rsidRPr="0099164B">
              <w:rPr>
                <w:lang w:eastAsia="en-NZ"/>
              </w:rPr>
              <w:t>960</w:t>
            </w:r>
          </w:p>
        </w:tc>
        <w:tc>
          <w:tcPr>
            <w:tcW w:w="1276"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3BC127F7" w14:textId="77777777" w:rsidR="0099164B" w:rsidRPr="0099164B" w:rsidRDefault="0099164B" w:rsidP="0099164B">
            <w:pPr>
              <w:pStyle w:val="Singlespacedparagraph"/>
              <w:jc w:val="center"/>
              <w:rPr>
                <w:lang w:eastAsia="en-NZ"/>
              </w:rPr>
            </w:pPr>
            <w:r w:rsidRPr="0099164B">
              <w:rPr>
                <w:lang w:eastAsia="en-NZ"/>
              </w:rPr>
              <w:t>838</w:t>
            </w:r>
          </w:p>
        </w:tc>
      </w:tr>
      <w:tr w:rsidR="0099164B" w:rsidRPr="0099164B" w14:paraId="6DF91D96" w14:textId="77777777" w:rsidTr="00063117">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7CEE83D5" w14:textId="77777777" w:rsidR="0099164B" w:rsidRPr="0099164B" w:rsidRDefault="0099164B" w:rsidP="0099164B">
            <w:pPr>
              <w:pStyle w:val="Singlespacedparagraph"/>
              <w:rPr>
                <w:lang w:eastAsia="en-NZ"/>
              </w:rPr>
            </w:pPr>
            <w:r w:rsidRPr="0099164B">
              <w:rPr>
                <w:lang w:eastAsia="en-NZ"/>
              </w:rPr>
              <w:t>Jun-16</w:t>
            </w:r>
          </w:p>
        </w:tc>
        <w:tc>
          <w:tcPr>
            <w:tcW w:w="1417"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65448846" w14:textId="77777777" w:rsidR="0099164B" w:rsidRPr="0099164B" w:rsidRDefault="0099164B" w:rsidP="0099164B">
            <w:pPr>
              <w:pStyle w:val="Singlespacedparagraph"/>
              <w:jc w:val="center"/>
              <w:rPr>
                <w:lang w:eastAsia="en-NZ"/>
              </w:rPr>
            </w:pPr>
            <w:r w:rsidRPr="0099164B">
              <w:rPr>
                <w:lang w:eastAsia="en-NZ"/>
              </w:rPr>
              <w:t>1100</w:t>
            </w:r>
          </w:p>
        </w:tc>
        <w:tc>
          <w:tcPr>
            <w:tcW w:w="1701"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112CD60D" w14:textId="77777777" w:rsidR="0099164B" w:rsidRPr="0099164B" w:rsidRDefault="0099164B" w:rsidP="0099164B">
            <w:pPr>
              <w:pStyle w:val="Singlespacedparagraph"/>
              <w:jc w:val="center"/>
              <w:rPr>
                <w:lang w:eastAsia="en-NZ"/>
              </w:rPr>
            </w:pPr>
            <w:r w:rsidRPr="0099164B">
              <w:rPr>
                <w:lang w:eastAsia="en-NZ"/>
              </w:rPr>
              <w:t>1933</w:t>
            </w:r>
          </w:p>
        </w:tc>
        <w:tc>
          <w:tcPr>
            <w:tcW w:w="1559"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001C646D" w14:textId="77777777" w:rsidR="0099164B" w:rsidRPr="0099164B" w:rsidRDefault="0099164B" w:rsidP="0099164B">
            <w:pPr>
              <w:pStyle w:val="Singlespacedparagraph"/>
              <w:jc w:val="center"/>
              <w:rPr>
                <w:lang w:eastAsia="en-NZ"/>
              </w:rPr>
            </w:pPr>
            <w:r w:rsidRPr="0099164B">
              <w:rPr>
                <w:lang w:eastAsia="en-NZ"/>
              </w:rPr>
              <w:t>1084</w:t>
            </w:r>
          </w:p>
        </w:tc>
        <w:tc>
          <w:tcPr>
            <w:tcW w:w="1276"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5C4569CF" w14:textId="77777777" w:rsidR="0099164B" w:rsidRPr="0099164B" w:rsidRDefault="0099164B" w:rsidP="0099164B">
            <w:pPr>
              <w:pStyle w:val="Singlespacedparagraph"/>
              <w:jc w:val="center"/>
              <w:rPr>
                <w:lang w:eastAsia="en-NZ"/>
              </w:rPr>
            </w:pPr>
            <w:r w:rsidRPr="0099164B">
              <w:rPr>
                <w:lang w:eastAsia="en-NZ"/>
              </w:rPr>
              <w:t>849</w:t>
            </w:r>
          </w:p>
        </w:tc>
      </w:tr>
      <w:tr w:rsidR="0099164B" w:rsidRPr="0099164B" w14:paraId="1398672C" w14:textId="77777777" w:rsidTr="00063117">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08F10798" w14:textId="77777777" w:rsidR="0099164B" w:rsidRPr="0099164B" w:rsidRDefault="0099164B" w:rsidP="0099164B">
            <w:pPr>
              <w:pStyle w:val="Singlespacedparagraph"/>
              <w:rPr>
                <w:lang w:eastAsia="en-NZ"/>
              </w:rPr>
            </w:pPr>
            <w:r w:rsidRPr="0099164B">
              <w:rPr>
                <w:lang w:eastAsia="en-NZ"/>
              </w:rPr>
              <w:t>Jun-17</w:t>
            </w:r>
          </w:p>
        </w:tc>
        <w:tc>
          <w:tcPr>
            <w:tcW w:w="1417"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21BD0EB0" w14:textId="430AEFF9" w:rsidR="0099164B" w:rsidRPr="0099164B" w:rsidRDefault="0099164B" w:rsidP="00063117">
            <w:pPr>
              <w:pStyle w:val="Singlespacedparagraph"/>
              <w:jc w:val="center"/>
              <w:rPr>
                <w:lang w:eastAsia="en-NZ"/>
              </w:rPr>
            </w:pPr>
            <w:r w:rsidRPr="0099164B">
              <w:rPr>
                <w:lang w:eastAsia="en-NZ"/>
              </w:rPr>
              <w:t>1174</w:t>
            </w:r>
          </w:p>
        </w:tc>
        <w:tc>
          <w:tcPr>
            <w:tcW w:w="1701"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6CE93FD0" w14:textId="77777777" w:rsidR="0099164B" w:rsidRPr="0099164B" w:rsidRDefault="0099164B" w:rsidP="0099164B">
            <w:pPr>
              <w:pStyle w:val="Singlespacedparagraph"/>
              <w:jc w:val="center"/>
              <w:rPr>
                <w:lang w:eastAsia="en-NZ"/>
              </w:rPr>
            </w:pPr>
            <w:r w:rsidRPr="0099164B">
              <w:rPr>
                <w:lang w:eastAsia="en-NZ"/>
              </w:rPr>
              <w:t>2022</w:t>
            </w:r>
          </w:p>
        </w:tc>
        <w:tc>
          <w:tcPr>
            <w:tcW w:w="1559"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4B421283" w14:textId="77777777" w:rsidR="0099164B" w:rsidRPr="0099164B" w:rsidRDefault="0099164B" w:rsidP="0099164B">
            <w:pPr>
              <w:pStyle w:val="Singlespacedparagraph"/>
              <w:jc w:val="center"/>
              <w:rPr>
                <w:lang w:eastAsia="en-NZ"/>
              </w:rPr>
            </w:pPr>
            <w:r w:rsidRPr="0099164B">
              <w:rPr>
                <w:lang w:eastAsia="en-NZ"/>
              </w:rPr>
              <w:t>1375</w:t>
            </w:r>
          </w:p>
        </w:tc>
        <w:tc>
          <w:tcPr>
            <w:tcW w:w="1276"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40CD007C" w14:textId="77777777" w:rsidR="0099164B" w:rsidRPr="0099164B" w:rsidRDefault="0099164B" w:rsidP="0099164B">
            <w:pPr>
              <w:pStyle w:val="Singlespacedparagraph"/>
              <w:jc w:val="center"/>
              <w:rPr>
                <w:lang w:eastAsia="en-NZ"/>
              </w:rPr>
            </w:pPr>
            <w:r w:rsidRPr="0099164B">
              <w:rPr>
                <w:lang w:eastAsia="en-NZ"/>
              </w:rPr>
              <w:t>647</w:t>
            </w:r>
          </w:p>
        </w:tc>
      </w:tr>
      <w:tr w:rsidR="0099164B" w:rsidRPr="0099164B" w14:paraId="6A63FC81" w14:textId="77777777" w:rsidTr="00063117">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58BAB975" w14:textId="77777777" w:rsidR="0099164B" w:rsidRPr="0099164B" w:rsidRDefault="0099164B" w:rsidP="0099164B">
            <w:pPr>
              <w:pStyle w:val="Singlespacedparagraph"/>
              <w:rPr>
                <w:lang w:eastAsia="en-NZ"/>
              </w:rPr>
            </w:pPr>
            <w:r w:rsidRPr="0099164B">
              <w:rPr>
                <w:lang w:eastAsia="en-NZ"/>
              </w:rPr>
              <w:t>Jun-18</w:t>
            </w:r>
          </w:p>
        </w:tc>
        <w:tc>
          <w:tcPr>
            <w:tcW w:w="1417"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0E69995F" w14:textId="28627A85" w:rsidR="0099164B" w:rsidRPr="0099164B" w:rsidRDefault="0099164B" w:rsidP="00063117">
            <w:pPr>
              <w:pStyle w:val="Singlespacedparagraph"/>
              <w:jc w:val="center"/>
              <w:rPr>
                <w:lang w:eastAsia="en-NZ"/>
              </w:rPr>
            </w:pPr>
            <w:r w:rsidRPr="0099164B">
              <w:rPr>
                <w:lang w:eastAsia="en-NZ"/>
              </w:rPr>
              <w:t>1378</w:t>
            </w:r>
          </w:p>
        </w:tc>
        <w:tc>
          <w:tcPr>
            <w:tcW w:w="1701"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042D7927" w14:textId="77777777" w:rsidR="0099164B" w:rsidRPr="0099164B" w:rsidRDefault="0099164B" w:rsidP="0099164B">
            <w:pPr>
              <w:pStyle w:val="Singlespacedparagraph"/>
              <w:jc w:val="center"/>
              <w:rPr>
                <w:lang w:eastAsia="en-NZ"/>
              </w:rPr>
            </w:pPr>
            <w:r w:rsidRPr="0099164B">
              <w:rPr>
                <w:lang w:eastAsia="en-NZ"/>
              </w:rPr>
              <w:t>2,025</w:t>
            </w:r>
          </w:p>
        </w:tc>
        <w:tc>
          <w:tcPr>
            <w:tcW w:w="1559"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5F8D8404" w14:textId="22472926" w:rsidR="0099164B" w:rsidRPr="0099164B" w:rsidRDefault="0099164B" w:rsidP="00063117">
            <w:pPr>
              <w:pStyle w:val="Singlespacedparagraph"/>
              <w:jc w:val="center"/>
              <w:rPr>
                <w:lang w:eastAsia="en-NZ"/>
              </w:rPr>
            </w:pPr>
            <w:r w:rsidRPr="0099164B">
              <w:rPr>
                <w:lang w:eastAsia="en-NZ"/>
              </w:rPr>
              <w:t>1598</w:t>
            </w:r>
          </w:p>
        </w:tc>
        <w:tc>
          <w:tcPr>
            <w:tcW w:w="1276"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530E65CB" w14:textId="77777777" w:rsidR="0099164B" w:rsidRPr="0099164B" w:rsidRDefault="0099164B" w:rsidP="0099164B">
            <w:pPr>
              <w:pStyle w:val="Singlespacedparagraph"/>
              <w:jc w:val="center"/>
              <w:rPr>
                <w:lang w:eastAsia="en-NZ"/>
              </w:rPr>
            </w:pPr>
            <w:r w:rsidRPr="0099164B">
              <w:rPr>
                <w:lang w:eastAsia="en-NZ"/>
              </w:rPr>
              <w:t>427</w:t>
            </w:r>
          </w:p>
        </w:tc>
      </w:tr>
      <w:tr w:rsidR="0099164B" w:rsidRPr="0099164B" w14:paraId="6745492B" w14:textId="77777777" w:rsidTr="00063117">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18DABFF3" w14:textId="77777777" w:rsidR="0099164B" w:rsidRPr="0099164B" w:rsidRDefault="0099164B" w:rsidP="0099164B">
            <w:pPr>
              <w:pStyle w:val="Singlespacedparagraph"/>
              <w:rPr>
                <w:lang w:eastAsia="en-NZ"/>
              </w:rPr>
            </w:pPr>
            <w:r w:rsidRPr="0099164B">
              <w:rPr>
                <w:lang w:eastAsia="en-NZ"/>
              </w:rPr>
              <w:t>Jun-19</w:t>
            </w:r>
          </w:p>
        </w:tc>
        <w:tc>
          <w:tcPr>
            <w:tcW w:w="1417"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1B029403" w14:textId="77777777" w:rsidR="0099164B" w:rsidRPr="0099164B" w:rsidRDefault="0099164B" w:rsidP="0099164B">
            <w:pPr>
              <w:pStyle w:val="Singlespacedparagraph"/>
              <w:jc w:val="center"/>
              <w:rPr>
                <w:lang w:eastAsia="en-NZ"/>
              </w:rPr>
            </w:pPr>
            <w:r w:rsidRPr="0099164B">
              <w:rPr>
                <w:lang w:eastAsia="en-NZ"/>
              </w:rPr>
              <w:t>1901</w:t>
            </w:r>
          </w:p>
        </w:tc>
        <w:tc>
          <w:tcPr>
            <w:tcW w:w="1701"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4CF4FC8C" w14:textId="77777777" w:rsidR="0099164B" w:rsidRPr="0099164B" w:rsidRDefault="0099164B" w:rsidP="0099164B">
            <w:pPr>
              <w:pStyle w:val="Singlespacedparagraph"/>
              <w:jc w:val="center"/>
              <w:rPr>
                <w:lang w:eastAsia="en-NZ"/>
              </w:rPr>
            </w:pPr>
            <w:r w:rsidRPr="0099164B">
              <w:rPr>
                <w:lang w:eastAsia="en-NZ"/>
              </w:rPr>
              <w:t>2328</w:t>
            </w:r>
          </w:p>
        </w:tc>
        <w:tc>
          <w:tcPr>
            <w:tcW w:w="1559"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6D896F4F" w14:textId="77777777" w:rsidR="0099164B" w:rsidRPr="0099164B" w:rsidRDefault="0099164B" w:rsidP="0099164B">
            <w:pPr>
              <w:pStyle w:val="Singlespacedparagraph"/>
              <w:jc w:val="center"/>
              <w:rPr>
                <w:lang w:eastAsia="en-NZ"/>
              </w:rPr>
            </w:pPr>
            <w:r w:rsidRPr="0099164B">
              <w:rPr>
                <w:lang w:eastAsia="en-NZ"/>
              </w:rPr>
              <w:t>1859</w:t>
            </w:r>
          </w:p>
        </w:tc>
        <w:tc>
          <w:tcPr>
            <w:tcW w:w="1276"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4C800B7B" w14:textId="77777777" w:rsidR="0099164B" w:rsidRPr="0099164B" w:rsidRDefault="0099164B" w:rsidP="0099164B">
            <w:pPr>
              <w:pStyle w:val="Singlespacedparagraph"/>
              <w:jc w:val="center"/>
              <w:rPr>
                <w:lang w:eastAsia="en-NZ"/>
              </w:rPr>
            </w:pPr>
            <w:r w:rsidRPr="0099164B">
              <w:rPr>
                <w:lang w:eastAsia="en-NZ"/>
              </w:rPr>
              <w:t>469</w:t>
            </w:r>
          </w:p>
        </w:tc>
      </w:tr>
      <w:tr w:rsidR="0099164B" w:rsidRPr="0099164B" w14:paraId="101D479A" w14:textId="77777777" w:rsidTr="00063117">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6814EE81" w14:textId="77777777" w:rsidR="0099164B" w:rsidRPr="0099164B" w:rsidRDefault="0099164B" w:rsidP="0099164B">
            <w:pPr>
              <w:pStyle w:val="Singlespacedparagraph"/>
              <w:rPr>
                <w:lang w:eastAsia="en-NZ"/>
              </w:rPr>
            </w:pPr>
            <w:r w:rsidRPr="0099164B">
              <w:rPr>
                <w:lang w:eastAsia="en-NZ"/>
              </w:rPr>
              <w:t>Jun-20</w:t>
            </w:r>
          </w:p>
        </w:tc>
        <w:tc>
          <w:tcPr>
            <w:tcW w:w="1417"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060EBCAF" w14:textId="77777777" w:rsidR="0099164B" w:rsidRPr="0099164B" w:rsidRDefault="0099164B" w:rsidP="0099164B">
            <w:pPr>
              <w:pStyle w:val="Singlespacedparagraph"/>
              <w:jc w:val="center"/>
              <w:rPr>
                <w:lang w:eastAsia="en-NZ"/>
              </w:rPr>
            </w:pPr>
            <w:r w:rsidRPr="0099164B">
              <w:rPr>
                <w:lang w:eastAsia="en-NZ"/>
              </w:rPr>
              <w:t>1329</w:t>
            </w:r>
          </w:p>
        </w:tc>
        <w:tc>
          <w:tcPr>
            <w:tcW w:w="1701"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7E6935AD" w14:textId="77777777" w:rsidR="0099164B" w:rsidRPr="0099164B" w:rsidRDefault="0099164B" w:rsidP="0099164B">
            <w:pPr>
              <w:pStyle w:val="Singlespacedparagraph"/>
              <w:jc w:val="center"/>
              <w:rPr>
                <w:lang w:eastAsia="en-NZ"/>
              </w:rPr>
            </w:pPr>
            <w:r w:rsidRPr="0099164B">
              <w:rPr>
                <w:lang w:eastAsia="en-NZ"/>
              </w:rPr>
              <w:t>1798</w:t>
            </w:r>
          </w:p>
        </w:tc>
        <w:tc>
          <w:tcPr>
            <w:tcW w:w="1559"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253D1F37" w14:textId="77777777" w:rsidR="0099164B" w:rsidRPr="0099164B" w:rsidRDefault="0099164B" w:rsidP="0099164B">
            <w:pPr>
              <w:pStyle w:val="Singlespacedparagraph"/>
              <w:jc w:val="center"/>
              <w:rPr>
                <w:lang w:eastAsia="en-NZ"/>
              </w:rPr>
            </w:pPr>
            <w:r w:rsidRPr="0099164B">
              <w:rPr>
                <w:lang w:eastAsia="en-NZ"/>
              </w:rPr>
              <w:t>1371</w:t>
            </w:r>
          </w:p>
        </w:tc>
        <w:tc>
          <w:tcPr>
            <w:tcW w:w="1276"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34E35414" w14:textId="77777777" w:rsidR="0099164B" w:rsidRPr="0099164B" w:rsidRDefault="0099164B" w:rsidP="0099164B">
            <w:pPr>
              <w:pStyle w:val="Singlespacedparagraph"/>
              <w:jc w:val="center"/>
              <w:rPr>
                <w:lang w:eastAsia="en-NZ"/>
              </w:rPr>
            </w:pPr>
            <w:r w:rsidRPr="0099164B">
              <w:rPr>
                <w:lang w:eastAsia="en-NZ"/>
              </w:rPr>
              <w:t>428</w:t>
            </w:r>
          </w:p>
        </w:tc>
      </w:tr>
    </w:tbl>
    <w:p w14:paraId="55EC048A" w14:textId="77777777" w:rsidR="0099164B" w:rsidRDefault="0099164B" w:rsidP="00DF1795">
      <w:pPr>
        <w:pStyle w:val="Singlespacedparagraph"/>
      </w:pPr>
    </w:p>
    <w:p w14:paraId="665F2B66" w14:textId="7AEFC09C" w:rsidR="0099164B" w:rsidRDefault="005B795D" w:rsidP="00DF1795">
      <w:pPr>
        <w:pStyle w:val="Singlespacedparagraph"/>
      </w:pPr>
      <w:hyperlink w:anchor="Figure5" w:history="1">
        <w:r w:rsidR="00063117" w:rsidRPr="00063117">
          <w:rPr>
            <w:rStyle w:val="Hyperlink"/>
          </w:rPr>
          <w:t>Return to Figure 5 in text</w:t>
        </w:r>
      </w:hyperlink>
      <w:r w:rsidR="00063117">
        <w:t xml:space="preserve">. </w:t>
      </w:r>
    </w:p>
    <w:p w14:paraId="5C4A30C6" w14:textId="6259213D" w:rsidR="004D7C07" w:rsidRDefault="004D7C07" w:rsidP="00DF1795">
      <w:pPr>
        <w:pStyle w:val="Singlespacedparagraph"/>
      </w:pPr>
    </w:p>
    <w:p w14:paraId="105D1BAC" w14:textId="086ED306" w:rsidR="00063117" w:rsidRPr="00063117" w:rsidRDefault="00063117" w:rsidP="00DF1795">
      <w:pPr>
        <w:pStyle w:val="Singlespacedparagraph"/>
        <w:rPr>
          <w:b/>
          <w:noProof/>
        </w:rPr>
      </w:pPr>
      <w:bookmarkStart w:id="188" w:name="Figure6table"/>
      <w:r w:rsidRPr="00063117">
        <w:rPr>
          <w:b/>
        </w:rPr>
        <w:t>Figure 6</w:t>
      </w:r>
      <w:bookmarkEnd w:id="188"/>
      <w:r w:rsidRPr="00063117">
        <w:rPr>
          <w:b/>
        </w:rPr>
        <w:t xml:space="preserve">: </w:t>
      </w:r>
      <w:r w:rsidRPr="00063117">
        <w:rPr>
          <w:b/>
          <w:noProof/>
        </w:rPr>
        <w:t>LGOIMA complaints received and actioned over the past 10 years</w:t>
      </w:r>
    </w:p>
    <w:tbl>
      <w:tblPr>
        <w:tblW w:w="7503" w:type="dxa"/>
        <w:tblLayout w:type="fixed"/>
        <w:tblLook w:val="04A0" w:firstRow="1" w:lastRow="0" w:firstColumn="1" w:lastColumn="0" w:noHBand="0" w:noVBand="1"/>
      </w:tblPr>
      <w:tblGrid>
        <w:gridCol w:w="1550"/>
        <w:gridCol w:w="1417"/>
        <w:gridCol w:w="1701"/>
        <w:gridCol w:w="1559"/>
        <w:gridCol w:w="1276"/>
      </w:tblGrid>
      <w:tr w:rsidR="00BE456C" w:rsidRPr="00BE456C" w14:paraId="18612048" w14:textId="77777777" w:rsidTr="00BE456C">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2BB673"/>
            <w:noWrap/>
            <w:vAlign w:val="bottom"/>
            <w:hideMark/>
          </w:tcPr>
          <w:p w14:paraId="36A28D0C" w14:textId="77777777" w:rsidR="00063117" w:rsidRPr="00BE456C" w:rsidRDefault="00063117" w:rsidP="00BE456C">
            <w:pPr>
              <w:pStyle w:val="Tablesinglespacedparagraph"/>
              <w:rPr>
                <w:b/>
                <w:color w:val="FFFFFF" w:themeColor="background1"/>
                <w:lang w:eastAsia="en-NZ"/>
              </w:rPr>
            </w:pPr>
            <w:r w:rsidRPr="00BE456C">
              <w:rPr>
                <w:b/>
                <w:color w:val="FFFFFF" w:themeColor="background1"/>
                <w:lang w:eastAsia="en-NZ"/>
              </w:rPr>
              <w:t>Date</w:t>
            </w:r>
          </w:p>
        </w:tc>
        <w:tc>
          <w:tcPr>
            <w:tcW w:w="1417" w:type="dxa"/>
            <w:tcBorders>
              <w:top w:val="single" w:sz="8" w:space="0" w:color="FFFFFF"/>
              <w:left w:val="single" w:sz="8" w:space="0" w:color="FFFFFF"/>
              <w:bottom w:val="single" w:sz="8" w:space="0" w:color="FFFFFF"/>
              <w:right w:val="single" w:sz="8" w:space="0" w:color="FFFFFF"/>
            </w:tcBorders>
            <w:shd w:val="clear" w:color="auto" w:fill="2BB673"/>
            <w:noWrap/>
            <w:vAlign w:val="bottom"/>
            <w:hideMark/>
          </w:tcPr>
          <w:p w14:paraId="1509D815" w14:textId="77777777" w:rsidR="00063117" w:rsidRPr="00BE456C" w:rsidRDefault="00063117" w:rsidP="00BE456C">
            <w:pPr>
              <w:pStyle w:val="Tablesinglespacedparagraph"/>
              <w:jc w:val="center"/>
              <w:rPr>
                <w:b/>
                <w:color w:val="FFFFFF" w:themeColor="background1"/>
                <w:lang w:eastAsia="en-NZ"/>
              </w:rPr>
            </w:pPr>
            <w:r w:rsidRPr="00BE456C">
              <w:rPr>
                <w:b/>
                <w:color w:val="FFFFFF" w:themeColor="background1"/>
                <w:lang w:eastAsia="en-NZ"/>
              </w:rPr>
              <w:t>Received</w:t>
            </w:r>
          </w:p>
        </w:tc>
        <w:tc>
          <w:tcPr>
            <w:tcW w:w="1701" w:type="dxa"/>
            <w:tcBorders>
              <w:top w:val="single" w:sz="8" w:space="0" w:color="FFFFFF"/>
              <w:left w:val="single" w:sz="8" w:space="0" w:color="FFFFFF"/>
              <w:bottom w:val="single" w:sz="8" w:space="0" w:color="FFFFFF"/>
              <w:right w:val="single" w:sz="8" w:space="0" w:color="FFFFFF"/>
            </w:tcBorders>
            <w:shd w:val="clear" w:color="auto" w:fill="2BB673"/>
            <w:noWrap/>
            <w:vAlign w:val="bottom"/>
            <w:hideMark/>
          </w:tcPr>
          <w:p w14:paraId="35B3657C" w14:textId="77777777" w:rsidR="00063117" w:rsidRPr="00BE456C" w:rsidRDefault="00063117" w:rsidP="00BE456C">
            <w:pPr>
              <w:pStyle w:val="Tablesinglespacedparagraph"/>
              <w:jc w:val="center"/>
              <w:rPr>
                <w:b/>
                <w:color w:val="FFFFFF" w:themeColor="background1"/>
                <w:lang w:eastAsia="en-NZ"/>
              </w:rPr>
            </w:pPr>
            <w:r w:rsidRPr="00BE456C">
              <w:rPr>
                <w:b/>
                <w:color w:val="FFFFFF" w:themeColor="background1"/>
                <w:lang w:eastAsia="en-NZ"/>
              </w:rPr>
              <w:t>Under Action in the Year</w:t>
            </w:r>
          </w:p>
        </w:tc>
        <w:tc>
          <w:tcPr>
            <w:tcW w:w="1559" w:type="dxa"/>
            <w:tcBorders>
              <w:top w:val="single" w:sz="8" w:space="0" w:color="FFFFFF"/>
              <w:left w:val="single" w:sz="8" w:space="0" w:color="FFFFFF"/>
              <w:bottom w:val="single" w:sz="8" w:space="0" w:color="FFFFFF"/>
              <w:right w:val="single" w:sz="8" w:space="0" w:color="FFFFFF"/>
            </w:tcBorders>
            <w:shd w:val="clear" w:color="auto" w:fill="2BB673"/>
            <w:noWrap/>
            <w:vAlign w:val="bottom"/>
            <w:hideMark/>
          </w:tcPr>
          <w:p w14:paraId="3E49274E" w14:textId="77777777" w:rsidR="00063117" w:rsidRPr="00BE456C" w:rsidRDefault="00063117" w:rsidP="00BE456C">
            <w:pPr>
              <w:pStyle w:val="Tablesinglespacedparagraph"/>
              <w:jc w:val="center"/>
              <w:rPr>
                <w:b/>
                <w:color w:val="FFFFFF" w:themeColor="background1"/>
                <w:lang w:eastAsia="en-NZ"/>
              </w:rPr>
            </w:pPr>
            <w:r w:rsidRPr="00BE456C">
              <w:rPr>
                <w:b/>
                <w:color w:val="FFFFFF" w:themeColor="background1"/>
                <w:lang w:eastAsia="en-NZ"/>
              </w:rPr>
              <w:t>Completed</w:t>
            </w:r>
          </w:p>
        </w:tc>
        <w:tc>
          <w:tcPr>
            <w:tcW w:w="1276" w:type="dxa"/>
            <w:tcBorders>
              <w:top w:val="single" w:sz="8" w:space="0" w:color="FFFFFF"/>
              <w:left w:val="single" w:sz="8" w:space="0" w:color="FFFFFF"/>
              <w:bottom w:val="single" w:sz="8" w:space="0" w:color="FFFFFF"/>
              <w:right w:val="single" w:sz="8" w:space="0" w:color="FFFFFF"/>
            </w:tcBorders>
            <w:shd w:val="clear" w:color="auto" w:fill="2BB673"/>
            <w:noWrap/>
            <w:vAlign w:val="bottom"/>
            <w:hideMark/>
          </w:tcPr>
          <w:p w14:paraId="1775AC56" w14:textId="77777777" w:rsidR="00063117" w:rsidRPr="00BE456C" w:rsidRDefault="00063117" w:rsidP="00BE456C">
            <w:pPr>
              <w:pStyle w:val="Tablesinglespacedparagraph"/>
              <w:jc w:val="center"/>
              <w:rPr>
                <w:b/>
                <w:color w:val="FFFFFF" w:themeColor="background1"/>
                <w:lang w:eastAsia="en-NZ"/>
              </w:rPr>
            </w:pPr>
            <w:r w:rsidRPr="00BE456C">
              <w:rPr>
                <w:b/>
                <w:color w:val="FFFFFF" w:themeColor="background1"/>
                <w:lang w:eastAsia="en-NZ"/>
              </w:rPr>
              <w:t>On Hand at Year End</w:t>
            </w:r>
          </w:p>
        </w:tc>
      </w:tr>
      <w:tr w:rsidR="00BE456C" w:rsidRPr="00063117" w14:paraId="34C2C195" w14:textId="77777777" w:rsidTr="00BE456C">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6120371B" w14:textId="77777777" w:rsidR="00BE456C" w:rsidRPr="00063117" w:rsidRDefault="00BE456C" w:rsidP="00BE456C">
            <w:pPr>
              <w:pStyle w:val="Tablesinglespacedparagraph"/>
              <w:rPr>
                <w:lang w:eastAsia="en-NZ"/>
              </w:rPr>
            </w:pPr>
            <w:r w:rsidRPr="00063117">
              <w:rPr>
                <w:lang w:eastAsia="en-NZ"/>
              </w:rPr>
              <w:t>Jun-10</w:t>
            </w:r>
          </w:p>
        </w:tc>
        <w:tc>
          <w:tcPr>
            <w:tcW w:w="1417"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2BEEF58E" w14:textId="77777777" w:rsidR="00BE456C" w:rsidRPr="00063117" w:rsidRDefault="00BE456C" w:rsidP="00BE456C">
            <w:pPr>
              <w:pStyle w:val="Tablesinglespacedparagraph"/>
              <w:jc w:val="center"/>
              <w:rPr>
                <w:lang w:eastAsia="en-NZ"/>
              </w:rPr>
            </w:pPr>
            <w:r w:rsidRPr="00063117">
              <w:rPr>
                <w:lang w:eastAsia="en-NZ"/>
              </w:rPr>
              <w:t>294</w:t>
            </w:r>
          </w:p>
        </w:tc>
        <w:tc>
          <w:tcPr>
            <w:tcW w:w="1701"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094F0DE6" w14:textId="77777777" w:rsidR="00BE456C" w:rsidRPr="00063117" w:rsidRDefault="00BE456C" w:rsidP="00BE456C">
            <w:pPr>
              <w:pStyle w:val="Tablesinglespacedparagraph"/>
              <w:jc w:val="center"/>
              <w:rPr>
                <w:lang w:eastAsia="en-NZ"/>
              </w:rPr>
            </w:pPr>
            <w:r w:rsidRPr="00063117">
              <w:rPr>
                <w:lang w:eastAsia="en-NZ"/>
              </w:rPr>
              <w:t>377</w:t>
            </w:r>
          </w:p>
        </w:tc>
        <w:tc>
          <w:tcPr>
            <w:tcW w:w="1559"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38D4E4B5" w14:textId="77777777" w:rsidR="00BE456C" w:rsidRPr="00063117" w:rsidRDefault="00BE456C" w:rsidP="00BE456C">
            <w:pPr>
              <w:pStyle w:val="Tablesinglespacedparagraph"/>
              <w:jc w:val="center"/>
              <w:rPr>
                <w:lang w:eastAsia="en-NZ"/>
              </w:rPr>
            </w:pPr>
            <w:r w:rsidRPr="00063117">
              <w:rPr>
                <w:lang w:eastAsia="en-NZ"/>
              </w:rPr>
              <w:t>282</w:t>
            </w:r>
          </w:p>
        </w:tc>
        <w:tc>
          <w:tcPr>
            <w:tcW w:w="1276"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5A56B76A" w14:textId="77777777" w:rsidR="00BE456C" w:rsidRPr="00063117" w:rsidRDefault="00BE456C" w:rsidP="00BE456C">
            <w:pPr>
              <w:pStyle w:val="Tablesinglespacedparagraph"/>
              <w:jc w:val="center"/>
              <w:rPr>
                <w:lang w:eastAsia="en-NZ"/>
              </w:rPr>
            </w:pPr>
            <w:r w:rsidRPr="00063117">
              <w:rPr>
                <w:lang w:eastAsia="en-NZ"/>
              </w:rPr>
              <w:t>95</w:t>
            </w:r>
          </w:p>
        </w:tc>
      </w:tr>
      <w:tr w:rsidR="00BE456C" w:rsidRPr="00063117" w14:paraId="3DF68B2C" w14:textId="77777777" w:rsidTr="00BE456C">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2E89438D" w14:textId="77777777" w:rsidR="00BE456C" w:rsidRPr="00063117" w:rsidRDefault="00BE456C" w:rsidP="00BE456C">
            <w:pPr>
              <w:pStyle w:val="Tablesinglespacedparagraph"/>
              <w:rPr>
                <w:lang w:eastAsia="en-NZ"/>
              </w:rPr>
            </w:pPr>
            <w:r w:rsidRPr="00063117">
              <w:rPr>
                <w:lang w:eastAsia="en-NZ"/>
              </w:rPr>
              <w:t>Jun-11</w:t>
            </w:r>
          </w:p>
        </w:tc>
        <w:tc>
          <w:tcPr>
            <w:tcW w:w="1417"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62F14A91" w14:textId="77777777" w:rsidR="00BE456C" w:rsidRPr="00063117" w:rsidRDefault="00BE456C" w:rsidP="00BE456C">
            <w:pPr>
              <w:pStyle w:val="Tablesinglespacedparagraph"/>
              <w:jc w:val="center"/>
              <w:rPr>
                <w:lang w:eastAsia="en-NZ"/>
              </w:rPr>
            </w:pPr>
            <w:r w:rsidRPr="00063117">
              <w:rPr>
                <w:lang w:eastAsia="en-NZ"/>
              </w:rPr>
              <w:t>256</w:t>
            </w:r>
          </w:p>
        </w:tc>
        <w:tc>
          <w:tcPr>
            <w:tcW w:w="1701"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5DC68E6A" w14:textId="77777777" w:rsidR="00BE456C" w:rsidRPr="00063117" w:rsidRDefault="00BE456C" w:rsidP="00BE456C">
            <w:pPr>
              <w:pStyle w:val="Tablesinglespacedparagraph"/>
              <w:jc w:val="center"/>
              <w:rPr>
                <w:lang w:eastAsia="en-NZ"/>
              </w:rPr>
            </w:pPr>
            <w:r w:rsidRPr="00063117">
              <w:rPr>
                <w:lang w:eastAsia="en-NZ"/>
              </w:rPr>
              <w:t>357</w:t>
            </w:r>
          </w:p>
        </w:tc>
        <w:tc>
          <w:tcPr>
            <w:tcW w:w="1559"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25526E5F" w14:textId="77777777" w:rsidR="00BE456C" w:rsidRPr="00063117" w:rsidRDefault="00BE456C" w:rsidP="00BE456C">
            <w:pPr>
              <w:pStyle w:val="Tablesinglespacedparagraph"/>
              <w:jc w:val="center"/>
              <w:rPr>
                <w:lang w:eastAsia="en-NZ"/>
              </w:rPr>
            </w:pPr>
            <w:r w:rsidRPr="00063117">
              <w:rPr>
                <w:lang w:eastAsia="en-NZ"/>
              </w:rPr>
              <w:t>271</w:t>
            </w:r>
          </w:p>
        </w:tc>
        <w:tc>
          <w:tcPr>
            <w:tcW w:w="1276"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666101A2" w14:textId="77777777" w:rsidR="00BE456C" w:rsidRPr="00063117" w:rsidRDefault="00BE456C" w:rsidP="00BE456C">
            <w:pPr>
              <w:pStyle w:val="Tablesinglespacedparagraph"/>
              <w:jc w:val="center"/>
              <w:rPr>
                <w:lang w:eastAsia="en-NZ"/>
              </w:rPr>
            </w:pPr>
            <w:r w:rsidRPr="00063117">
              <w:rPr>
                <w:lang w:eastAsia="en-NZ"/>
              </w:rPr>
              <w:t>86</w:t>
            </w:r>
          </w:p>
        </w:tc>
      </w:tr>
      <w:tr w:rsidR="00BE456C" w:rsidRPr="00063117" w14:paraId="186D94A4" w14:textId="77777777" w:rsidTr="00BE456C">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3645FC5D" w14:textId="77777777" w:rsidR="00BE456C" w:rsidRPr="00063117" w:rsidRDefault="00BE456C" w:rsidP="00BE456C">
            <w:pPr>
              <w:pStyle w:val="Tablesinglespacedparagraph"/>
              <w:rPr>
                <w:lang w:eastAsia="en-NZ"/>
              </w:rPr>
            </w:pPr>
            <w:r w:rsidRPr="00063117">
              <w:rPr>
                <w:lang w:eastAsia="en-NZ"/>
              </w:rPr>
              <w:t>Jun-12</w:t>
            </w:r>
          </w:p>
        </w:tc>
        <w:tc>
          <w:tcPr>
            <w:tcW w:w="1417"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35EF4C69" w14:textId="77777777" w:rsidR="00BE456C" w:rsidRPr="00063117" w:rsidRDefault="00BE456C" w:rsidP="00BE456C">
            <w:pPr>
              <w:pStyle w:val="Tablesinglespacedparagraph"/>
              <w:jc w:val="center"/>
              <w:rPr>
                <w:lang w:eastAsia="en-NZ"/>
              </w:rPr>
            </w:pPr>
            <w:r w:rsidRPr="00063117">
              <w:rPr>
                <w:lang w:eastAsia="en-NZ"/>
              </w:rPr>
              <w:t>268</w:t>
            </w:r>
          </w:p>
        </w:tc>
        <w:tc>
          <w:tcPr>
            <w:tcW w:w="1701"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38531CB4" w14:textId="77777777" w:rsidR="00BE456C" w:rsidRPr="00063117" w:rsidRDefault="00BE456C" w:rsidP="00BE456C">
            <w:pPr>
              <w:pStyle w:val="Tablesinglespacedparagraph"/>
              <w:jc w:val="center"/>
              <w:rPr>
                <w:lang w:eastAsia="en-NZ"/>
              </w:rPr>
            </w:pPr>
            <w:r w:rsidRPr="00063117">
              <w:rPr>
                <w:lang w:eastAsia="en-NZ"/>
              </w:rPr>
              <w:t>354</w:t>
            </w:r>
          </w:p>
        </w:tc>
        <w:tc>
          <w:tcPr>
            <w:tcW w:w="1559"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678106F2" w14:textId="77777777" w:rsidR="00BE456C" w:rsidRPr="00063117" w:rsidRDefault="00BE456C" w:rsidP="00BE456C">
            <w:pPr>
              <w:pStyle w:val="Tablesinglespacedparagraph"/>
              <w:jc w:val="center"/>
              <w:rPr>
                <w:lang w:eastAsia="en-NZ"/>
              </w:rPr>
            </w:pPr>
            <w:r w:rsidRPr="00063117">
              <w:rPr>
                <w:lang w:eastAsia="en-NZ"/>
              </w:rPr>
              <w:t>217</w:t>
            </w:r>
          </w:p>
        </w:tc>
        <w:tc>
          <w:tcPr>
            <w:tcW w:w="1276"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5BF45EC9" w14:textId="77777777" w:rsidR="00BE456C" w:rsidRPr="00063117" w:rsidRDefault="00BE456C" w:rsidP="00BE456C">
            <w:pPr>
              <w:pStyle w:val="Tablesinglespacedparagraph"/>
              <w:jc w:val="center"/>
              <w:rPr>
                <w:lang w:eastAsia="en-NZ"/>
              </w:rPr>
            </w:pPr>
            <w:r w:rsidRPr="00063117">
              <w:rPr>
                <w:lang w:eastAsia="en-NZ"/>
              </w:rPr>
              <w:t>137</w:t>
            </w:r>
          </w:p>
        </w:tc>
      </w:tr>
      <w:tr w:rsidR="00BE456C" w:rsidRPr="00063117" w14:paraId="289713F1" w14:textId="77777777" w:rsidTr="00BE456C">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3EEC11DF" w14:textId="77777777" w:rsidR="00BE456C" w:rsidRPr="00063117" w:rsidRDefault="00BE456C" w:rsidP="00BE456C">
            <w:pPr>
              <w:pStyle w:val="Tablesinglespacedparagraph"/>
              <w:rPr>
                <w:lang w:eastAsia="en-NZ"/>
              </w:rPr>
            </w:pPr>
            <w:r w:rsidRPr="00063117">
              <w:rPr>
                <w:lang w:eastAsia="en-NZ"/>
              </w:rPr>
              <w:t>Jun-13</w:t>
            </w:r>
          </w:p>
        </w:tc>
        <w:tc>
          <w:tcPr>
            <w:tcW w:w="1417"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01767DFE" w14:textId="77777777" w:rsidR="00BE456C" w:rsidRPr="00063117" w:rsidRDefault="00BE456C" w:rsidP="00BE456C">
            <w:pPr>
              <w:pStyle w:val="Tablesinglespacedparagraph"/>
              <w:jc w:val="center"/>
              <w:rPr>
                <w:lang w:eastAsia="en-NZ"/>
              </w:rPr>
            </w:pPr>
            <w:r w:rsidRPr="00063117">
              <w:rPr>
                <w:lang w:eastAsia="en-NZ"/>
              </w:rPr>
              <w:t>271</w:t>
            </w:r>
          </w:p>
        </w:tc>
        <w:tc>
          <w:tcPr>
            <w:tcW w:w="1701"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39CC34EB" w14:textId="77777777" w:rsidR="00BE456C" w:rsidRPr="00063117" w:rsidRDefault="00BE456C" w:rsidP="00BE456C">
            <w:pPr>
              <w:pStyle w:val="Tablesinglespacedparagraph"/>
              <w:jc w:val="center"/>
              <w:rPr>
                <w:lang w:eastAsia="en-NZ"/>
              </w:rPr>
            </w:pPr>
            <w:r w:rsidRPr="00063117">
              <w:rPr>
                <w:lang w:eastAsia="en-NZ"/>
              </w:rPr>
              <w:t>407</w:t>
            </w:r>
          </w:p>
        </w:tc>
        <w:tc>
          <w:tcPr>
            <w:tcW w:w="1559"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6A16E553" w14:textId="77777777" w:rsidR="00BE456C" w:rsidRPr="00063117" w:rsidRDefault="00BE456C" w:rsidP="00BE456C">
            <w:pPr>
              <w:pStyle w:val="Tablesinglespacedparagraph"/>
              <w:jc w:val="center"/>
              <w:rPr>
                <w:lang w:eastAsia="en-NZ"/>
              </w:rPr>
            </w:pPr>
            <w:r w:rsidRPr="00063117">
              <w:rPr>
                <w:lang w:eastAsia="en-NZ"/>
              </w:rPr>
              <w:t>245</w:t>
            </w:r>
          </w:p>
        </w:tc>
        <w:tc>
          <w:tcPr>
            <w:tcW w:w="1276"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0B68912C" w14:textId="77777777" w:rsidR="00BE456C" w:rsidRPr="00063117" w:rsidRDefault="00BE456C" w:rsidP="00BE456C">
            <w:pPr>
              <w:pStyle w:val="Tablesinglespacedparagraph"/>
              <w:jc w:val="center"/>
              <w:rPr>
                <w:lang w:eastAsia="en-NZ"/>
              </w:rPr>
            </w:pPr>
            <w:r w:rsidRPr="00063117">
              <w:rPr>
                <w:lang w:eastAsia="en-NZ"/>
              </w:rPr>
              <w:t>162</w:t>
            </w:r>
          </w:p>
        </w:tc>
      </w:tr>
      <w:tr w:rsidR="00BE456C" w:rsidRPr="00063117" w14:paraId="42FE0950" w14:textId="77777777" w:rsidTr="00BE456C">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46E4CE94" w14:textId="77777777" w:rsidR="00BE456C" w:rsidRPr="00063117" w:rsidRDefault="00BE456C" w:rsidP="00BE456C">
            <w:pPr>
              <w:pStyle w:val="Tablesinglespacedparagraph"/>
              <w:rPr>
                <w:lang w:eastAsia="en-NZ"/>
              </w:rPr>
            </w:pPr>
            <w:r w:rsidRPr="00063117">
              <w:rPr>
                <w:lang w:eastAsia="en-NZ"/>
              </w:rPr>
              <w:t>Jun-14</w:t>
            </w:r>
          </w:p>
        </w:tc>
        <w:tc>
          <w:tcPr>
            <w:tcW w:w="1417"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52D5EF49" w14:textId="77777777" w:rsidR="00BE456C" w:rsidRPr="00063117" w:rsidRDefault="00BE456C" w:rsidP="00BE456C">
            <w:pPr>
              <w:pStyle w:val="Tablesinglespacedparagraph"/>
              <w:jc w:val="center"/>
              <w:rPr>
                <w:lang w:eastAsia="en-NZ"/>
              </w:rPr>
            </w:pPr>
            <w:r w:rsidRPr="00063117">
              <w:rPr>
                <w:lang w:eastAsia="en-NZ"/>
              </w:rPr>
              <w:t>246</w:t>
            </w:r>
          </w:p>
        </w:tc>
        <w:tc>
          <w:tcPr>
            <w:tcW w:w="1701"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7449B675" w14:textId="77777777" w:rsidR="00BE456C" w:rsidRPr="00063117" w:rsidRDefault="00BE456C" w:rsidP="00BE456C">
            <w:pPr>
              <w:pStyle w:val="Tablesinglespacedparagraph"/>
              <w:jc w:val="center"/>
              <w:rPr>
                <w:lang w:eastAsia="en-NZ"/>
              </w:rPr>
            </w:pPr>
            <w:r w:rsidRPr="00063117">
              <w:rPr>
                <w:lang w:eastAsia="en-NZ"/>
              </w:rPr>
              <w:t>408</w:t>
            </w:r>
          </w:p>
        </w:tc>
        <w:tc>
          <w:tcPr>
            <w:tcW w:w="1559"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4AE998C5" w14:textId="77777777" w:rsidR="00BE456C" w:rsidRPr="00063117" w:rsidRDefault="00BE456C" w:rsidP="00BE456C">
            <w:pPr>
              <w:pStyle w:val="Tablesinglespacedparagraph"/>
              <w:jc w:val="center"/>
              <w:rPr>
                <w:lang w:eastAsia="en-NZ"/>
              </w:rPr>
            </w:pPr>
            <w:r w:rsidRPr="00063117">
              <w:rPr>
                <w:lang w:eastAsia="en-NZ"/>
              </w:rPr>
              <w:t>233</w:t>
            </w:r>
          </w:p>
        </w:tc>
        <w:tc>
          <w:tcPr>
            <w:tcW w:w="1276"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7E96978D" w14:textId="77777777" w:rsidR="00BE456C" w:rsidRPr="00063117" w:rsidRDefault="00BE456C" w:rsidP="00BE456C">
            <w:pPr>
              <w:pStyle w:val="Tablesinglespacedparagraph"/>
              <w:jc w:val="center"/>
              <w:rPr>
                <w:lang w:eastAsia="en-NZ"/>
              </w:rPr>
            </w:pPr>
            <w:r w:rsidRPr="00063117">
              <w:rPr>
                <w:lang w:eastAsia="en-NZ"/>
              </w:rPr>
              <w:t>174</w:t>
            </w:r>
          </w:p>
        </w:tc>
      </w:tr>
      <w:tr w:rsidR="00BE456C" w:rsidRPr="00063117" w14:paraId="536315A8" w14:textId="77777777" w:rsidTr="00BE456C">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26B8111D" w14:textId="77777777" w:rsidR="00BE456C" w:rsidRPr="00063117" w:rsidRDefault="00BE456C" w:rsidP="00BE456C">
            <w:pPr>
              <w:pStyle w:val="Tablesinglespacedparagraph"/>
              <w:rPr>
                <w:lang w:eastAsia="en-NZ"/>
              </w:rPr>
            </w:pPr>
            <w:r w:rsidRPr="00063117">
              <w:rPr>
                <w:lang w:eastAsia="en-NZ"/>
              </w:rPr>
              <w:t>Jun-15</w:t>
            </w:r>
          </w:p>
        </w:tc>
        <w:tc>
          <w:tcPr>
            <w:tcW w:w="1417"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7E755136" w14:textId="77777777" w:rsidR="00BE456C" w:rsidRPr="00063117" w:rsidRDefault="00BE456C" w:rsidP="00BE456C">
            <w:pPr>
              <w:pStyle w:val="Tablesinglespacedparagraph"/>
              <w:jc w:val="center"/>
              <w:rPr>
                <w:lang w:eastAsia="en-NZ"/>
              </w:rPr>
            </w:pPr>
            <w:r w:rsidRPr="00063117">
              <w:rPr>
                <w:lang w:eastAsia="en-NZ"/>
              </w:rPr>
              <w:t>240</w:t>
            </w:r>
          </w:p>
        </w:tc>
        <w:tc>
          <w:tcPr>
            <w:tcW w:w="1701"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75B96FFD" w14:textId="77777777" w:rsidR="00BE456C" w:rsidRPr="00063117" w:rsidRDefault="00BE456C" w:rsidP="00BE456C">
            <w:pPr>
              <w:pStyle w:val="Tablesinglespacedparagraph"/>
              <w:jc w:val="center"/>
              <w:rPr>
                <w:lang w:eastAsia="en-NZ"/>
              </w:rPr>
            </w:pPr>
            <w:r w:rsidRPr="00063117">
              <w:rPr>
                <w:lang w:eastAsia="en-NZ"/>
              </w:rPr>
              <w:t>414</w:t>
            </w:r>
          </w:p>
        </w:tc>
        <w:tc>
          <w:tcPr>
            <w:tcW w:w="1559"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660A21FD" w14:textId="77777777" w:rsidR="00BE456C" w:rsidRPr="00063117" w:rsidRDefault="00BE456C" w:rsidP="00BE456C">
            <w:pPr>
              <w:pStyle w:val="Tablesinglespacedparagraph"/>
              <w:jc w:val="center"/>
              <w:rPr>
                <w:lang w:eastAsia="en-NZ"/>
              </w:rPr>
            </w:pPr>
            <w:r w:rsidRPr="00063117">
              <w:rPr>
                <w:lang w:eastAsia="en-NZ"/>
              </w:rPr>
              <w:t>253</w:t>
            </w:r>
          </w:p>
        </w:tc>
        <w:tc>
          <w:tcPr>
            <w:tcW w:w="1276"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2DC6C219" w14:textId="77777777" w:rsidR="00BE456C" w:rsidRPr="00063117" w:rsidRDefault="00BE456C" w:rsidP="00BE456C">
            <w:pPr>
              <w:pStyle w:val="Tablesinglespacedparagraph"/>
              <w:jc w:val="center"/>
              <w:rPr>
                <w:lang w:eastAsia="en-NZ"/>
              </w:rPr>
            </w:pPr>
            <w:r w:rsidRPr="00063117">
              <w:rPr>
                <w:lang w:eastAsia="en-NZ"/>
              </w:rPr>
              <w:t>161</w:t>
            </w:r>
          </w:p>
        </w:tc>
      </w:tr>
      <w:tr w:rsidR="00BE456C" w:rsidRPr="00063117" w14:paraId="285692BA" w14:textId="77777777" w:rsidTr="00BE456C">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1B42A301" w14:textId="77777777" w:rsidR="00BE456C" w:rsidRPr="00063117" w:rsidRDefault="00BE456C" w:rsidP="00BE456C">
            <w:pPr>
              <w:pStyle w:val="Tablesinglespacedparagraph"/>
              <w:rPr>
                <w:lang w:eastAsia="en-NZ"/>
              </w:rPr>
            </w:pPr>
            <w:r w:rsidRPr="00063117">
              <w:rPr>
                <w:lang w:eastAsia="en-NZ"/>
              </w:rPr>
              <w:t>Jun-16</w:t>
            </w:r>
          </w:p>
        </w:tc>
        <w:tc>
          <w:tcPr>
            <w:tcW w:w="1417"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66741016" w14:textId="77777777" w:rsidR="00BE456C" w:rsidRPr="00063117" w:rsidRDefault="00BE456C" w:rsidP="00BE456C">
            <w:pPr>
              <w:pStyle w:val="Tablesinglespacedparagraph"/>
              <w:jc w:val="center"/>
              <w:rPr>
                <w:lang w:eastAsia="en-NZ"/>
              </w:rPr>
            </w:pPr>
            <w:r w:rsidRPr="00063117">
              <w:rPr>
                <w:lang w:eastAsia="en-NZ"/>
              </w:rPr>
              <w:t>240</w:t>
            </w:r>
          </w:p>
        </w:tc>
        <w:tc>
          <w:tcPr>
            <w:tcW w:w="1701"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0D9A1B13" w14:textId="77777777" w:rsidR="00BE456C" w:rsidRPr="00063117" w:rsidRDefault="00BE456C" w:rsidP="00BE456C">
            <w:pPr>
              <w:pStyle w:val="Tablesinglespacedparagraph"/>
              <w:jc w:val="center"/>
              <w:rPr>
                <w:lang w:eastAsia="en-NZ"/>
              </w:rPr>
            </w:pPr>
            <w:r w:rsidRPr="00063117">
              <w:rPr>
                <w:lang w:eastAsia="en-NZ"/>
              </w:rPr>
              <w:t>400</w:t>
            </w:r>
          </w:p>
        </w:tc>
        <w:tc>
          <w:tcPr>
            <w:tcW w:w="1559"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6C0D5DC6" w14:textId="77777777" w:rsidR="00BE456C" w:rsidRPr="00063117" w:rsidRDefault="00BE456C" w:rsidP="00BE456C">
            <w:pPr>
              <w:pStyle w:val="Tablesinglespacedparagraph"/>
              <w:jc w:val="center"/>
              <w:rPr>
                <w:lang w:eastAsia="en-NZ"/>
              </w:rPr>
            </w:pPr>
            <w:r w:rsidRPr="00063117">
              <w:rPr>
                <w:lang w:eastAsia="en-NZ"/>
              </w:rPr>
              <w:t>247</w:t>
            </w:r>
          </w:p>
        </w:tc>
        <w:tc>
          <w:tcPr>
            <w:tcW w:w="1276"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57D365C5" w14:textId="77777777" w:rsidR="00BE456C" w:rsidRPr="00063117" w:rsidRDefault="00BE456C" w:rsidP="00BE456C">
            <w:pPr>
              <w:pStyle w:val="Tablesinglespacedparagraph"/>
              <w:jc w:val="center"/>
              <w:rPr>
                <w:lang w:eastAsia="en-NZ"/>
              </w:rPr>
            </w:pPr>
            <w:r w:rsidRPr="00063117">
              <w:rPr>
                <w:lang w:eastAsia="en-NZ"/>
              </w:rPr>
              <w:t>153</w:t>
            </w:r>
          </w:p>
        </w:tc>
      </w:tr>
      <w:tr w:rsidR="00BE456C" w:rsidRPr="00063117" w14:paraId="0B97DB6C" w14:textId="77777777" w:rsidTr="00BE456C">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1C47AF7B" w14:textId="77777777" w:rsidR="00BE456C" w:rsidRPr="00063117" w:rsidRDefault="00BE456C" w:rsidP="00BE456C">
            <w:pPr>
              <w:pStyle w:val="Tablesinglespacedparagraph"/>
              <w:rPr>
                <w:lang w:eastAsia="en-NZ"/>
              </w:rPr>
            </w:pPr>
            <w:r w:rsidRPr="00063117">
              <w:rPr>
                <w:lang w:eastAsia="en-NZ"/>
              </w:rPr>
              <w:t>Jun-17</w:t>
            </w:r>
          </w:p>
        </w:tc>
        <w:tc>
          <w:tcPr>
            <w:tcW w:w="1417"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0523C739" w14:textId="77777777" w:rsidR="00BE456C" w:rsidRPr="00063117" w:rsidRDefault="00BE456C" w:rsidP="00BE456C">
            <w:pPr>
              <w:pStyle w:val="Tablesinglespacedparagraph"/>
              <w:jc w:val="center"/>
              <w:rPr>
                <w:lang w:eastAsia="en-NZ"/>
              </w:rPr>
            </w:pPr>
            <w:r w:rsidRPr="00063117">
              <w:rPr>
                <w:lang w:eastAsia="en-NZ"/>
              </w:rPr>
              <w:t>248</w:t>
            </w:r>
          </w:p>
        </w:tc>
        <w:tc>
          <w:tcPr>
            <w:tcW w:w="1701"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489E7866" w14:textId="77777777" w:rsidR="00BE456C" w:rsidRPr="00063117" w:rsidRDefault="00BE456C" w:rsidP="00BE456C">
            <w:pPr>
              <w:pStyle w:val="Tablesinglespacedparagraph"/>
              <w:jc w:val="center"/>
              <w:rPr>
                <w:lang w:eastAsia="en-NZ"/>
              </w:rPr>
            </w:pPr>
            <w:r w:rsidRPr="00063117">
              <w:rPr>
                <w:lang w:eastAsia="en-NZ"/>
              </w:rPr>
              <w:t>400</w:t>
            </w:r>
          </w:p>
        </w:tc>
        <w:tc>
          <w:tcPr>
            <w:tcW w:w="1559"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027DBEB8" w14:textId="77777777" w:rsidR="00BE456C" w:rsidRPr="00063117" w:rsidRDefault="00BE456C" w:rsidP="00BE456C">
            <w:pPr>
              <w:pStyle w:val="Tablesinglespacedparagraph"/>
              <w:jc w:val="center"/>
              <w:rPr>
                <w:lang w:eastAsia="en-NZ"/>
              </w:rPr>
            </w:pPr>
            <w:r w:rsidRPr="00063117">
              <w:rPr>
                <w:lang w:eastAsia="en-NZ"/>
              </w:rPr>
              <w:t>258</w:t>
            </w:r>
          </w:p>
        </w:tc>
        <w:tc>
          <w:tcPr>
            <w:tcW w:w="1276"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2D0A4E45" w14:textId="77777777" w:rsidR="00BE456C" w:rsidRPr="00063117" w:rsidRDefault="00BE456C" w:rsidP="00BE456C">
            <w:pPr>
              <w:pStyle w:val="Tablesinglespacedparagraph"/>
              <w:jc w:val="center"/>
              <w:rPr>
                <w:lang w:eastAsia="en-NZ"/>
              </w:rPr>
            </w:pPr>
            <w:r w:rsidRPr="00063117">
              <w:rPr>
                <w:lang w:eastAsia="en-NZ"/>
              </w:rPr>
              <w:t>142</w:t>
            </w:r>
          </w:p>
        </w:tc>
      </w:tr>
      <w:tr w:rsidR="00BE456C" w:rsidRPr="00063117" w14:paraId="2EC4ECC7" w14:textId="77777777" w:rsidTr="00BE456C">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5BC966EB" w14:textId="77777777" w:rsidR="00BE456C" w:rsidRPr="00063117" w:rsidRDefault="00BE456C" w:rsidP="00BE456C">
            <w:pPr>
              <w:pStyle w:val="Tablesinglespacedparagraph"/>
              <w:rPr>
                <w:lang w:eastAsia="en-NZ"/>
              </w:rPr>
            </w:pPr>
            <w:r w:rsidRPr="00063117">
              <w:rPr>
                <w:lang w:eastAsia="en-NZ"/>
              </w:rPr>
              <w:t>Jun-18</w:t>
            </w:r>
          </w:p>
        </w:tc>
        <w:tc>
          <w:tcPr>
            <w:tcW w:w="1417"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587E3769" w14:textId="77777777" w:rsidR="00BE456C" w:rsidRPr="00063117" w:rsidRDefault="00BE456C" w:rsidP="00BE456C">
            <w:pPr>
              <w:pStyle w:val="Tablesinglespacedparagraph"/>
              <w:jc w:val="center"/>
              <w:rPr>
                <w:lang w:eastAsia="en-NZ"/>
              </w:rPr>
            </w:pPr>
            <w:r w:rsidRPr="00063117">
              <w:rPr>
                <w:lang w:eastAsia="en-NZ"/>
              </w:rPr>
              <w:t>299</w:t>
            </w:r>
          </w:p>
        </w:tc>
        <w:tc>
          <w:tcPr>
            <w:tcW w:w="1701"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7D20A283" w14:textId="77777777" w:rsidR="00BE456C" w:rsidRPr="00063117" w:rsidRDefault="00BE456C" w:rsidP="00BE456C">
            <w:pPr>
              <w:pStyle w:val="Tablesinglespacedparagraph"/>
              <w:jc w:val="center"/>
              <w:rPr>
                <w:lang w:eastAsia="en-NZ"/>
              </w:rPr>
            </w:pPr>
            <w:r w:rsidRPr="00063117">
              <w:rPr>
                <w:lang w:eastAsia="en-NZ"/>
              </w:rPr>
              <w:t>488</w:t>
            </w:r>
          </w:p>
        </w:tc>
        <w:tc>
          <w:tcPr>
            <w:tcW w:w="1559"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680786F4" w14:textId="77777777" w:rsidR="00BE456C" w:rsidRPr="00063117" w:rsidRDefault="00BE456C" w:rsidP="00BE456C">
            <w:pPr>
              <w:pStyle w:val="Tablesinglespacedparagraph"/>
              <w:jc w:val="center"/>
              <w:rPr>
                <w:lang w:eastAsia="en-NZ"/>
              </w:rPr>
            </w:pPr>
            <w:r w:rsidRPr="00063117">
              <w:rPr>
                <w:lang w:eastAsia="en-NZ"/>
              </w:rPr>
              <w:t>344</w:t>
            </w:r>
          </w:p>
        </w:tc>
        <w:tc>
          <w:tcPr>
            <w:tcW w:w="1276"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03D13927" w14:textId="77777777" w:rsidR="00BE456C" w:rsidRPr="00063117" w:rsidRDefault="00BE456C" w:rsidP="00BE456C">
            <w:pPr>
              <w:pStyle w:val="Tablesinglespacedparagraph"/>
              <w:jc w:val="center"/>
              <w:rPr>
                <w:lang w:eastAsia="en-NZ"/>
              </w:rPr>
            </w:pPr>
            <w:r w:rsidRPr="00063117">
              <w:rPr>
                <w:lang w:eastAsia="en-NZ"/>
              </w:rPr>
              <w:t>144</w:t>
            </w:r>
          </w:p>
        </w:tc>
      </w:tr>
      <w:tr w:rsidR="00BE456C" w:rsidRPr="00063117" w14:paraId="173A307F" w14:textId="77777777" w:rsidTr="00BE456C">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53BC6668" w14:textId="77777777" w:rsidR="00BE456C" w:rsidRPr="00063117" w:rsidRDefault="00BE456C" w:rsidP="00BE456C">
            <w:pPr>
              <w:pStyle w:val="Tablesinglespacedparagraph"/>
              <w:rPr>
                <w:lang w:eastAsia="en-NZ"/>
              </w:rPr>
            </w:pPr>
            <w:r w:rsidRPr="00063117">
              <w:rPr>
                <w:lang w:eastAsia="en-NZ"/>
              </w:rPr>
              <w:t>Jun-19</w:t>
            </w:r>
          </w:p>
        </w:tc>
        <w:tc>
          <w:tcPr>
            <w:tcW w:w="1417"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7DB194FF" w14:textId="77777777" w:rsidR="00BE456C" w:rsidRPr="00063117" w:rsidRDefault="00BE456C" w:rsidP="00BE456C">
            <w:pPr>
              <w:pStyle w:val="Tablesinglespacedparagraph"/>
              <w:jc w:val="center"/>
              <w:rPr>
                <w:lang w:eastAsia="en-NZ"/>
              </w:rPr>
            </w:pPr>
            <w:r w:rsidRPr="00063117">
              <w:rPr>
                <w:lang w:eastAsia="en-NZ"/>
              </w:rPr>
              <w:t>364</w:t>
            </w:r>
          </w:p>
        </w:tc>
        <w:tc>
          <w:tcPr>
            <w:tcW w:w="1701"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20ADE616" w14:textId="77777777" w:rsidR="00BE456C" w:rsidRPr="00063117" w:rsidRDefault="00BE456C" w:rsidP="00BE456C">
            <w:pPr>
              <w:pStyle w:val="Tablesinglespacedparagraph"/>
              <w:jc w:val="center"/>
              <w:rPr>
                <w:lang w:eastAsia="en-NZ"/>
              </w:rPr>
            </w:pPr>
            <w:r w:rsidRPr="00063117">
              <w:rPr>
                <w:lang w:eastAsia="en-NZ"/>
              </w:rPr>
              <w:t>461</w:t>
            </w:r>
          </w:p>
        </w:tc>
        <w:tc>
          <w:tcPr>
            <w:tcW w:w="1559"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4A609FC0" w14:textId="77777777" w:rsidR="00BE456C" w:rsidRPr="00063117" w:rsidRDefault="00BE456C" w:rsidP="00BE456C">
            <w:pPr>
              <w:pStyle w:val="Tablesinglespacedparagraph"/>
              <w:jc w:val="center"/>
              <w:rPr>
                <w:lang w:eastAsia="en-NZ"/>
              </w:rPr>
            </w:pPr>
            <w:r w:rsidRPr="00063117">
              <w:rPr>
                <w:lang w:eastAsia="en-NZ"/>
              </w:rPr>
              <w:t>339</w:t>
            </w:r>
          </w:p>
        </w:tc>
        <w:tc>
          <w:tcPr>
            <w:tcW w:w="1276"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77DD66B5" w14:textId="77777777" w:rsidR="00BE456C" w:rsidRPr="00063117" w:rsidRDefault="00BE456C" w:rsidP="00BE456C">
            <w:pPr>
              <w:pStyle w:val="Tablesinglespacedparagraph"/>
              <w:jc w:val="center"/>
              <w:rPr>
                <w:lang w:eastAsia="en-NZ"/>
              </w:rPr>
            </w:pPr>
            <w:r w:rsidRPr="00063117">
              <w:rPr>
                <w:lang w:eastAsia="en-NZ"/>
              </w:rPr>
              <w:t>122</w:t>
            </w:r>
          </w:p>
        </w:tc>
      </w:tr>
      <w:tr w:rsidR="00BE456C" w:rsidRPr="00063117" w14:paraId="73C6BB79" w14:textId="77777777" w:rsidTr="00BE456C">
        <w:trPr>
          <w:trHeight w:val="255"/>
        </w:trPr>
        <w:tc>
          <w:tcPr>
            <w:tcW w:w="1550"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2E633B93" w14:textId="77777777" w:rsidR="00BE456C" w:rsidRPr="00063117" w:rsidRDefault="00BE456C" w:rsidP="00BE456C">
            <w:pPr>
              <w:pStyle w:val="Tablesinglespacedparagraph"/>
              <w:rPr>
                <w:lang w:eastAsia="en-NZ"/>
              </w:rPr>
            </w:pPr>
            <w:r w:rsidRPr="00063117">
              <w:rPr>
                <w:lang w:eastAsia="en-NZ"/>
              </w:rPr>
              <w:t>Jun-20</w:t>
            </w:r>
          </w:p>
        </w:tc>
        <w:tc>
          <w:tcPr>
            <w:tcW w:w="1417"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2FF13C29" w14:textId="77777777" w:rsidR="00BE456C" w:rsidRPr="00063117" w:rsidRDefault="00BE456C" w:rsidP="00BE456C">
            <w:pPr>
              <w:pStyle w:val="Tablesinglespacedparagraph"/>
              <w:jc w:val="center"/>
              <w:rPr>
                <w:lang w:eastAsia="en-NZ"/>
              </w:rPr>
            </w:pPr>
            <w:r w:rsidRPr="00063117">
              <w:rPr>
                <w:lang w:eastAsia="en-NZ"/>
              </w:rPr>
              <w:t>354</w:t>
            </w:r>
          </w:p>
        </w:tc>
        <w:tc>
          <w:tcPr>
            <w:tcW w:w="1701"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549DCEDB" w14:textId="77777777" w:rsidR="00BE456C" w:rsidRPr="00063117" w:rsidRDefault="00BE456C" w:rsidP="00BE456C">
            <w:pPr>
              <w:pStyle w:val="Tablesinglespacedparagraph"/>
              <w:jc w:val="center"/>
              <w:rPr>
                <w:lang w:eastAsia="en-NZ"/>
              </w:rPr>
            </w:pPr>
            <w:r w:rsidRPr="00063117">
              <w:rPr>
                <w:lang w:eastAsia="en-NZ"/>
              </w:rPr>
              <w:t>476</w:t>
            </w:r>
          </w:p>
        </w:tc>
        <w:tc>
          <w:tcPr>
            <w:tcW w:w="1559"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451578DB" w14:textId="77777777" w:rsidR="00BE456C" w:rsidRPr="00063117" w:rsidRDefault="00BE456C" w:rsidP="00BE456C">
            <w:pPr>
              <w:pStyle w:val="Tablesinglespacedparagraph"/>
              <w:jc w:val="center"/>
              <w:rPr>
                <w:lang w:eastAsia="en-NZ"/>
              </w:rPr>
            </w:pPr>
            <w:r w:rsidRPr="00063117">
              <w:rPr>
                <w:lang w:eastAsia="en-NZ"/>
              </w:rPr>
              <w:t>353</w:t>
            </w:r>
          </w:p>
        </w:tc>
        <w:tc>
          <w:tcPr>
            <w:tcW w:w="1276" w:type="dxa"/>
            <w:tcBorders>
              <w:top w:val="single" w:sz="8" w:space="0" w:color="FFFFFF"/>
              <w:left w:val="single" w:sz="8" w:space="0" w:color="FFFFFF"/>
              <w:bottom w:val="single" w:sz="8" w:space="0" w:color="FFFFFF"/>
              <w:right w:val="single" w:sz="8" w:space="0" w:color="FFFFFF"/>
            </w:tcBorders>
            <w:shd w:val="clear" w:color="auto" w:fill="E9E9E9"/>
            <w:noWrap/>
            <w:vAlign w:val="bottom"/>
            <w:hideMark/>
          </w:tcPr>
          <w:p w14:paraId="63CA4678" w14:textId="77777777" w:rsidR="00BE456C" w:rsidRPr="00063117" w:rsidRDefault="00BE456C" w:rsidP="00BE456C">
            <w:pPr>
              <w:pStyle w:val="Tablesinglespacedparagraph"/>
              <w:jc w:val="center"/>
              <w:rPr>
                <w:lang w:eastAsia="en-NZ"/>
              </w:rPr>
            </w:pPr>
            <w:r w:rsidRPr="00063117">
              <w:rPr>
                <w:lang w:eastAsia="en-NZ"/>
              </w:rPr>
              <w:t>123</w:t>
            </w:r>
          </w:p>
        </w:tc>
      </w:tr>
    </w:tbl>
    <w:p w14:paraId="075E8470" w14:textId="5647C65C" w:rsidR="00063117" w:rsidRDefault="00063117" w:rsidP="00DF1795">
      <w:pPr>
        <w:pStyle w:val="Singlespacedparagraph"/>
      </w:pPr>
    </w:p>
    <w:p w14:paraId="3F512C56" w14:textId="2A15B2C6" w:rsidR="00063117" w:rsidRDefault="005B795D" w:rsidP="00DF1795">
      <w:pPr>
        <w:pStyle w:val="Singlespacedparagraph"/>
      </w:pPr>
      <w:hyperlink w:anchor="Figure6" w:history="1">
        <w:r w:rsidR="00063117" w:rsidRPr="00063117">
          <w:rPr>
            <w:rStyle w:val="Hyperlink"/>
          </w:rPr>
          <w:t>Return to Figure 6 in text.</w:t>
        </w:r>
      </w:hyperlink>
      <w:r w:rsidR="00063117">
        <w:t xml:space="preserve"> </w:t>
      </w:r>
    </w:p>
    <w:p w14:paraId="0378D8B5" w14:textId="33BC70D2" w:rsidR="00063117" w:rsidRPr="00BE456C" w:rsidRDefault="00BE456C" w:rsidP="00DF1795">
      <w:pPr>
        <w:pStyle w:val="Singlespacedparagraph"/>
        <w:rPr>
          <w:b/>
        </w:rPr>
      </w:pPr>
      <w:r>
        <w:br w:type="column"/>
      </w:r>
      <w:bookmarkStart w:id="189" w:name="Figure7table"/>
      <w:r w:rsidRPr="00BE456C">
        <w:rPr>
          <w:b/>
        </w:rPr>
        <w:t>Figure 7</w:t>
      </w:r>
      <w:bookmarkEnd w:id="189"/>
      <w:r w:rsidRPr="00BE456C">
        <w:rPr>
          <w:b/>
        </w:rPr>
        <w:t xml:space="preserve">: </w:t>
      </w:r>
      <w:r w:rsidRPr="00BE456C">
        <w:rPr>
          <w:b/>
          <w:noProof/>
        </w:rPr>
        <w:t>Other contacts received and actioned over the past 10 years</w:t>
      </w:r>
    </w:p>
    <w:tbl>
      <w:tblPr>
        <w:tblW w:w="75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1550"/>
        <w:gridCol w:w="1417"/>
        <w:gridCol w:w="1701"/>
        <w:gridCol w:w="1559"/>
        <w:gridCol w:w="1276"/>
      </w:tblGrid>
      <w:tr w:rsidR="00E31E1D" w:rsidRPr="00BE456C" w14:paraId="00CB0A35" w14:textId="77777777" w:rsidTr="00E31E1D">
        <w:trPr>
          <w:trHeight w:val="255"/>
        </w:trPr>
        <w:tc>
          <w:tcPr>
            <w:tcW w:w="1550" w:type="dxa"/>
            <w:tcBorders>
              <w:bottom w:val="single" w:sz="8" w:space="0" w:color="FFFFFF"/>
            </w:tcBorders>
            <w:shd w:val="clear" w:color="auto" w:fill="2BB673"/>
            <w:noWrap/>
            <w:vAlign w:val="bottom"/>
            <w:hideMark/>
          </w:tcPr>
          <w:p w14:paraId="43AB39D0" w14:textId="77777777" w:rsidR="00BE456C" w:rsidRPr="00E31E1D" w:rsidRDefault="00BE456C" w:rsidP="00BE456C">
            <w:pPr>
              <w:pStyle w:val="Tablesinglespacedparagraph"/>
              <w:rPr>
                <w:b/>
                <w:color w:val="FFFFFF" w:themeColor="background1"/>
                <w:lang w:eastAsia="en-NZ"/>
              </w:rPr>
            </w:pPr>
            <w:r w:rsidRPr="00E31E1D">
              <w:rPr>
                <w:b/>
                <w:color w:val="FFFFFF" w:themeColor="background1"/>
                <w:lang w:eastAsia="en-NZ"/>
              </w:rPr>
              <w:t>Date</w:t>
            </w:r>
          </w:p>
        </w:tc>
        <w:tc>
          <w:tcPr>
            <w:tcW w:w="1417" w:type="dxa"/>
            <w:tcBorders>
              <w:bottom w:val="single" w:sz="8" w:space="0" w:color="FFFFFF"/>
            </w:tcBorders>
            <w:shd w:val="clear" w:color="auto" w:fill="2BB673"/>
            <w:noWrap/>
            <w:vAlign w:val="bottom"/>
            <w:hideMark/>
          </w:tcPr>
          <w:p w14:paraId="1AD5B9E1" w14:textId="77777777" w:rsidR="00BE456C" w:rsidRPr="00E31E1D" w:rsidRDefault="00BE456C" w:rsidP="00E31E1D">
            <w:pPr>
              <w:pStyle w:val="Tablesinglespacedparagraph"/>
              <w:jc w:val="center"/>
              <w:rPr>
                <w:b/>
                <w:color w:val="FFFFFF" w:themeColor="background1"/>
                <w:lang w:eastAsia="en-NZ"/>
              </w:rPr>
            </w:pPr>
            <w:r w:rsidRPr="00E31E1D">
              <w:rPr>
                <w:b/>
                <w:color w:val="FFFFFF" w:themeColor="background1"/>
                <w:lang w:eastAsia="en-NZ"/>
              </w:rPr>
              <w:t>Received</w:t>
            </w:r>
          </w:p>
        </w:tc>
        <w:tc>
          <w:tcPr>
            <w:tcW w:w="1701" w:type="dxa"/>
            <w:tcBorders>
              <w:bottom w:val="single" w:sz="8" w:space="0" w:color="FFFFFF"/>
            </w:tcBorders>
            <w:shd w:val="clear" w:color="auto" w:fill="2BB673"/>
            <w:noWrap/>
            <w:vAlign w:val="bottom"/>
            <w:hideMark/>
          </w:tcPr>
          <w:p w14:paraId="1448B400" w14:textId="77777777" w:rsidR="00BE456C" w:rsidRPr="00E31E1D" w:rsidRDefault="00BE456C" w:rsidP="00E31E1D">
            <w:pPr>
              <w:pStyle w:val="Tablesinglespacedparagraph"/>
              <w:jc w:val="center"/>
              <w:rPr>
                <w:b/>
                <w:color w:val="FFFFFF" w:themeColor="background1"/>
                <w:lang w:eastAsia="en-NZ"/>
              </w:rPr>
            </w:pPr>
            <w:r w:rsidRPr="00E31E1D">
              <w:rPr>
                <w:b/>
                <w:color w:val="FFFFFF" w:themeColor="background1"/>
                <w:lang w:eastAsia="en-NZ"/>
              </w:rPr>
              <w:t>Under Action in the Year</w:t>
            </w:r>
          </w:p>
        </w:tc>
        <w:tc>
          <w:tcPr>
            <w:tcW w:w="1559" w:type="dxa"/>
            <w:tcBorders>
              <w:bottom w:val="single" w:sz="8" w:space="0" w:color="FFFFFF"/>
            </w:tcBorders>
            <w:shd w:val="clear" w:color="auto" w:fill="2BB673"/>
            <w:noWrap/>
            <w:vAlign w:val="bottom"/>
            <w:hideMark/>
          </w:tcPr>
          <w:p w14:paraId="442E0D83" w14:textId="77777777" w:rsidR="00BE456C" w:rsidRPr="00E31E1D" w:rsidRDefault="00BE456C" w:rsidP="00E31E1D">
            <w:pPr>
              <w:pStyle w:val="Tablesinglespacedparagraph"/>
              <w:jc w:val="center"/>
              <w:rPr>
                <w:b/>
                <w:color w:val="FFFFFF" w:themeColor="background1"/>
                <w:lang w:eastAsia="en-NZ"/>
              </w:rPr>
            </w:pPr>
            <w:r w:rsidRPr="00E31E1D">
              <w:rPr>
                <w:b/>
                <w:color w:val="FFFFFF" w:themeColor="background1"/>
                <w:lang w:eastAsia="en-NZ"/>
              </w:rPr>
              <w:t>Completed</w:t>
            </w:r>
          </w:p>
        </w:tc>
        <w:tc>
          <w:tcPr>
            <w:tcW w:w="1276" w:type="dxa"/>
            <w:tcBorders>
              <w:bottom w:val="single" w:sz="8" w:space="0" w:color="FFFFFF"/>
            </w:tcBorders>
            <w:shd w:val="clear" w:color="auto" w:fill="2BB673"/>
            <w:noWrap/>
            <w:vAlign w:val="bottom"/>
            <w:hideMark/>
          </w:tcPr>
          <w:p w14:paraId="35C92632" w14:textId="77777777" w:rsidR="00BE456C" w:rsidRPr="00E31E1D" w:rsidRDefault="00BE456C" w:rsidP="00E31E1D">
            <w:pPr>
              <w:pStyle w:val="Tablesinglespacedparagraph"/>
              <w:jc w:val="center"/>
              <w:rPr>
                <w:b/>
                <w:color w:val="FFFFFF" w:themeColor="background1"/>
                <w:lang w:eastAsia="en-NZ"/>
              </w:rPr>
            </w:pPr>
            <w:r w:rsidRPr="00E31E1D">
              <w:rPr>
                <w:b/>
                <w:color w:val="FFFFFF" w:themeColor="background1"/>
                <w:lang w:eastAsia="en-NZ"/>
              </w:rPr>
              <w:t>On Hand at Year End</w:t>
            </w:r>
          </w:p>
        </w:tc>
      </w:tr>
      <w:tr w:rsidR="00E31E1D" w:rsidRPr="00BE456C" w14:paraId="364A54AA" w14:textId="77777777" w:rsidTr="00E31E1D">
        <w:trPr>
          <w:trHeight w:val="255"/>
        </w:trPr>
        <w:tc>
          <w:tcPr>
            <w:tcW w:w="1550" w:type="dxa"/>
            <w:shd w:val="clear" w:color="auto" w:fill="E9E9E9"/>
            <w:noWrap/>
            <w:vAlign w:val="bottom"/>
            <w:hideMark/>
          </w:tcPr>
          <w:p w14:paraId="08535605" w14:textId="77777777" w:rsidR="00BE456C" w:rsidRPr="00BE456C" w:rsidRDefault="00BE456C" w:rsidP="00BE456C">
            <w:pPr>
              <w:pStyle w:val="Tablesinglespacedparagraph"/>
              <w:rPr>
                <w:lang w:eastAsia="en-NZ"/>
              </w:rPr>
            </w:pPr>
            <w:r w:rsidRPr="00BE456C">
              <w:rPr>
                <w:lang w:eastAsia="en-NZ"/>
              </w:rPr>
              <w:t>Jun-10</w:t>
            </w:r>
          </w:p>
        </w:tc>
        <w:tc>
          <w:tcPr>
            <w:tcW w:w="1417" w:type="dxa"/>
            <w:shd w:val="clear" w:color="auto" w:fill="E9E9E9"/>
            <w:noWrap/>
            <w:vAlign w:val="bottom"/>
            <w:hideMark/>
          </w:tcPr>
          <w:p w14:paraId="0017AB3A" w14:textId="77777777" w:rsidR="00BE456C" w:rsidRPr="00BE456C" w:rsidRDefault="00BE456C" w:rsidP="00E31E1D">
            <w:pPr>
              <w:pStyle w:val="Tablesinglespacedparagraph"/>
              <w:jc w:val="center"/>
              <w:rPr>
                <w:lang w:eastAsia="en-NZ"/>
              </w:rPr>
            </w:pPr>
            <w:r w:rsidRPr="00BE456C">
              <w:rPr>
                <w:lang w:eastAsia="en-NZ"/>
              </w:rPr>
              <w:t>0</w:t>
            </w:r>
          </w:p>
        </w:tc>
        <w:tc>
          <w:tcPr>
            <w:tcW w:w="1701" w:type="dxa"/>
            <w:shd w:val="clear" w:color="auto" w:fill="E9E9E9"/>
            <w:noWrap/>
            <w:vAlign w:val="bottom"/>
            <w:hideMark/>
          </w:tcPr>
          <w:p w14:paraId="271091E6" w14:textId="77777777" w:rsidR="00BE456C" w:rsidRPr="00BE456C" w:rsidRDefault="00BE456C" w:rsidP="00E31E1D">
            <w:pPr>
              <w:pStyle w:val="Tablesinglespacedparagraph"/>
              <w:jc w:val="center"/>
              <w:rPr>
                <w:lang w:eastAsia="en-NZ"/>
              </w:rPr>
            </w:pPr>
            <w:r w:rsidRPr="00BE456C">
              <w:rPr>
                <w:lang w:eastAsia="en-NZ"/>
              </w:rPr>
              <w:t>0</w:t>
            </w:r>
          </w:p>
        </w:tc>
        <w:tc>
          <w:tcPr>
            <w:tcW w:w="1559" w:type="dxa"/>
            <w:shd w:val="clear" w:color="auto" w:fill="E9E9E9"/>
            <w:noWrap/>
            <w:vAlign w:val="bottom"/>
            <w:hideMark/>
          </w:tcPr>
          <w:p w14:paraId="41B9DAC4" w14:textId="77777777" w:rsidR="00BE456C" w:rsidRPr="00BE456C" w:rsidRDefault="00BE456C" w:rsidP="00E31E1D">
            <w:pPr>
              <w:pStyle w:val="Tablesinglespacedparagraph"/>
              <w:jc w:val="center"/>
              <w:rPr>
                <w:lang w:eastAsia="en-NZ"/>
              </w:rPr>
            </w:pPr>
            <w:r w:rsidRPr="00BE456C">
              <w:rPr>
                <w:lang w:eastAsia="en-NZ"/>
              </w:rPr>
              <w:t>0</w:t>
            </w:r>
          </w:p>
        </w:tc>
        <w:tc>
          <w:tcPr>
            <w:tcW w:w="1276" w:type="dxa"/>
            <w:shd w:val="clear" w:color="auto" w:fill="E9E9E9"/>
            <w:noWrap/>
            <w:vAlign w:val="bottom"/>
            <w:hideMark/>
          </w:tcPr>
          <w:p w14:paraId="120A757F" w14:textId="77777777" w:rsidR="00BE456C" w:rsidRPr="00BE456C" w:rsidRDefault="00BE456C" w:rsidP="00E31E1D">
            <w:pPr>
              <w:pStyle w:val="Tablesinglespacedparagraph"/>
              <w:jc w:val="center"/>
              <w:rPr>
                <w:lang w:eastAsia="en-NZ"/>
              </w:rPr>
            </w:pPr>
            <w:r w:rsidRPr="00BE456C">
              <w:rPr>
                <w:lang w:eastAsia="en-NZ"/>
              </w:rPr>
              <w:t>0</w:t>
            </w:r>
          </w:p>
        </w:tc>
      </w:tr>
      <w:tr w:rsidR="00E31E1D" w:rsidRPr="00BE456C" w14:paraId="38E87529" w14:textId="77777777" w:rsidTr="00E31E1D">
        <w:trPr>
          <w:trHeight w:val="255"/>
        </w:trPr>
        <w:tc>
          <w:tcPr>
            <w:tcW w:w="1550" w:type="dxa"/>
            <w:shd w:val="clear" w:color="auto" w:fill="E9E9E9"/>
            <w:noWrap/>
            <w:vAlign w:val="bottom"/>
            <w:hideMark/>
          </w:tcPr>
          <w:p w14:paraId="5C9EDB31" w14:textId="77777777" w:rsidR="00BE456C" w:rsidRPr="00BE456C" w:rsidRDefault="00BE456C" w:rsidP="00BE456C">
            <w:pPr>
              <w:pStyle w:val="Tablesinglespacedparagraph"/>
              <w:rPr>
                <w:lang w:eastAsia="en-NZ"/>
              </w:rPr>
            </w:pPr>
            <w:r w:rsidRPr="00BE456C">
              <w:rPr>
                <w:lang w:eastAsia="en-NZ"/>
              </w:rPr>
              <w:t>Jun-11</w:t>
            </w:r>
          </w:p>
        </w:tc>
        <w:tc>
          <w:tcPr>
            <w:tcW w:w="1417" w:type="dxa"/>
            <w:shd w:val="clear" w:color="auto" w:fill="E9E9E9"/>
            <w:noWrap/>
            <w:vAlign w:val="bottom"/>
            <w:hideMark/>
          </w:tcPr>
          <w:p w14:paraId="554BD40C" w14:textId="77777777" w:rsidR="00BE456C" w:rsidRPr="00BE456C" w:rsidRDefault="00BE456C" w:rsidP="00E31E1D">
            <w:pPr>
              <w:pStyle w:val="Tablesinglespacedparagraph"/>
              <w:jc w:val="center"/>
              <w:rPr>
                <w:lang w:eastAsia="en-NZ"/>
              </w:rPr>
            </w:pPr>
            <w:r w:rsidRPr="00BE456C">
              <w:rPr>
                <w:lang w:eastAsia="en-NZ"/>
              </w:rPr>
              <w:t>955</w:t>
            </w:r>
          </w:p>
        </w:tc>
        <w:tc>
          <w:tcPr>
            <w:tcW w:w="1701" w:type="dxa"/>
            <w:shd w:val="clear" w:color="auto" w:fill="E9E9E9"/>
            <w:noWrap/>
            <w:vAlign w:val="bottom"/>
            <w:hideMark/>
          </w:tcPr>
          <w:p w14:paraId="5912A3C1" w14:textId="77777777" w:rsidR="00BE456C" w:rsidRPr="00BE456C" w:rsidRDefault="00BE456C" w:rsidP="00E31E1D">
            <w:pPr>
              <w:pStyle w:val="Tablesinglespacedparagraph"/>
              <w:jc w:val="center"/>
              <w:rPr>
                <w:lang w:eastAsia="en-NZ"/>
              </w:rPr>
            </w:pPr>
            <w:r w:rsidRPr="00BE456C">
              <w:rPr>
                <w:lang w:eastAsia="en-NZ"/>
              </w:rPr>
              <w:t>955</w:t>
            </w:r>
          </w:p>
        </w:tc>
        <w:tc>
          <w:tcPr>
            <w:tcW w:w="1559" w:type="dxa"/>
            <w:shd w:val="clear" w:color="auto" w:fill="E9E9E9"/>
            <w:noWrap/>
            <w:vAlign w:val="bottom"/>
            <w:hideMark/>
          </w:tcPr>
          <w:p w14:paraId="3B210352" w14:textId="77777777" w:rsidR="00BE456C" w:rsidRPr="00BE456C" w:rsidRDefault="00BE456C" w:rsidP="00E31E1D">
            <w:pPr>
              <w:pStyle w:val="Tablesinglespacedparagraph"/>
              <w:jc w:val="center"/>
              <w:rPr>
                <w:lang w:eastAsia="en-NZ"/>
              </w:rPr>
            </w:pPr>
            <w:r w:rsidRPr="00BE456C">
              <w:rPr>
                <w:lang w:eastAsia="en-NZ"/>
              </w:rPr>
              <w:t>999</w:t>
            </w:r>
          </w:p>
        </w:tc>
        <w:tc>
          <w:tcPr>
            <w:tcW w:w="1276" w:type="dxa"/>
            <w:shd w:val="clear" w:color="auto" w:fill="E9E9E9"/>
            <w:noWrap/>
            <w:vAlign w:val="bottom"/>
            <w:hideMark/>
          </w:tcPr>
          <w:p w14:paraId="7C894351" w14:textId="77777777" w:rsidR="00BE456C" w:rsidRPr="00BE456C" w:rsidRDefault="00BE456C" w:rsidP="00E31E1D">
            <w:pPr>
              <w:pStyle w:val="Tablesinglespacedparagraph"/>
              <w:jc w:val="center"/>
              <w:rPr>
                <w:lang w:eastAsia="en-NZ"/>
              </w:rPr>
            </w:pPr>
            <w:r w:rsidRPr="00BE456C">
              <w:rPr>
                <w:lang w:eastAsia="en-NZ"/>
              </w:rPr>
              <w:t>6</w:t>
            </w:r>
          </w:p>
        </w:tc>
      </w:tr>
      <w:tr w:rsidR="00E31E1D" w:rsidRPr="00BE456C" w14:paraId="17B08C95" w14:textId="77777777" w:rsidTr="00E31E1D">
        <w:trPr>
          <w:trHeight w:val="255"/>
        </w:trPr>
        <w:tc>
          <w:tcPr>
            <w:tcW w:w="1550" w:type="dxa"/>
            <w:shd w:val="clear" w:color="auto" w:fill="E9E9E9"/>
            <w:noWrap/>
            <w:vAlign w:val="bottom"/>
            <w:hideMark/>
          </w:tcPr>
          <w:p w14:paraId="48E36DC0" w14:textId="77777777" w:rsidR="00BE456C" w:rsidRPr="00BE456C" w:rsidRDefault="00BE456C" w:rsidP="00BE456C">
            <w:pPr>
              <w:pStyle w:val="Tablesinglespacedparagraph"/>
              <w:rPr>
                <w:lang w:eastAsia="en-NZ"/>
              </w:rPr>
            </w:pPr>
            <w:r w:rsidRPr="00BE456C">
              <w:rPr>
                <w:lang w:eastAsia="en-NZ"/>
              </w:rPr>
              <w:t>Jun-12</w:t>
            </w:r>
          </w:p>
        </w:tc>
        <w:tc>
          <w:tcPr>
            <w:tcW w:w="1417" w:type="dxa"/>
            <w:shd w:val="clear" w:color="auto" w:fill="E9E9E9"/>
            <w:noWrap/>
            <w:vAlign w:val="bottom"/>
            <w:hideMark/>
          </w:tcPr>
          <w:p w14:paraId="57F64001" w14:textId="26988C27" w:rsidR="00BE456C" w:rsidRPr="00BE456C" w:rsidRDefault="00BE456C" w:rsidP="00E31E1D">
            <w:pPr>
              <w:pStyle w:val="Tablesinglespacedparagraph"/>
              <w:jc w:val="center"/>
              <w:rPr>
                <w:lang w:eastAsia="en-NZ"/>
              </w:rPr>
            </w:pPr>
            <w:r w:rsidRPr="00BE456C">
              <w:rPr>
                <w:lang w:eastAsia="en-NZ"/>
              </w:rPr>
              <w:t>6491</w:t>
            </w:r>
          </w:p>
        </w:tc>
        <w:tc>
          <w:tcPr>
            <w:tcW w:w="1701" w:type="dxa"/>
            <w:shd w:val="clear" w:color="auto" w:fill="E9E9E9"/>
            <w:noWrap/>
            <w:vAlign w:val="bottom"/>
            <w:hideMark/>
          </w:tcPr>
          <w:p w14:paraId="1D025DBA" w14:textId="5B2F77E1" w:rsidR="00BE456C" w:rsidRPr="00BE456C" w:rsidRDefault="00BE456C" w:rsidP="00E31E1D">
            <w:pPr>
              <w:pStyle w:val="Tablesinglespacedparagraph"/>
              <w:jc w:val="center"/>
              <w:rPr>
                <w:lang w:eastAsia="en-NZ"/>
              </w:rPr>
            </w:pPr>
            <w:r w:rsidRPr="00BE456C">
              <w:rPr>
                <w:lang w:eastAsia="en-NZ"/>
              </w:rPr>
              <w:t>6497</w:t>
            </w:r>
          </w:p>
        </w:tc>
        <w:tc>
          <w:tcPr>
            <w:tcW w:w="1559" w:type="dxa"/>
            <w:shd w:val="clear" w:color="auto" w:fill="E9E9E9"/>
            <w:noWrap/>
            <w:vAlign w:val="bottom"/>
            <w:hideMark/>
          </w:tcPr>
          <w:p w14:paraId="7ED2699B" w14:textId="77777777" w:rsidR="00BE456C" w:rsidRPr="00BE456C" w:rsidRDefault="00BE456C" w:rsidP="00E31E1D">
            <w:pPr>
              <w:pStyle w:val="Tablesinglespacedparagraph"/>
              <w:jc w:val="center"/>
              <w:rPr>
                <w:lang w:eastAsia="en-NZ"/>
              </w:rPr>
            </w:pPr>
            <w:r w:rsidRPr="00BE456C">
              <w:rPr>
                <w:lang w:eastAsia="en-NZ"/>
              </w:rPr>
              <w:t>6401</w:t>
            </w:r>
          </w:p>
        </w:tc>
        <w:tc>
          <w:tcPr>
            <w:tcW w:w="1276" w:type="dxa"/>
            <w:shd w:val="clear" w:color="auto" w:fill="E9E9E9"/>
            <w:noWrap/>
            <w:vAlign w:val="bottom"/>
            <w:hideMark/>
          </w:tcPr>
          <w:p w14:paraId="692A529F" w14:textId="77777777" w:rsidR="00BE456C" w:rsidRPr="00BE456C" w:rsidRDefault="00BE456C" w:rsidP="00E31E1D">
            <w:pPr>
              <w:pStyle w:val="Tablesinglespacedparagraph"/>
              <w:jc w:val="center"/>
              <w:rPr>
                <w:lang w:eastAsia="en-NZ"/>
              </w:rPr>
            </w:pPr>
            <w:r w:rsidRPr="00BE456C">
              <w:rPr>
                <w:lang w:eastAsia="en-NZ"/>
              </w:rPr>
              <w:t>101</w:t>
            </w:r>
          </w:p>
        </w:tc>
      </w:tr>
      <w:tr w:rsidR="00E31E1D" w:rsidRPr="00BE456C" w14:paraId="5A3C51BC" w14:textId="77777777" w:rsidTr="00E31E1D">
        <w:trPr>
          <w:trHeight w:val="255"/>
        </w:trPr>
        <w:tc>
          <w:tcPr>
            <w:tcW w:w="1550" w:type="dxa"/>
            <w:shd w:val="clear" w:color="auto" w:fill="E9E9E9"/>
            <w:noWrap/>
            <w:vAlign w:val="bottom"/>
            <w:hideMark/>
          </w:tcPr>
          <w:p w14:paraId="6B0DFC67" w14:textId="77777777" w:rsidR="00BE456C" w:rsidRPr="00BE456C" w:rsidRDefault="00BE456C" w:rsidP="00BE456C">
            <w:pPr>
              <w:pStyle w:val="Tablesinglespacedparagraph"/>
              <w:rPr>
                <w:lang w:eastAsia="en-NZ"/>
              </w:rPr>
            </w:pPr>
            <w:r w:rsidRPr="00BE456C">
              <w:rPr>
                <w:lang w:eastAsia="en-NZ"/>
              </w:rPr>
              <w:t>Jun-13</w:t>
            </w:r>
          </w:p>
        </w:tc>
        <w:tc>
          <w:tcPr>
            <w:tcW w:w="1417" w:type="dxa"/>
            <w:shd w:val="clear" w:color="auto" w:fill="E9E9E9"/>
            <w:noWrap/>
            <w:vAlign w:val="bottom"/>
            <w:hideMark/>
          </w:tcPr>
          <w:p w14:paraId="1298F82D" w14:textId="6E55EEFD" w:rsidR="00BE456C" w:rsidRPr="00BE456C" w:rsidRDefault="00BE456C" w:rsidP="00E31E1D">
            <w:pPr>
              <w:pStyle w:val="Tablesinglespacedparagraph"/>
              <w:jc w:val="center"/>
              <w:rPr>
                <w:lang w:eastAsia="en-NZ"/>
              </w:rPr>
            </w:pPr>
            <w:r w:rsidRPr="00BE456C">
              <w:rPr>
                <w:lang w:eastAsia="en-NZ"/>
              </w:rPr>
              <w:t>8263</w:t>
            </w:r>
          </w:p>
        </w:tc>
        <w:tc>
          <w:tcPr>
            <w:tcW w:w="1701" w:type="dxa"/>
            <w:shd w:val="clear" w:color="auto" w:fill="E9E9E9"/>
            <w:noWrap/>
            <w:vAlign w:val="bottom"/>
            <w:hideMark/>
          </w:tcPr>
          <w:p w14:paraId="11759A76" w14:textId="53744DEE" w:rsidR="00BE456C" w:rsidRPr="00BE456C" w:rsidRDefault="00BE456C" w:rsidP="00E31E1D">
            <w:pPr>
              <w:pStyle w:val="Tablesinglespacedparagraph"/>
              <w:jc w:val="center"/>
              <w:rPr>
                <w:lang w:eastAsia="en-NZ"/>
              </w:rPr>
            </w:pPr>
            <w:r w:rsidRPr="00BE456C">
              <w:rPr>
                <w:lang w:eastAsia="en-NZ"/>
              </w:rPr>
              <w:t>8364</w:t>
            </w:r>
          </w:p>
        </w:tc>
        <w:tc>
          <w:tcPr>
            <w:tcW w:w="1559" w:type="dxa"/>
            <w:shd w:val="clear" w:color="auto" w:fill="E9E9E9"/>
            <w:noWrap/>
            <w:vAlign w:val="bottom"/>
            <w:hideMark/>
          </w:tcPr>
          <w:p w14:paraId="67B3589D" w14:textId="06B2C5BD" w:rsidR="00BE456C" w:rsidRPr="00BE456C" w:rsidRDefault="00BE456C" w:rsidP="00E31E1D">
            <w:pPr>
              <w:pStyle w:val="Tablesinglespacedparagraph"/>
              <w:jc w:val="center"/>
              <w:rPr>
                <w:lang w:eastAsia="en-NZ"/>
              </w:rPr>
            </w:pPr>
            <w:r w:rsidRPr="00BE456C">
              <w:rPr>
                <w:lang w:eastAsia="en-NZ"/>
              </w:rPr>
              <w:t>8283</w:t>
            </w:r>
          </w:p>
        </w:tc>
        <w:tc>
          <w:tcPr>
            <w:tcW w:w="1276" w:type="dxa"/>
            <w:shd w:val="clear" w:color="auto" w:fill="E9E9E9"/>
            <w:noWrap/>
            <w:vAlign w:val="bottom"/>
            <w:hideMark/>
          </w:tcPr>
          <w:p w14:paraId="665B5E44" w14:textId="77777777" w:rsidR="00BE456C" w:rsidRPr="00BE456C" w:rsidRDefault="00BE456C" w:rsidP="00E31E1D">
            <w:pPr>
              <w:pStyle w:val="Tablesinglespacedparagraph"/>
              <w:jc w:val="center"/>
              <w:rPr>
                <w:lang w:eastAsia="en-NZ"/>
              </w:rPr>
            </w:pPr>
            <w:r w:rsidRPr="00BE456C">
              <w:rPr>
                <w:lang w:eastAsia="en-NZ"/>
              </w:rPr>
              <w:t>80</w:t>
            </w:r>
          </w:p>
        </w:tc>
      </w:tr>
      <w:tr w:rsidR="00E31E1D" w:rsidRPr="00BE456C" w14:paraId="5C443A3E" w14:textId="77777777" w:rsidTr="00E31E1D">
        <w:trPr>
          <w:trHeight w:val="255"/>
        </w:trPr>
        <w:tc>
          <w:tcPr>
            <w:tcW w:w="1550" w:type="dxa"/>
            <w:shd w:val="clear" w:color="auto" w:fill="E9E9E9"/>
            <w:noWrap/>
            <w:vAlign w:val="bottom"/>
            <w:hideMark/>
          </w:tcPr>
          <w:p w14:paraId="57187CE0" w14:textId="77777777" w:rsidR="00BE456C" w:rsidRPr="00BE456C" w:rsidRDefault="00BE456C" w:rsidP="00BE456C">
            <w:pPr>
              <w:pStyle w:val="Tablesinglespacedparagraph"/>
              <w:rPr>
                <w:lang w:eastAsia="en-NZ"/>
              </w:rPr>
            </w:pPr>
            <w:r w:rsidRPr="00BE456C">
              <w:rPr>
                <w:lang w:eastAsia="en-NZ"/>
              </w:rPr>
              <w:t>Jun-14</w:t>
            </w:r>
          </w:p>
        </w:tc>
        <w:tc>
          <w:tcPr>
            <w:tcW w:w="1417" w:type="dxa"/>
            <w:shd w:val="clear" w:color="auto" w:fill="E9E9E9"/>
            <w:noWrap/>
            <w:vAlign w:val="bottom"/>
            <w:hideMark/>
          </w:tcPr>
          <w:p w14:paraId="617B8693" w14:textId="7B9C60E3" w:rsidR="00BE456C" w:rsidRPr="00BE456C" w:rsidRDefault="00BE456C" w:rsidP="00E31E1D">
            <w:pPr>
              <w:pStyle w:val="Tablesinglespacedparagraph"/>
              <w:jc w:val="center"/>
              <w:rPr>
                <w:lang w:eastAsia="en-NZ"/>
              </w:rPr>
            </w:pPr>
            <w:r w:rsidRPr="00BE456C">
              <w:rPr>
                <w:lang w:eastAsia="en-NZ"/>
              </w:rPr>
              <w:t>7081</w:t>
            </w:r>
          </w:p>
        </w:tc>
        <w:tc>
          <w:tcPr>
            <w:tcW w:w="1701" w:type="dxa"/>
            <w:shd w:val="clear" w:color="auto" w:fill="E9E9E9"/>
            <w:noWrap/>
            <w:vAlign w:val="bottom"/>
            <w:hideMark/>
          </w:tcPr>
          <w:p w14:paraId="5AE69024" w14:textId="0F7E9B95" w:rsidR="00BE456C" w:rsidRPr="00BE456C" w:rsidRDefault="00BE456C" w:rsidP="00E31E1D">
            <w:pPr>
              <w:pStyle w:val="Tablesinglespacedparagraph"/>
              <w:jc w:val="center"/>
              <w:rPr>
                <w:lang w:eastAsia="en-NZ"/>
              </w:rPr>
            </w:pPr>
            <w:r w:rsidRPr="00BE456C">
              <w:rPr>
                <w:lang w:eastAsia="en-NZ"/>
              </w:rPr>
              <w:t>7161</w:t>
            </w:r>
          </w:p>
        </w:tc>
        <w:tc>
          <w:tcPr>
            <w:tcW w:w="1559" w:type="dxa"/>
            <w:shd w:val="clear" w:color="auto" w:fill="E9E9E9"/>
            <w:noWrap/>
            <w:vAlign w:val="bottom"/>
            <w:hideMark/>
          </w:tcPr>
          <w:p w14:paraId="5A348DA4" w14:textId="520CE675" w:rsidR="00BE456C" w:rsidRPr="00BE456C" w:rsidRDefault="00BE456C" w:rsidP="00E31E1D">
            <w:pPr>
              <w:pStyle w:val="Tablesinglespacedparagraph"/>
              <w:jc w:val="center"/>
              <w:rPr>
                <w:lang w:eastAsia="en-NZ"/>
              </w:rPr>
            </w:pPr>
            <w:r w:rsidRPr="00BE456C">
              <w:rPr>
                <w:lang w:eastAsia="en-NZ"/>
              </w:rPr>
              <w:t>7112</w:t>
            </w:r>
          </w:p>
        </w:tc>
        <w:tc>
          <w:tcPr>
            <w:tcW w:w="1276" w:type="dxa"/>
            <w:shd w:val="clear" w:color="auto" w:fill="E9E9E9"/>
            <w:noWrap/>
            <w:vAlign w:val="bottom"/>
            <w:hideMark/>
          </w:tcPr>
          <w:p w14:paraId="2D2AC13E" w14:textId="77777777" w:rsidR="00BE456C" w:rsidRPr="00BE456C" w:rsidRDefault="00BE456C" w:rsidP="00E31E1D">
            <w:pPr>
              <w:pStyle w:val="Tablesinglespacedparagraph"/>
              <w:jc w:val="center"/>
              <w:rPr>
                <w:lang w:eastAsia="en-NZ"/>
              </w:rPr>
            </w:pPr>
            <w:r w:rsidRPr="00BE456C">
              <w:rPr>
                <w:lang w:eastAsia="en-NZ"/>
              </w:rPr>
              <w:t>50</w:t>
            </w:r>
          </w:p>
        </w:tc>
      </w:tr>
      <w:tr w:rsidR="00E31E1D" w:rsidRPr="00BE456C" w14:paraId="0836ABA8" w14:textId="77777777" w:rsidTr="00E31E1D">
        <w:trPr>
          <w:trHeight w:val="255"/>
        </w:trPr>
        <w:tc>
          <w:tcPr>
            <w:tcW w:w="1550" w:type="dxa"/>
            <w:shd w:val="clear" w:color="auto" w:fill="E9E9E9"/>
            <w:noWrap/>
            <w:vAlign w:val="bottom"/>
            <w:hideMark/>
          </w:tcPr>
          <w:p w14:paraId="407B4ABE" w14:textId="77777777" w:rsidR="00BE456C" w:rsidRPr="00BE456C" w:rsidRDefault="00BE456C" w:rsidP="00BE456C">
            <w:pPr>
              <w:pStyle w:val="Tablesinglespacedparagraph"/>
              <w:rPr>
                <w:lang w:eastAsia="en-NZ"/>
              </w:rPr>
            </w:pPr>
            <w:r w:rsidRPr="00BE456C">
              <w:rPr>
                <w:lang w:eastAsia="en-NZ"/>
              </w:rPr>
              <w:t>Jun-15</w:t>
            </w:r>
          </w:p>
        </w:tc>
        <w:tc>
          <w:tcPr>
            <w:tcW w:w="1417" w:type="dxa"/>
            <w:shd w:val="clear" w:color="auto" w:fill="E9E9E9"/>
            <w:noWrap/>
            <w:vAlign w:val="bottom"/>
            <w:hideMark/>
          </w:tcPr>
          <w:p w14:paraId="54EF3C48" w14:textId="74BAD653" w:rsidR="00BE456C" w:rsidRPr="00BE456C" w:rsidRDefault="00BE456C" w:rsidP="00E31E1D">
            <w:pPr>
              <w:pStyle w:val="Tablesinglespacedparagraph"/>
              <w:jc w:val="center"/>
              <w:rPr>
                <w:lang w:eastAsia="en-NZ"/>
              </w:rPr>
            </w:pPr>
            <w:r w:rsidRPr="00BE456C">
              <w:rPr>
                <w:lang w:eastAsia="en-NZ"/>
              </w:rPr>
              <w:t>8480</w:t>
            </w:r>
          </w:p>
        </w:tc>
        <w:tc>
          <w:tcPr>
            <w:tcW w:w="1701" w:type="dxa"/>
            <w:shd w:val="clear" w:color="auto" w:fill="E9E9E9"/>
            <w:noWrap/>
            <w:vAlign w:val="bottom"/>
            <w:hideMark/>
          </w:tcPr>
          <w:p w14:paraId="78E86727" w14:textId="19C007AB" w:rsidR="00BE456C" w:rsidRPr="00BE456C" w:rsidRDefault="00BE456C" w:rsidP="00E31E1D">
            <w:pPr>
              <w:pStyle w:val="Tablesinglespacedparagraph"/>
              <w:jc w:val="center"/>
              <w:rPr>
                <w:lang w:eastAsia="en-NZ"/>
              </w:rPr>
            </w:pPr>
            <w:r w:rsidRPr="00BE456C">
              <w:rPr>
                <w:lang w:eastAsia="en-NZ"/>
              </w:rPr>
              <w:t>8530</w:t>
            </w:r>
          </w:p>
        </w:tc>
        <w:tc>
          <w:tcPr>
            <w:tcW w:w="1559" w:type="dxa"/>
            <w:shd w:val="clear" w:color="auto" w:fill="E9E9E9"/>
            <w:noWrap/>
            <w:vAlign w:val="bottom"/>
            <w:hideMark/>
          </w:tcPr>
          <w:p w14:paraId="06CA2A93" w14:textId="408DB844" w:rsidR="00BE456C" w:rsidRPr="00BE456C" w:rsidRDefault="00BE456C" w:rsidP="00E31E1D">
            <w:pPr>
              <w:pStyle w:val="Tablesinglespacedparagraph"/>
              <w:jc w:val="center"/>
              <w:rPr>
                <w:lang w:eastAsia="en-NZ"/>
              </w:rPr>
            </w:pPr>
            <w:r w:rsidRPr="00BE456C">
              <w:rPr>
                <w:lang w:eastAsia="en-NZ"/>
              </w:rPr>
              <w:t>8497</w:t>
            </w:r>
          </w:p>
        </w:tc>
        <w:tc>
          <w:tcPr>
            <w:tcW w:w="1276" w:type="dxa"/>
            <w:shd w:val="clear" w:color="auto" w:fill="E9E9E9"/>
            <w:noWrap/>
            <w:vAlign w:val="bottom"/>
            <w:hideMark/>
          </w:tcPr>
          <w:p w14:paraId="14CFEFFE" w14:textId="77777777" w:rsidR="00BE456C" w:rsidRPr="00BE456C" w:rsidRDefault="00BE456C" w:rsidP="00E31E1D">
            <w:pPr>
              <w:pStyle w:val="Tablesinglespacedparagraph"/>
              <w:jc w:val="center"/>
              <w:rPr>
                <w:lang w:eastAsia="en-NZ"/>
              </w:rPr>
            </w:pPr>
            <w:r w:rsidRPr="00BE456C">
              <w:rPr>
                <w:lang w:eastAsia="en-NZ"/>
              </w:rPr>
              <w:t>34</w:t>
            </w:r>
          </w:p>
        </w:tc>
      </w:tr>
      <w:tr w:rsidR="00E31E1D" w:rsidRPr="00BE456C" w14:paraId="374A75DA" w14:textId="77777777" w:rsidTr="00E31E1D">
        <w:trPr>
          <w:trHeight w:val="255"/>
        </w:trPr>
        <w:tc>
          <w:tcPr>
            <w:tcW w:w="1550" w:type="dxa"/>
            <w:shd w:val="clear" w:color="auto" w:fill="E9E9E9"/>
            <w:noWrap/>
            <w:vAlign w:val="bottom"/>
            <w:hideMark/>
          </w:tcPr>
          <w:p w14:paraId="34641157" w14:textId="77777777" w:rsidR="00BE456C" w:rsidRPr="00BE456C" w:rsidRDefault="00BE456C" w:rsidP="00BE456C">
            <w:pPr>
              <w:pStyle w:val="Tablesinglespacedparagraph"/>
              <w:rPr>
                <w:lang w:eastAsia="en-NZ"/>
              </w:rPr>
            </w:pPr>
            <w:r w:rsidRPr="00BE456C">
              <w:rPr>
                <w:lang w:eastAsia="en-NZ"/>
              </w:rPr>
              <w:t>Jun-16</w:t>
            </w:r>
          </w:p>
        </w:tc>
        <w:tc>
          <w:tcPr>
            <w:tcW w:w="1417" w:type="dxa"/>
            <w:shd w:val="clear" w:color="auto" w:fill="E9E9E9"/>
            <w:noWrap/>
            <w:vAlign w:val="bottom"/>
            <w:hideMark/>
          </w:tcPr>
          <w:p w14:paraId="7DFA111E" w14:textId="24F43E96" w:rsidR="00BE456C" w:rsidRPr="00BE456C" w:rsidRDefault="00BE456C" w:rsidP="00E31E1D">
            <w:pPr>
              <w:pStyle w:val="Tablesinglespacedparagraph"/>
              <w:jc w:val="center"/>
              <w:rPr>
                <w:lang w:eastAsia="en-NZ"/>
              </w:rPr>
            </w:pPr>
            <w:r w:rsidRPr="00BE456C">
              <w:rPr>
                <w:lang w:eastAsia="en-NZ"/>
              </w:rPr>
              <w:t>9166</w:t>
            </w:r>
          </w:p>
        </w:tc>
        <w:tc>
          <w:tcPr>
            <w:tcW w:w="1701" w:type="dxa"/>
            <w:shd w:val="clear" w:color="auto" w:fill="E9E9E9"/>
            <w:noWrap/>
            <w:vAlign w:val="bottom"/>
            <w:hideMark/>
          </w:tcPr>
          <w:p w14:paraId="7D6F95EB" w14:textId="291318E8" w:rsidR="00BE456C" w:rsidRPr="00BE456C" w:rsidRDefault="00BE456C" w:rsidP="00E31E1D">
            <w:pPr>
              <w:pStyle w:val="Tablesinglespacedparagraph"/>
              <w:jc w:val="center"/>
              <w:rPr>
                <w:lang w:eastAsia="en-NZ"/>
              </w:rPr>
            </w:pPr>
            <w:r w:rsidRPr="00BE456C">
              <w:rPr>
                <w:lang w:eastAsia="en-NZ"/>
              </w:rPr>
              <w:t>9200</w:t>
            </w:r>
          </w:p>
        </w:tc>
        <w:tc>
          <w:tcPr>
            <w:tcW w:w="1559" w:type="dxa"/>
            <w:shd w:val="clear" w:color="auto" w:fill="E9E9E9"/>
            <w:noWrap/>
            <w:vAlign w:val="bottom"/>
            <w:hideMark/>
          </w:tcPr>
          <w:p w14:paraId="3CD75979" w14:textId="70722191" w:rsidR="00BE456C" w:rsidRPr="00BE456C" w:rsidRDefault="00BE456C" w:rsidP="00E31E1D">
            <w:pPr>
              <w:pStyle w:val="Tablesinglespacedparagraph"/>
              <w:jc w:val="center"/>
              <w:rPr>
                <w:lang w:eastAsia="en-NZ"/>
              </w:rPr>
            </w:pPr>
            <w:r w:rsidRPr="00BE456C">
              <w:rPr>
                <w:lang w:eastAsia="en-NZ"/>
              </w:rPr>
              <w:t>9185</w:t>
            </w:r>
          </w:p>
        </w:tc>
        <w:tc>
          <w:tcPr>
            <w:tcW w:w="1276" w:type="dxa"/>
            <w:shd w:val="clear" w:color="auto" w:fill="E9E9E9"/>
            <w:noWrap/>
            <w:vAlign w:val="bottom"/>
            <w:hideMark/>
          </w:tcPr>
          <w:p w14:paraId="2C904F99" w14:textId="77777777" w:rsidR="00BE456C" w:rsidRPr="00BE456C" w:rsidRDefault="00BE456C" w:rsidP="00E31E1D">
            <w:pPr>
              <w:pStyle w:val="Tablesinglespacedparagraph"/>
              <w:jc w:val="center"/>
              <w:rPr>
                <w:lang w:eastAsia="en-NZ"/>
              </w:rPr>
            </w:pPr>
            <w:r w:rsidRPr="00BE456C">
              <w:rPr>
                <w:lang w:eastAsia="en-NZ"/>
              </w:rPr>
              <w:t>15</w:t>
            </w:r>
          </w:p>
        </w:tc>
      </w:tr>
      <w:tr w:rsidR="00E31E1D" w:rsidRPr="00BE456C" w14:paraId="6BBAF35E" w14:textId="77777777" w:rsidTr="00E31E1D">
        <w:trPr>
          <w:trHeight w:val="255"/>
        </w:trPr>
        <w:tc>
          <w:tcPr>
            <w:tcW w:w="1550" w:type="dxa"/>
            <w:shd w:val="clear" w:color="auto" w:fill="E9E9E9"/>
            <w:noWrap/>
            <w:vAlign w:val="bottom"/>
            <w:hideMark/>
          </w:tcPr>
          <w:p w14:paraId="3E97FACC" w14:textId="77777777" w:rsidR="00BE456C" w:rsidRPr="00BE456C" w:rsidRDefault="00BE456C" w:rsidP="00BE456C">
            <w:pPr>
              <w:pStyle w:val="Tablesinglespacedparagraph"/>
              <w:rPr>
                <w:lang w:eastAsia="en-NZ"/>
              </w:rPr>
            </w:pPr>
            <w:r w:rsidRPr="00BE456C">
              <w:rPr>
                <w:lang w:eastAsia="en-NZ"/>
              </w:rPr>
              <w:t>Jun-17</w:t>
            </w:r>
          </w:p>
        </w:tc>
        <w:tc>
          <w:tcPr>
            <w:tcW w:w="1417" w:type="dxa"/>
            <w:shd w:val="clear" w:color="auto" w:fill="E9E9E9"/>
            <w:noWrap/>
            <w:vAlign w:val="bottom"/>
            <w:hideMark/>
          </w:tcPr>
          <w:p w14:paraId="677D2C57" w14:textId="1BA660DD" w:rsidR="00BE456C" w:rsidRPr="00BE456C" w:rsidRDefault="00BE456C" w:rsidP="00E31E1D">
            <w:pPr>
              <w:pStyle w:val="Tablesinglespacedparagraph"/>
              <w:jc w:val="center"/>
              <w:rPr>
                <w:lang w:eastAsia="en-NZ"/>
              </w:rPr>
            </w:pPr>
            <w:r w:rsidRPr="00BE456C">
              <w:rPr>
                <w:lang w:eastAsia="en-NZ"/>
              </w:rPr>
              <w:t>8198</w:t>
            </w:r>
          </w:p>
        </w:tc>
        <w:tc>
          <w:tcPr>
            <w:tcW w:w="1701" w:type="dxa"/>
            <w:shd w:val="clear" w:color="auto" w:fill="E9E9E9"/>
            <w:noWrap/>
            <w:vAlign w:val="bottom"/>
            <w:hideMark/>
          </w:tcPr>
          <w:p w14:paraId="481AE357" w14:textId="21F506A4" w:rsidR="00BE456C" w:rsidRPr="00BE456C" w:rsidRDefault="00BE456C" w:rsidP="00E31E1D">
            <w:pPr>
              <w:pStyle w:val="Tablesinglespacedparagraph"/>
              <w:jc w:val="center"/>
              <w:rPr>
                <w:lang w:eastAsia="en-NZ"/>
              </w:rPr>
            </w:pPr>
            <w:r w:rsidRPr="00BE456C">
              <w:rPr>
                <w:lang w:eastAsia="en-NZ"/>
              </w:rPr>
              <w:t>8213</w:t>
            </w:r>
          </w:p>
        </w:tc>
        <w:tc>
          <w:tcPr>
            <w:tcW w:w="1559" w:type="dxa"/>
            <w:shd w:val="clear" w:color="auto" w:fill="E9E9E9"/>
            <w:noWrap/>
            <w:vAlign w:val="bottom"/>
            <w:hideMark/>
          </w:tcPr>
          <w:p w14:paraId="4A90635C" w14:textId="743A9C35" w:rsidR="00BE456C" w:rsidRPr="00BE456C" w:rsidRDefault="00BE456C" w:rsidP="00E31E1D">
            <w:pPr>
              <w:pStyle w:val="Tablesinglespacedparagraph"/>
              <w:jc w:val="center"/>
              <w:rPr>
                <w:lang w:eastAsia="en-NZ"/>
              </w:rPr>
            </w:pPr>
            <w:r w:rsidRPr="00BE456C">
              <w:rPr>
                <w:lang w:eastAsia="en-NZ"/>
              </w:rPr>
              <w:t>8168</w:t>
            </w:r>
          </w:p>
        </w:tc>
        <w:tc>
          <w:tcPr>
            <w:tcW w:w="1276" w:type="dxa"/>
            <w:shd w:val="clear" w:color="auto" w:fill="E9E9E9"/>
            <w:noWrap/>
            <w:vAlign w:val="bottom"/>
            <w:hideMark/>
          </w:tcPr>
          <w:p w14:paraId="2040A9B3" w14:textId="77777777" w:rsidR="00BE456C" w:rsidRPr="00BE456C" w:rsidRDefault="00BE456C" w:rsidP="00E31E1D">
            <w:pPr>
              <w:pStyle w:val="Tablesinglespacedparagraph"/>
              <w:jc w:val="center"/>
              <w:rPr>
                <w:lang w:eastAsia="en-NZ"/>
              </w:rPr>
            </w:pPr>
            <w:r w:rsidRPr="00BE456C">
              <w:rPr>
                <w:lang w:eastAsia="en-NZ"/>
              </w:rPr>
              <w:t>45</w:t>
            </w:r>
          </w:p>
        </w:tc>
      </w:tr>
      <w:tr w:rsidR="00E31E1D" w:rsidRPr="00BE456C" w14:paraId="3BE78F60" w14:textId="77777777" w:rsidTr="00E31E1D">
        <w:trPr>
          <w:trHeight w:val="255"/>
        </w:trPr>
        <w:tc>
          <w:tcPr>
            <w:tcW w:w="1550" w:type="dxa"/>
            <w:shd w:val="clear" w:color="auto" w:fill="E9E9E9"/>
            <w:noWrap/>
            <w:vAlign w:val="bottom"/>
            <w:hideMark/>
          </w:tcPr>
          <w:p w14:paraId="7E1757F4" w14:textId="77777777" w:rsidR="00BE456C" w:rsidRPr="00BE456C" w:rsidRDefault="00BE456C" w:rsidP="00BE456C">
            <w:pPr>
              <w:pStyle w:val="Tablesinglespacedparagraph"/>
              <w:rPr>
                <w:lang w:eastAsia="en-NZ"/>
              </w:rPr>
            </w:pPr>
            <w:r w:rsidRPr="00BE456C">
              <w:rPr>
                <w:lang w:eastAsia="en-NZ"/>
              </w:rPr>
              <w:t>Jun-18</w:t>
            </w:r>
          </w:p>
        </w:tc>
        <w:tc>
          <w:tcPr>
            <w:tcW w:w="1417" w:type="dxa"/>
            <w:shd w:val="clear" w:color="auto" w:fill="E9E9E9"/>
            <w:noWrap/>
            <w:vAlign w:val="bottom"/>
            <w:hideMark/>
          </w:tcPr>
          <w:p w14:paraId="609620C0" w14:textId="355918F8" w:rsidR="00BE456C" w:rsidRPr="00BE456C" w:rsidRDefault="00BE456C" w:rsidP="00E31E1D">
            <w:pPr>
              <w:pStyle w:val="Tablesinglespacedparagraph"/>
              <w:jc w:val="center"/>
              <w:rPr>
                <w:lang w:eastAsia="en-NZ"/>
              </w:rPr>
            </w:pPr>
            <w:r w:rsidRPr="00BE456C">
              <w:rPr>
                <w:lang w:eastAsia="en-NZ"/>
              </w:rPr>
              <w:t>7475</w:t>
            </w:r>
          </w:p>
        </w:tc>
        <w:tc>
          <w:tcPr>
            <w:tcW w:w="1701" w:type="dxa"/>
            <w:shd w:val="clear" w:color="auto" w:fill="E9E9E9"/>
            <w:noWrap/>
            <w:vAlign w:val="bottom"/>
            <w:hideMark/>
          </w:tcPr>
          <w:p w14:paraId="7A73625A" w14:textId="722D2BA5" w:rsidR="00BE456C" w:rsidRPr="00BE456C" w:rsidRDefault="00BE456C" w:rsidP="00E31E1D">
            <w:pPr>
              <w:pStyle w:val="Tablesinglespacedparagraph"/>
              <w:jc w:val="center"/>
              <w:rPr>
                <w:lang w:eastAsia="en-NZ"/>
              </w:rPr>
            </w:pPr>
            <w:r w:rsidRPr="00BE456C">
              <w:rPr>
                <w:lang w:eastAsia="en-NZ"/>
              </w:rPr>
              <w:t>7520</w:t>
            </w:r>
          </w:p>
        </w:tc>
        <w:tc>
          <w:tcPr>
            <w:tcW w:w="1559" w:type="dxa"/>
            <w:shd w:val="clear" w:color="auto" w:fill="E9E9E9"/>
            <w:noWrap/>
            <w:vAlign w:val="bottom"/>
            <w:hideMark/>
          </w:tcPr>
          <w:p w14:paraId="37911985" w14:textId="4115A0D1" w:rsidR="00BE456C" w:rsidRPr="00BE456C" w:rsidRDefault="00BE456C" w:rsidP="00E31E1D">
            <w:pPr>
              <w:pStyle w:val="Tablesinglespacedparagraph"/>
              <w:jc w:val="center"/>
              <w:rPr>
                <w:lang w:eastAsia="en-NZ"/>
              </w:rPr>
            </w:pPr>
            <w:r w:rsidRPr="00BE456C">
              <w:rPr>
                <w:lang w:eastAsia="en-NZ"/>
              </w:rPr>
              <w:t>7475</w:t>
            </w:r>
          </w:p>
        </w:tc>
        <w:tc>
          <w:tcPr>
            <w:tcW w:w="1276" w:type="dxa"/>
            <w:shd w:val="clear" w:color="auto" w:fill="E9E9E9"/>
            <w:noWrap/>
            <w:vAlign w:val="bottom"/>
            <w:hideMark/>
          </w:tcPr>
          <w:p w14:paraId="548CE2D9" w14:textId="77777777" w:rsidR="00BE456C" w:rsidRPr="00BE456C" w:rsidRDefault="00BE456C" w:rsidP="00E31E1D">
            <w:pPr>
              <w:pStyle w:val="Tablesinglespacedparagraph"/>
              <w:jc w:val="center"/>
              <w:rPr>
                <w:lang w:eastAsia="en-NZ"/>
              </w:rPr>
            </w:pPr>
            <w:r w:rsidRPr="00BE456C">
              <w:rPr>
                <w:lang w:eastAsia="en-NZ"/>
              </w:rPr>
              <w:t>45</w:t>
            </w:r>
          </w:p>
        </w:tc>
      </w:tr>
      <w:tr w:rsidR="00E31E1D" w:rsidRPr="00BE456C" w14:paraId="0664FFD9" w14:textId="77777777" w:rsidTr="00E31E1D">
        <w:trPr>
          <w:trHeight w:val="255"/>
        </w:trPr>
        <w:tc>
          <w:tcPr>
            <w:tcW w:w="1550" w:type="dxa"/>
            <w:shd w:val="clear" w:color="auto" w:fill="E9E9E9"/>
            <w:noWrap/>
            <w:vAlign w:val="bottom"/>
            <w:hideMark/>
          </w:tcPr>
          <w:p w14:paraId="3D7428F9" w14:textId="77777777" w:rsidR="00BE456C" w:rsidRPr="00BE456C" w:rsidRDefault="00BE456C" w:rsidP="00BE456C">
            <w:pPr>
              <w:pStyle w:val="Tablesinglespacedparagraph"/>
              <w:rPr>
                <w:lang w:eastAsia="en-NZ"/>
              </w:rPr>
            </w:pPr>
            <w:r w:rsidRPr="00BE456C">
              <w:rPr>
                <w:lang w:eastAsia="en-NZ"/>
              </w:rPr>
              <w:t>Jun-19</w:t>
            </w:r>
          </w:p>
        </w:tc>
        <w:tc>
          <w:tcPr>
            <w:tcW w:w="1417" w:type="dxa"/>
            <w:shd w:val="clear" w:color="auto" w:fill="E9E9E9"/>
            <w:noWrap/>
            <w:vAlign w:val="bottom"/>
            <w:hideMark/>
          </w:tcPr>
          <w:p w14:paraId="2C549CCB" w14:textId="5AEDB648" w:rsidR="00BE456C" w:rsidRPr="00BE456C" w:rsidRDefault="00BE456C" w:rsidP="00E31E1D">
            <w:pPr>
              <w:pStyle w:val="Tablesinglespacedparagraph"/>
              <w:jc w:val="center"/>
              <w:rPr>
                <w:lang w:eastAsia="en-NZ"/>
              </w:rPr>
            </w:pPr>
            <w:r w:rsidRPr="00BE456C">
              <w:rPr>
                <w:lang w:eastAsia="en-NZ"/>
              </w:rPr>
              <w:t>7120</w:t>
            </w:r>
          </w:p>
        </w:tc>
        <w:tc>
          <w:tcPr>
            <w:tcW w:w="1701" w:type="dxa"/>
            <w:shd w:val="clear" w:color="auto" w:fill="E9E9E9"/>
            <w:noWrap/>
            <w:vAlign w:val="bottom"/>
            <w:hideMark/>
          </w:tcPr>
          <w:p w14:paraId="450FE466" w14:textId="1ABB4531" w:rsidR="00BE456C" w:rsidRPr="00BE456C" w:rsidRDefault="00BE456C" w:rsidP="00E31E1D">
            <w:pPr>
              <w:pStyle w:val="Tablesinglespacedparagraph"/>
              <w:jc w:val="center"/>
              <w:rPr>
                <w:lang w:eastAsia="en-NZ"/>
              </w:rPr>
            </w:pPr>
            <w:r w:rsidRPr="00BE456C">
              <w:rPr>
                <w:lang w:eastAsia="en-NZ"/>
              </w:rPr>
              <w:t>7165</w:t>
            </w:r>
          </w:p>
        </w:tc>
        <w:tc>
          <w:tcPr>
            <w:tcW w:w="1559" w:type="dxa"/>
            <w:shd w:val="clear" w:color="auto" w:fill="E9E9E9"/>
            <w:noWrap/>
            <w:vAlign w:val="bottom"/>
            <w:hideMark/>
          </w:tcPr>
          <w:p w14:paraId="0DB9EFEE" w14:textId="3D9284C0" w:rsidR="00BE456C" w:rsidRPr="00BE456C" w:rsidRDefault="00BE456C" w:rsidP="00E31E1D">
            <w:pPr>
              <w:pStyle w:val="Tablesinglespacedparagraph"/>
              <w:jc w:val="center"/>
              <w:rPr>
                <w:lang w:eastAsia="en-NZ"/>
              </w:rPr>
            </w:pPr>
            <w:r w:rsidRPr="00BE456C">
              <w:rPr>
                <w:lang w:eastAsia="en-NZ"/>
              </w:rPr>
              <w:t>7143</w:t>
            </w:r>
          </w:p>
        </w:tc>
        <w:tc>
          <w:tcPr>
            <w:tcW w:w="1276" w:type="dxa"/>
            <w:shd w:val="clear" w:color="auto" w:fill="E9E9E9"/>
            <w:noWrap/>
            <w:vAlign w:val="bottom"/>
            <w:hideMark/>
          </w:tcPr>
          <w:p w14:paraId="31362CE4" w14:textId="77777777" w:rsidR="00BE456C" w:rsidRPr="00BE456C" w:rsidRDefault="00BE456C" w:rsidP="00E31E1D">
            <w:pPr>
              <w:pStyle w:val="Tablesinglespacedparagraph"/>
              <w:jc w:val="center"/>
              <w:rPr>
                <w:lang w:eastAsia="en-NZ"/>
              </w:rPr>
            </w:pPr>
            <w:r w:rsidRPr="00BE456C">
              <w:rPr>
                <w:lang w:eastAsia="en-NZ"/>
              </w:rPr>
              <w:t>22</w:t>
            </w:r>
          </w:p>
        </w:tc>
      </w:tr>
      <w:tr w:rsidR="00E31E1D" w:rsidRPr="00BE456C" w14:paraId="35C667A7" w14:textId="77777777" w:rsidTr="00E31E1D">
        <w:trPr>
          <w:trHeight w:val="255"/>
        </w:trPr>
        <w:tc>
          <w:tcPr>
            <w:tcW w:w="1550" w:type="dxa"/>
            <w:shd w:val="clear" w:color="auto" w:fill="E9E9E9"/>
            <w:noWrap/>
            <w:vAlign w:val="bottom"/>
            <w:hideMark/>
          </w:tcPr>
          <w:p w14:paraId="6BB7D337" w14:textId="77777777" w:rsidR="00BE456C" w:rsidRPr="00BE456C" w:rsidRDefault="00BE456C" w:rsidP="00BE456C">
            <w:pPr>
              <w:pStyle w:val="Tablesinglespacedparagraph"/>
              <w:rPr>
                <w:lang w:eastAsia="en-NZ"/>
              </w:rPr>
            </w:pPr>
            <w:r w:rsidRPr="00BE456C">
              <w:rPr>
                <w:lang w:eastAsia="en-NZ"/>
              </w:rPr>
              <w:t>Jun-20</w:t>
            </w:r>
          </w:p>
        </w:tc>
        <w:tc>
          <w:tcPr>
            <w:tcW w:w="1417" w:type="dxa"/>
            <w:shd w:val="clear" w:color="auto" w:fill="E9E9E9"/>
            <w:noWrap/>
            <w:vAlign w:val="bottom"/>
            <w:hideMark/>
          </w:tcPr>
          <w:p w14:paraId="062EC558" w14:textId="189A4578" w:rsidR="00BE456C" w:rsidRPr="00BE456C" w:rsidRDefault="00BE456C" w:rsidP="00E31E1D">
            <w:pPr>
              <w:pStyle w:val="Tablesinglespacedparagraph"/>
              <w:jc w:val="center"/>
              <w:rPr>
                <w:lang w:eastAsia="en-NZ"/>
              </w:rPr>
            </w:pPr>
            <w:r w:rsidRPr="00BE456C">
              <w:rPr>
                <w:lang w:eastAsia="en-NZ"/>
              </w:rPr>
              <w:t>7217</w:t>
            </w:r>
          </w:p>
        </w:tc>
        <w:tc>
          <w:tcPr>
            <w:tcW w:w="1701" w:type="dxa"/>
            <w:shd w:val="clear" w:color="auto" w:fill="E9E9E9"/>
            <w:noWrap/>
            <w:vAlign w:val="bottom"/>
            <w:hideMark/>
          </w:tcPr>
          <w:p w14:paraId="4B5564DC" w14:textId="1E86AC73" w:rsidR="00BE456C" w:rsidRPr="00BE456C" w:rsidRDefault="00BE456C" w:rsidP="00E31E1D">
            <w:pPr>
              <w:pStyle w:val="Tablesinglespacedparagraph"/>
              <w:jc w:val="center"/>
              <w:rPr>
                <w:lang w:eastAsia="en-NZ"/>
              </w:rPr>
            </w:pPr>
            <w:r w:rsidRPr="00BE456C">
              <w:rPr>
                <w:lang w:eastAsia="en-NZ"/>
              </w:rPr>
              <w:t>7239</w:t>
            </w:r>
          </w:p>
        </w:tc>
        <w:tc>
          <w:tcPr>
            <w:tcW w:w="1559" w:type="dxa"/>
            <w:shd w:val="clear" w:color="auto" w:fill="E9E9E9"/>
            <w:noWrap/>
            <w:vAlign w:val="bottom"/>
            <w:hideMark/>
          </w:tcPr>
          <w:p w14:paraId="260B25FD" w14:textId="2A5E9985" w:rsidR="00BE456C" w:rsidRPr="00BE456C" w:rsidRDefault="00BE456C" w:rsidP="00E31E1D">
            <w:pPr>
              <w:pStyle w:val="Tablesinglespacedparagraph"/>
              <w:jc w:val="center"/>
              <w:rPr>
                <w:lang w:eastAsia="en-NZ"/>
              </w:rPr>
            </w:pPr>
            <w:r w:rsidRPr="00BE456C">
              <w:rPr>
                <w:lang w:eastAsia="en-NZ"/>
              </w:rPr>
              <w:t>7212</w:t>
            </w:r>
          </w:p>
        </w:tc>
        <w:tc>
          <w:tcPr>
            <w:tcW w:w="1276" w:type="dxa"/>
            <w:shd w:val="clear" w:color="auto" w:fill="E9E9E9"/>
            <w:noWrap/>
            <w:vAlign w:val="bottom"/>
            <w:hideMark/>
          </w:tcPr>
          <w:p w14:paraId="14BD1B20" w14:textId="77777777" w:rsidR="00BE456C" w:rsidRPr="00BE456C" w:rsidRDefault="00BE456C" w:rsidP="00E31E1D">
            <w:pPr>
              <w:pStyle w:val="Tablesinglespacedparagraph"/>
              <w:jc w:val="center"/>
              <w:rPr>
                <w:lang w:eastAsia="en-NZ"/>
              </w:rPr>
            </w:pPr>
            <w:r w:rsidRPr="00BE456C">
              <w:rPr>
                <w:lang w:eastAsia="en-NZ"/>
              </w:rPr>
              <w:t>27</w:t>
            </w:r>
          </w:p>
        </w:tc>
      </w:tr>
    </w:tbl>
    <w:p w14:paraId="0AE74967" w14:textId="6D9D01B9" w:rsidR="00BE456C" w:rsidRDefault="00BE456C" w:rsidP="00BE456C">
      <w:pPr>
        <w:pStyle w:val="Tablesinglespacedparagraph"/>
      </w:pPr>
    </w:p>
    <w:p w14:paraId="30231940" w14:textId="2C00528A" w:rsidR="00BE456C" w:rsidRDefault="005B795D" w:rsidP="00DF1795">
      <w:pPr>
        <w:pStyle w:val="Singlespacedparagraph"/>
      </w:pPr>
      <w:hyperlink w:anchor="Figure7" w:history="1">
        <w:r w:rsidR="00BE456C" w:rsidRPr="00BE456C">
          <w:rPr>
            <w:rStyle w:val="Hyperlink"/>
          </w:rPr>
          <w:t>Return to Figure 7 in the text.</w:t>
        </w:r>
      </w:hyperlink>
      <w:r w:rsidR="00BE456C">
        <w:t xml:space="preserve"> </w:t>
      </w:r>
    </w:p>
    <w:p w14:paraId="7ADE55D5" w14:textId="77777777" w:rsidR="00BE456C" w:rsidRDefault="00BE456C" w:rsidP="00DF1795">
      <w:pPr>
        <w:pStyle w:val="Singlespacedparagraph"/>
      </w:pPr>
    </w:p>
    <w:p w14:paraId="5E0CDA6D" w14:textId="182DF3D8" w:rsidR="00DF1795" w:rsidRDefault="005B795D" w:rsidP="00DF1795">
      <w:pPr>
        <w:pStyle w:val="Singlespacedparagraph"/>
        <w:rPr>
          <w:rFonts w:asciiTheme="minorHAnsi" w:hAnsiTheme="minorHAnsi" w:cstheme="minorHAnsi"/>
          <w:szCs w:val="24"/>
        </w:rPr>
      </w:pPr>
      <w:hyperlink w:anchor="Contents" w:history="1">
        <w:r w:rsidR="00DF1795" w:rsidRPr="00E411B7">
          <w:rPr>
            <w:rStyle w:val="HyperlinkSourceTextReference"/>
          </w:rPr>
          <w:t>Back to contents</w:t>
        </w:r>
      </w:hyperlink>
      <w:r w:rsidR="00DF1795" w:rsidRPr="00E411B7">
        <w:rPr>
          <w:rFonts w:asciiTheme="minorHAnsi" w:hAnsiTheme="minorHAnsi" w:cstheme="minorHAnsi"/>
          <w:szCs w:val="24"/>
        </w:rPr>
        <w:t>.</w:t>
      </w:r>
    </w:p>
    <w:p w14:paraId="2E248089" w14:textId="4256A078" w:rsidR="00CE5E04" w:rsidRPr="00505755" w:rsidRDefault="00DF1795" w:rsidP="00052072">
      <w:pPr>
        <w:pStyle w:val="Singlespacedparagraph"/>
      </w:pPr>
      <w:r>
        <w:rPr>
          <w:rFonts w:asciiTheme="minorHAnsi" w:hAnsiTheme="minorHAnsi" w:cstheme="minorHAnsi"/>
          <w:szCs w:val="24"/>
        </w:rPr>
        <w:t>[Document ends]</w:t>
      </w:r>
    </w:p>
    <w:sectPr w:rsidR="00CE5E04" w:rsidRPr="00505755" w:rsidSect="001A0640">
      <w:footerReference w:type="default" r:id="rId69"/>
      <w:footerReference w:type="first" r:id="rId70"/>
      <w:endnotePr>
        <w:numFmt w:val="decimal"/>
      </w:endnotePr>
      <w:pgSz w:w="11906" w:h="16838" w:code="9"/>
      <w:pgMar w:top="2438" w:right="1304" w:bottom="1701" w:left="130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39D84" w14:textId="77777777" w:rsidR="005B795D" w:rsidRDefault="005B795D">
      <w:pPr>
        <w:spacing w:after="0" w:line="240" w:lineRule="auto"/>
      </w:pPr>
      <w:r>
        <w:separator/>
      </w:r>
    </w:p>
  </w:endnote>
  <w:endnote w:type="continuationSeparator" w:id="0">
    <w:p w14:paraId="171E9C0F" w14:textId="77777777" w:rsidR="005B795D" w:rsidRDefault="005B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Mi">
    <w:altName w:val="Tw Cen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yriadPro-Light">
    <w:altName w:val="Times New Roman"/>
    <w:panose1 w:val="00000000000000000000"/>
    <w:charset w:val="EE"/>
    <w:family w:val="swiss"/>
    <w:notTrueType/>
    <w:pitch w:val="default"/>
    <w:sig w:usb0="00000005" w:usb1="00000000" w:usb2="00000000" w:usb3="00000000" w:csb0="00000002"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LightIt">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8541" w14:textId="77777777" w:rsidR="00112C62" w:rsidRDefault="00112C6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340670"/>
      <w:docPartObj>
        <w:docPartGallery w:val="Page Numbers (Bottom of Page)"/>
        <w:docPartUnique/>
      </w:docPartObj>
    </w:sdtPr>
    <w:sdtEndPr>
      <w:rPr>
        <w:noProof/>
      </w:rPr>
    </w:sdtEndPr>
    <w:sdtContent>
      <w:p w14:paraId="1F52DA4B" w14:textId="77777777" w:rsidR="0099164B" w:rsidRDefault="0099164B" w:rsidP="0006518F">
        <w:pPr>
          <w:pStyle w:val="Footer"/>
        </w:pPr>
        <w:r>
          <w:t>The accompanying notes form part of these financial statements.</w:t>
        </w:r>
      </w:p>
      <w:p w14:paraId="488D20EC" w14:textId="456D6FBB" w:rsidR="0099164B" w:rsidRDefault="0099164B" w:rsidP="0006518F">
        <w:pPr>
          <w:pStyle w:val="Footer"/>
        </w:pPr>
        <w:r>
          <w:t>*Financial forecast figures are from the Budget Economic Forecast Updates (BEFU) forecasts which have not been audited.</w:t>
        </w:r>
      </w:p>
      <w:p w14:paraId="6934E7FB" w14:textId="12C20A6C" w:rsidR="0099164B" w:rsidRDefault="0099164B">
        <w:pPr>
          <w:pStyle w:val="Footer"/>
          <w:jc w:val="right"/>
        </w:pPr>
        <w:r>
          <w:fldChar w:fldCharType="begin"/>
        </w:r>
        <w:r>
          <w:instrText xml:space="preserve"> PAGE   \* MERGEFORMAT </w:instrText>
        </w:r>
        <w:r>
          <w:fldChar w:fldCharType="separate"/>
        </w:r>
        <w:r w:rsidR="00112C62">
          <w:rPr>
            <w:noProof/>
          </w:rPr>
          <w:t>104</w:t>
        </w:r>
        <w:r>
          <w:rPr>
            <w:noProof/>
          </w:rPr>
          <w:fldChar w:fldCharType="end"/>
        </w:r>
      </w:p>
    </w:sdtContent>
  </w:sdt>
  <w:p w14:paraId="2DB477C1" w14:textId="77777777" w:rsidR="0099164B" w:rsidRDefault="0099164B">
    <w:pPr>
      <w:pStyle w:val="Footer"/>
      <w:tabs>
        <w:tab w:val="clear" w:pos="9299"/>
        <w:tab w:val="left" w:pos="5175"/>
      </w:tabs>
      <w:rPr>
        <w:i/>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65166"/>
      <w:docPartObj>
        <w:docPartGallery w:val="Page Numbers (Bottom of Page)"/>
        <w:docPartUnique/>
      </w:docPartObj>
    </w:sdtPr>
    <w:sdtEndPr>
      <w:rPr>
        <w:noProof/>
      </w:rPr>
    </w:sdtEndPr>
    <w:sdtContent>
      <w:p w14:paraId="1111E5E1" w14:textId="77777777" w:rsidR="0099164B" w:rsidRDefault="0099164B" w:rsidP="0006518F">
        <w:pPr>
          <w:pStyle w:val="Footer"/>
        </w:pPr>
        <w:r>
          <w:t>The accompanying notes form part of these financial statements.</w:t>
        </w:r>
      </w:p>
      <w:p w14:paraId="76ACB097" w14:textId="77777777" w:rsidR="0099164B" w:rsidRDefault="0099164B" w:rsidP="0006518F">
        <w:pPr>
          <w:pStyle w:val="Footer"/>
        </w:pPr>
        <w:r>
          <w:t>*Financial forecast figures are from the Budget Economic Forecast Updates (BEFU) forecasts which are not been audited.</w:t>
        </w:r>
      </w:p>
      <w:p w14:paraId="59FF9879" w14:textId="4B6080AC" w:rsidR="0099164B" w:rsidRDefault="0099164B">
        <w:pPr>
          <w:pStyle w:val="Footer"/>
          <w:jc w:val="right"/>
        </w:pPr>
        <w:r>
          <w:fldChar w:fldCharType="begin"/>
        </w:r>
        <w:r>
          <w:instrText xml:space="preserve"> PAGE   \* MERGEFORMAT </w:instrText>
        </w:r>
        <w:r>
          <w:fldChar w:fldCharType="separate"/>
        </w:r>
        <w:r>
          <w:rPr>
            <w:noProof/>
          </w:rPr>
          <w:t>96</w:t>
        </w:r>
        <w:r>
          <w:rPr>
            <w:noProof/>
          </w:rPr>
          <w:fldChar w:fldCharType="end"/>
        </w:r>
      </w:p>
    </w:sdtContent>
  </w:sdt>
  <w:p w14:paraId="3D895178" w14:textId="77777777" w:rsidR="0099164B" w:rsidRPr="004D1CA4" w:rsidRDefault="0099164B" w:rsidP="00CE5E0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BA0C0" w14:textId="77777777" w:rsidR="0099164B" w:rsidRPr="0059155D" w:rsidRDefault="0099164B" w:rsidP="00CE5E04">
    <w:pPr>
      <w:pStyle w:val="Footerline"/>
    </w:pPr>
  </w:p>
  <w:p w14:paraId="1582AEE2" w14:textId="77777777" w:rsidR="0099164B" w:rsidRPr="004C4F61" w:rsidRDefault="0099164B" w:rsidP="00CE5E04">
    <w:pPr>
      <w:pStyle w:val="Footer"/>
      <w:rPr>
        <w:i/>
      </w:rPr>
    </w:pPr>
    <w:r w:rsidRPr="004C4F61">
      <w:rPr>
        <w:i/>
      </w:rPr>
      <w:t>The accompany</w:t>
    </w:r>
    <w:r>
      <w:rPr>
        <w:i/>
      </w:rPr>
      <w:t>ing</w:t>
    </w:r>
    <w:r w:rsidRPr="004C4F61">
      <w:rPr>
        <w:i/>
      </w:rPr>
      <w:t xml:space="preserve"> notes for</w:t>
    </w:r>
    <w:r>
      <w:rPr>
        <w:i/>
      </w:rPr>
      <w:t>m</w:t>
    </w:r>
    <w:r w:rsidRPr="004C4F61">
      <w:rPr>
        <w:i/>
      </w:rPr>
      <w:t xml:space="preserve"> part of these financial statements</w:t>
    </w:r>
  </w:p>
  <w:p w14:paraId="517BD25E" w14:textId="77777777" w:rsidR="0099164B" w:rsidRDefault="0099164B" w:rsidP="00CE5E04">
    <w:pPr>
      <w:pStyle w:val="Footer"/>
    </w:pPr>
    <w:r>
      <w:rPr>
        <w:i/>
      </w:rPr>
      <w:t>* Financial fore</w:t>
    </w:r>
    <w:r w:rsidRPr="004C4F61">
      <w:rPr>
        <w:i/>
      </w:rPr>
      <w:t>cast figures are from the Budget Economic Forecast Update (BEFU) forecasts which have not been audited.</w:t>
    </w:r>
  </w:p>
  <w:p w14:paraId="164237D1" w14:textId="77777777" w:rsidR="0099164B" w:rsidRDefault="0099164B" w:rsidP="00CE5E0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DEB0" w14:textId="77777777" w:rsidR="0099164B" w:rsidRPr="0006518F" w:rsidRDefault="0099164B" w:rsidP="0006518F">
    <w:pPr>
      <w:pStyle w:val="Footer"/>
    </w:pPr>
    <w:r w:rsidRPr="0006518F">
      <w:t>The accompanying notes form part of these financial statements.</w:t>
    </w:r>
  </w:p>
  <w:p w14:paraId="4AA7EFA9" w14:textId="77777777" w:rsidR="0099164B" w:rsidRPr="0006518F" w:rsidRDefault="0099164B" w:rsidP="0006518F">
    <w:pPr>
      <w:pStyle w:val="Footer"/>
    </w:pPr>
    <w:r w:rsidRPr="0006518F">
      <w:t>* Financial forecast figures are from the Budget Economic Forecast Updates (BEFU) forecasts which have not been audited.</w:t>
    </w:r>
  </w:p>
  <w:p w14:paraId="27A20BA0" w14:textId="77777777" w:rsidR="0099164B" w:rsidRDefault="0099164B">
    <w:pPr>
      <w:pStyle w:val="Footer"/>
      <w:jc w:val="right"/>
    </w:pPr>
  </w:p>
  <w:sdt>
    <w:sdtPr>
      <w:id w:val="-1937282329"/>
      <w:docPartObj>
        <w:docPartGallery w:val="Page Numbers (Bottom of Page)"/>
        <w:docPartUnique/>
      </w:docPartObj>
    </w:sdtPr>
    <w:sdtEndPr>
      <w:rPr>
        <w:noProof/>
      </w:rPr>
    </w:sdtEndPr>
    <w:sdtContent>
      <w:p w14:paraId="0EA4BBD1" w14:textId="373AE290" w:rsidR="0099164B" w:rsidRDefault="0099164B">
        <w:pPr>
          <w:pStyle w:val="Footer"/>
          <w:jc w:val="right"/>
        </w:pPr>
        <w:r>
          <w:fldChar w:fldCharType="begin"/>
        </w:r>
        <w:r>
          <w:instrText xml:space="preserve"> PAGE   \* MERGEFORMAT </w:instrText>
        </w:r>
        <w:r>
          <w:fldChar w:fldCharType="separate"/>
        </w:r>
        <w:r>
          <w:rPr>
            <w:noProof/>
          </w:rPr>
          <w:t>106</w:t>
        </w:r>
        <w:r>
          <w:rPr>
            <w:noProof/>
          </w:rPr>
          <w:fldChar w:fldCharType="end"/>
        </w:r>
      </w:p>
    </w:sdtContent>
  </w:sdt>
  <w:p w14:paraId="60C5E75D" w14:textId="77777777" w:rsidR="0099164B" w:rsidRPr="004D1CA4" w:rsidRDefault="0099164B" w:rsidP="00CE5E0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632875"/>
      <w:docPartObj>
        <w:docPartGallery w:val="Page Numbers (Bottom of Page)"/>
        <w:docPartUnique/>
      </w:docPartObj>
    </w:sdtPr>
    <w:sdtEndPr>
      <w:rPr>
        <w:noProof/>
      </w:rPr>
    </w:sdtEndPr>
    <w:sdtContent>
      <w:p w14:paraId="5EAE83C5" w14:textId="5DCB74FF" w:rsidR="0099164B" w:rsidRDefault="0099164B">
        <w:pPr>
          <w:pStyle w:val="Footer"/>
          <w:jc w:val="right"/>
        </w:pPr>
        <w:r>
          <w:fldChar w:fldCharType="begin"/>
        </w:r>
        <w:r>
          <w:instrText xml:space="preserve"> PAGE   \* MERGEFORMAT </w:instrText>
        </w:r>
        <w:r>
          <w:fldChar w:fldCharType="separate"/>
        </w:r>
        <w:r w:rsidR="00112C62">
          <w:rPr>
            <w:noProof/>
          </w:rPr>
          <w:t>137</w:t>
        </w:r>
        <w:r>
          <w:rPr>
            <w:noProof/>
          </w:rPr>
          <w:fldChar w:fldCharType="end"/>
        </w:r>
      </w:p>
    </w:sdtContent>
  </w:sdt>
  <w:p w14:paraId="6801F654" w14:textId="77777777" w:rsidR="0099164B" w:rsidRDefault="0099164B" w:rsidP="005F0090">
    <w:pPr>
      <w:pStyle w:val="Footer"/>
      <w:tabs>
        <w:tab w:val="clear" w:pos="9299"/>
        <w:tab w:val="left" w:pos="2108"/>
      </w:tabs>
    </w:pPr>
  </w:p>
  <w:p w14:paraId="2E53E595" w14:textId="77777777" w:rsidR="0099164B" w:rsidRDefault="0099164B"/>
  <w:p w14:paraId="639B62A3" w14:textId="77777777" w:rsidR="0099164B" w:rsidRDefault="0099164B"/>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422194"/>
      <w:docPartObj>
        <w:docPartGallery w:val="Page Numbers (Bottom of Page)"/>
        <w:docPartUnique/>
      </w:docPartObj>
    </w:sdtPr>
    <w:sdtEndPr>
      <w:rPr>
        <w:noProof/>
      </w:rPr>
    </w:sdtEndPr>
    <w:sdtContent>
      <w:p w14:paraId="0E717A3D" w14:textId="5C8EAAF2" w:rsidR="0099164B" w:rsidRDefault="0099164B">
        <w:pPr>
          <w:pStyle w:val="Footer"/>
          <w:jc w:val="right"/>
        </w:pPr>
        <w:r>
          <w:fldChar w:fldCharType="begin"/>
        </w:r>
        <w:r>
          <w:instrText xml:space="preserve"> PAGE   \* MERGEFORMAT </w:instrText>
        </w:r>
        <w:r>
          <w:fldChar w:fldCharType="separate"/>
        </w:r>
        <w:r>
          <w:rPr>
            <w:noProof/>
          </w:rPr>
          <w:t>107</w:t>
        </w:r>
        <w:r>
          <w:rPr>
            <w:noProof/>
          </w:rPr>
          <w:fldChar w:fldCharType="end"/>
        </w:r>
      </w:p>
    </w:sdtContent>
  </w:sdt>
  <w:p w14:paraId="326B3061" w14:textId="77777777" w:rsidR="0099164B" w:rsidRPr="004D1CA4" w:rsidRDefault="0099164B" w:rsidP="00CE5E04">
    <w:pPr>
      <w:pStyle w:val="Footer"/>
    </w:pPr>
  </w:p>
  <w:p w14:paraId="552BD83F" w14:textId="77777777" w:rsidR="0099164B" w:rsidRDefault="0099164B"/>
  <w:p w14:paraId="0E13CF04" w14:textId="77777777" w:rsidR="0099164B" w:rsidRDefault="0099164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759667"/>
      <w:docPartObj>
        <w:docPartGallery w:val="Page Numbers (Bottom of Page)"/>
        <w:docPartUnique/>
      </w:docPartObj>
    </w:sdtPr>
    <w:sdtEndPr>
      <w:rPr>
        <w:noProof/>
      </w:rPr>
    </w:sdtEndPr>
    <w:sdtContent>
      <w:p w14:paraId="100AE295" w14:textId="334F39B7" w:rsidR="0099164B" w:rsidRDefault="0099164B">
        <w:pPr>
          <w:pStyle w:val="Footer"/>
          <w:jc w:val="right"/>
        </w:pPr>
        <w:r>
          <w:fldChar w:fldCharType="begin"/>
        </w:r>
        <w:r>
          <w:instrText xml:space="preserve"> PAGE   \* MERGEFORMAT </w:instrText>
        </w:r>
        <w:r>
          <w:fldChar w:fldCharType="separate"/>
        </w:r>
        <w:r w:rsidR="00112C62">
          <w:rPr>
            <w:noProof/>
          </w:rPr>
          <w:t>21</w:t>
        </w:r>
        <w:r>
          <w:rPr>
            <w:noProof/>
          </w:rPr>
          <w:fldChar w:fldCharType="end"/>
        </w:r>
      </w:p>
    </w:sdtContent>
  </w:sdt>
  <w:p w14:paraId="0CA32FFF" w14:textId="77777777" w:rsidR="0099164B" w:rsidRDefault="0099164B">
    <w:pPr>
      <w:pStyle w:val="Footer"/>
      <w:tabs>
        <w:tab w:val="clear" w:pos="9299"/>
        <w:tab w:val="left" w:pos="5175"/>
      </w:tabs>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0934A" w14:textId="77777777" w:rsidR="00112C62" w:rsidRDefault="00112C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671391"/>
      <w:docPartObj>
        <w:docPartGallery w:val="Page Numbers (Bottom of Page)"/>
        <w:docPartUnique/>
      </w:docPartObj>
    </w:sdtPr>
    <w:sdtEndPr>
      <w:rPr>
        <w:noProof/>
      </w:rPr>
    </w:sdtEndPr>
    <w:sdtContent>
      <w:p w14:paraId="002DC996" w14:textId="085B4383" w:rsidR="0099164B" w:rsidRDefault="0099164B">
        <w:pPr>
          <w:pStyle w:val="Footer"/>
          <w:jc w:val="right"/>
        </w:pPr>
        <w:r>
          <w:fldChar w:fldCharType="begin"/>
        </w:r>
        <w:r>
          <w:instrText xml:space="preserve"> PAGE   \* MERGEFORMAT </w:instrText>
        </w:r>
        <w:r>
          <w:fldChar w:fldCharType="separate"/>
        </w:r>
        <w:r w:rsidR="00112C62">
          <w:rPr>
            <w:noProof/>
          </w:rPr>
          <w:t>73</w:t>
        </w:r>
        <w:r>
          <w:rPr>
            <w:noProof/>
          </w:rPr>
          <w:fldChar w:fldCharType="end"/>
        </w:r>
      </w:p>
    </w:sdtContent>
  </w:sdt>
  <w:p w14:paraId="779B22A1" w14:textId="77777777" w:rsidR="0099164B" w:rsidRDefault="0099164B">
    <w:pPr>
      <w:pStyle w:val="Footer"/>
      <w:tabs>
        <w:tab w:val="clear" w:pos="9299"/>
        <w:tab w:val="left" w:pos="5175"/>
      </w:tabs>
      <w:rPr>
        <w:i/>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28351"/>
      <w:docPartObj>
        <w:docPartGallery w:val="Page Numbers (Bottom of Page)"/>
        <w:docPartUnique/>
      </w:docPartObj>
    </w:sdtPr>
    <w:sdtEndPr>
      <w:rPr>
        <w:noProof/>
      </w:rPr>
    </w:sdtEndPr>
    <w:sdtContent>
      <w:p w14:paraId="4A628BD0" w14:textId="302EB27A" w:rsidR="0099164B" w:rsidRDefault="0099164B">
        <w:pPr>
          <w:pStyle w:val="Footer"/>
          <w:jc w:val="right"/>
        </w:pPr>
        <w:r>
          <w:fldChar w:fldCharType="begin"/>
        </w:r>
        <w:r>
          <w:instrText xml:space="preserve"> PAGE   \* MERGEFORMAT </w:instrText>
        </w:r>
        <w:r>
          <w:fldChar w:fldCharType="separate"/>
        </w:r>
        <w:r w:rsidR="00112C62">
          <w:rPr>
            <w:noProof/>
          </w:rPr>
          <w:t>79</w:t>
        </w:r>
        <w:r>
          <w:rPr>
            <w:noProof/>
          </w:rPr>
          <w:fldChar w:fldCharType="end"/>
        </w:r>
      </w:p>
    </w:sdtContent>
  </w:sdt>
  <w:p w14:paraId="419A9569" w14:textId="77777777" w:rsidR="0099164B" w:rsidRDefault="0099164B">
    <w:pPr>
      <w:pStyle w:val="Footer"/>
      <w:tabs>
        <w:tab w:val="clear" w:pos="9299"/>
        <w:tab w:val="left" w:pos="5175"/>
      </w:tabs>
      <w:rPr>
        <w:i/>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25483"/>
      <w:docPartObj>
        <w:docPartGallery w:val="Page Numbers (Bottom of Page)"/>
        <w:docPartUnique/>
      </w:docPartObj>
    </w:sdtPr>
    <w:sdtEndPr>
      <w:rPr>
        <w:noProof/>
      </w:rPr>
    </w:sdtEndPr>
    <w:sdtContent>
      <w:p w14:paraId="002F71EE" w14:textId="77777777" w:rsidR="0099164B" w:rsidRDefault="0099164B" w:rsidP="00637822">
        <w:pPr>
          <w:pStyle w:val="Footer"/>
        </w:pPr>
        <w:r>
          <w:t>The accompanying notes form part of these financial statements.</w:t>
        </w:r>
      </w:p>
      <w:p w14:paraId="373267A4" w14:textId="76F4176F" w:rsidR="0099164B" w:rsidRDefault="0099164B" w:rsidP="00637822">
        <w:pPr>
          <w:pStyle w:val="Footer"/>
        </w:pPr>
        <w:r>
          <w:t>*Financial forecast figures are from the Budget Economic Forecast Updates (BEFU) forecasts which have not been audited.</w:t>
        </w:r>
      </w:p>
      <w:p w14:paraId="23BED08E" w14:textId="77777777" w:rsidR="0099164B" w:rsidRDefault="0099164B">
        <w:pPr>
          <w:pStyle w:val="Footer"/>
          <w:jc w:val="right"/>
        </w:pPr>
      </w:p>
      <w:p w14:paraId="6A538E82" w14:textId="2FBBBB7E" w:rsidR="0099164B" w:rsidRDefault="0099164B">
        <w:pPr>
          <w:pStyle w:val="Footer"/>
          <w:jc w:val="right"/>
        </w:pPr>
        <w:r>
          <w:fldChar w:fldCharType="begin"/>
        </w:r>
        <w:r>
          <w:instrText xml:space="preserve"> PAGE   \* MERGEFORMAT </w:instrText>
        </w:r>
        <w:r>
          <w:fldChar w:fldCharType="separate"/>
        </w:r>
        <w:r w:rsidR="00112C62">
          <w:rPr>
            <w:noProof/>
          </w:rPr>
          <w:t>83</w:t>
        </w:r>
        <w:r>
          <w:rPr>
            <w:noProof/>
          </w:rPr>
          <w:fldChar w:fldCharType="end"/>
        </w:r>
      </w:p>
    </w:sdtContent>
  </w:sdt>
  <w:p w14:paraId="228EF08A" w14:textId="77777777" w:rsidR="0099164B" w:rsidRDefault="0099164B">
    <w:pPr>
      <w:pStyle w:val="Footer"/>
      <w:tabs>
        <w:tab w:val="clear" w:pos="9299"/>
        <w:tab w:val="left" w:pos="5175"/>
      </w:tabs>
      <w:rPr>
        <w:i/>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256116"/>
      <w:docPartObj>
        <w:docPartGallery w:val="Page Numbers (Bottom of Page)"/>
        <w:docPartUnique/>
      </w:docPartObj>
    </w:sdtPr>
    <w:sdtEndPr>
      <w:rPr>
        <w:noProof/>
      </w:rPr>
    </w:sdtEndPr>
    <w:sdtContent>
      <w:p w14:paraId="2459DC3E" w14:textId="77777777" w:rsidR="0099164B" w:rsidRDefault="0099164B" w:rsidP="00637822">
        <w:pPr>
          <w:pStyle w:val="Footer"/>
        </w:pPr>
        <w:r>
          <w:t>The accompanying notes form part of these financial statements.</w:t>
        </w:r>
      </w:p>
      <w:p w14:paraId="2662F9BC" w14:textId="7436DB04" w:rsidR="0099164B" w:rsidRDefault="0099164B" w:rsidP="00637822">
        <w:pPr>
          <w:pStyle w:val="Footer"/>
        </w:pPr>
        <w:r>
          <w:t>*Financial forecast figures are from the Budget Economic Forecast Updates (BEFU) forecasts which have not been audited.</w:t>
        </w:r>
      </w:p>
      <w:p w14:paraId="3E137884" w14:textId="4682DE0C" w:rsidR="0099164B" w:rsidRDefault="0099164B">
        <w:pPr>
          <w:pStyle w:val="Footer"/>
          <w:jc w:val="right"/>
        </w:pPr>
        <w:r>
          <w:fldChar w:fldCharType="begin"/>
        </w:r>
        <w:r>
          <w:instrText xml:space="preserve"> PAGE   \* MERGEFORMAT </w:instrText>
        </w:r>
        <w:r>
          <w:fldChar w:fldCharType="separate"/>
        </w:r>
        <w:r>
          <w:rPr>
            <w:noProof/>
          </w:rPr>
          <w:t>80</w:t>
        </w:r>
        <w:r>
          <w:rPr>
            <w:noProof/>
          </w:rPr>
          <w:fldChar w:fldCharType="end"/>
        </w:r>
      </w:p>
    </w:sdtContent>
  </w:sdt>
  <w:p w14:paraId="0C0323EB" w14:textId="77777777" w:rsidR="0099164B" w:rsidRPr="004D1CA4" w:rsidRDefault="0099164B" w:rsidP="00CE5E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297459"/>
      <w:docPartObj>
        <w:docPartGallery w:val="Page Numbers (Bottom of Page)"/>
        <w:docPartUnique/>
      </w:docPartObj>
    </w:sdtPr>
    <w:sdtEndPr>
      <w:rPr>
        <w:noProof/>
      </w:rPr>
    </w:sdtEndPr>
    <w:sdtContent>
      <w:p w14:paraId="732C042F" w14:textId="77777777" w:rsidR="0099164B" w:rsidRDefault="0099164B" w:rsidP="00637822">
        <w:pPr>
          <w:pStyle w:val="Footer"/>
        </w:pPr>
        <w:r>
          <w:t>The accompanying notes form part of these financial statements.</w:t>
        </w:r>
      </w:p>
      <w:p w14:paraId="7AA9796E" w14:textId="406FA269" w:rsidR="0099164B" w:rsidRDefault="0099164B">
        <w:pPr>
          <w:pStyle w:val="Footer"/>
          <w:jc w:val="right"/>
        </w:pPr>
        <w:r>
          <w:fldChar w:fldCharType="begin"/>
        </w:r>
        <w:r>
          <w:instrText xml:space="preserve"> PAGE   \* MERGEFORMAT </w:instrText>
        </w:r>
        <w:r>
          <w:fldChar w:fldCharType="separate"/>
        </w:r>
        <w:r w:rsidR="00112C62">
          <w:rPr>
            <w:noProof/>
          </w:rPr>
          <w:t>95</w:t>
        </w:r>
        <w:r>
          <w:rPr>
            <w:noProof/>
          </w:rPr>
          <w:fldChar w:fldCharType="end"/>
        </w:r>
      </w:p>
    </w:sdtContent>
  </w:sdt>
  <w:p w14:paraId="52A462A0" w14:textId="77777777" w:rsidR="0099164B" w:rsidRDefault="0099164B">
    <w:pPr>
      <w:pStyle w:val="Footer"/>
      <w:tabs>
        <w:tab w:val="clear" w:pos="9299"/>
        <w:tab w:val="left" w:pos="5175"/>
      </w:tabs>
      <w:rPr>
        <w:i/>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416311"/>
      <w:docPartObj>
        <w:docPartGallery w:val="Page Numbers (Bottom of Page)"/>
        <w:docPartUnique/>
      </w:docPartObj>
    </w:sdtPr>
    <w:sdtEndPr>
      <w:rPr>
        <w:noProof/>
      </w:rPr>
    </w:sdtEndPr>
    <w:sdtContent>
      <w:p w14:paraId="4F7A09EF" w14:textId="77777777" w:rsidR="0099164B" w:rsidRDefault="0099164B" w:rsidP="00637822">
        <w:pPr>
          <w:pStyle w:val="Footer"/>
        </w:pPr>
        <w:r>
          <w:t>The accompanying notes form part of these financial statements.</w:t>
        </w:r>
      </w:p>
      <w:p w14:paraId="17DBE3FA" w14:textId="6DFE0B8F" w:rsidR="0099164B" w:rsidRDefault="0099164B">
        <w:pPr>
          <w:pStyle w:val="Footer"/>
          <w:jc w:val="right"/>
        </w:pPr>
        <w:r>
          <w:fldChar w:fldCharType="begin"/>
        </w:r>
        <w:r>
          <w:instrText xml:space="preserve"> PAGE   \* MERGEFORMAT </w:instrText>
        </w:r>
        <w:r>
          <w:fldChar w:fldCharType="separate"/>
        </w:r>
        <w:r>
          <w:rPr>
            <w:noProof/>
          </w:rPr>
          <w:t>84</w:t>
        </w:r>
        <w:r>
          <w:rPr>
            <w:noProof/>
          </w:rPr>
          <w:fldChar w:fldCharType="end"/>
        </w:r>
      </w:p>
    </w:sdtContent>
  </w:sdt>
  <w:p w14:paraId="69C5B29A" w14:textId="77777777" w:rsidR="0099164B" w:rsidRPr="004D1CA4" w:rsidRDefault="0099164B" w:rsidP="00CE5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4E47F" w14:textId="77777777" w:rsidR="005B795D" w:rsidRPr="00D45126" w:rsidRDefault="005B795D" w:rsidP="00CE5E04">
      <w:pPr>
        <w:spacing w:after="0" w:line="240" w:lineRule="auto"/>
        <w:rPr>
          <w:color w:val="4D4D4D"/>
        </w:rPr>
      </w:pPr>
      <w:r w:rsidRPr="00D45126">
        <w:rPr>
          <w:color w:val="4D4D4D"/>
        </w:rPr>
        <w:separator/>
      </w:r>
    </w:p>
  </w:footnote>
  <w:footnote w:type="continuationSeparator" w:id="0">
    <w:p w14:paraId="5CB9B04A" w14:textId="77777777" w:rsidR="005B795D" w:rsidRPr="00C14083" w:rsidRDefault="005B795D" w:rsidP="00CE5E04">
      <w:pPr>
        <w:spacing w:after="0" w:line="240" w:lineRule="auto"/>
        <w:rPr>
          <w:color w:val="4D4D4D"/>
        </w:rPr>
      </w:pPr>
      <w:r w:rsidRPr="00C14083">
        <w:rPr>
          <w:color w:val="4D4D4D"/>
        </w:rPr>
        <w:continuationSeparator/>
      </w:r>
    </w:p>
  </w:footnote>
  <w:footnote w:type="continuationNotice" w:id="1">
    <w:p w14:paraId="36721CA7" w14:textId="77777777" w:rsidR="005B795D" w:rsidRDefault="005B795D">
      <w:pPr>
        <w:spacing w:after="0" w:line="240" w:lineRule="auto"/>
      </w:pPr>
    </w:p>
  </w:footnote>
  <w:footnote w:id="2">
    <w:p w14:paraId="60E2BA7C" w14:textId="7945667C" w:rsidR="0099164B" w:rsidRDefault="0099164B">
      <w:pPr>
        <w:pStyle w:val="FootnoteText"/>
      </w:pPr>
      <w:r>
        <w:rPr>
          <w:rStyle w:val="FootnoteReference"/>
        </w:rPr>
        <w:footnoteRef/>
      </w:r>
      <w:r>
        <w:t xml:space="preserve"> </w:t>
      </w:r>
      <w:r>
        <w:tab/>
        <w:t>Based on exclusion of the anomaly of one complainant who made 471 complaints against school boards of trustees in 2018/19.</w:t>
      </w:r>
    </w:p>
  </w:footnote>
  <w:footnote w:id="3">
    <w:p w14:paraId="75191710" w14:textId="77777777" w:rsidR="0099164B" w:rsidRDefault="0099164B" w:rsidP="00AF3529">
      <w:pPr>
        <w:pStyle w:val="FootnoteText"/>
      </w:pPr>
      <w:r>
        <w:rPr>
          <w:rStyle w:val="FootnoteReference"/>
        </w:rPr>
        <w:footnoteRef/>
      </w:r>
      <w:r>
        <w:t xml:space="preserve"> </w:t>
      </w:r>
      <w:r>
        <w:tab/>
      </w:r>
      <w:r w:rsidRPr="001F35AA">
        <w:t>Measure does not include complaints which were outside an Ombudsman’s jurisdiction</w:t>
      </w:r>
      <w:r>
        <w:t>,</w:t>
      </w:r>
      <w:r w:rsidRPr="001F35AA">
        <w:t xml:space="preserve"> or referred to another complaint handling agency, or where the discretion not to investigate a complaint was exercised.</w:t>
      </w:r>
    </w:p>
  </w:footnote>
  <w:footnote w:id="4">
    <w:p w14:paraId="5E96AFDB" w14:textId="76799503" w:rsidR="0099164B" w:rsidRDefault="0099164B">
      <w:pPr>
        <w:pStyle w:val="FootnoteText"/>
      </w:pPr>
      <w:r>
        <w:rPr>
          <w:rStyle w:val="FootnoteReference"/>
        </w:rPr>
        <w:footnoteRef/>
      </w:r>
      <w:r>
        <w:t xml:space="preserve"> </w:t>
      </w:r>
      <w:r>
        <w:tab/>
        <w:t>74 complaint based and</w:t>
      </w:r>
      <w:r w:rsidRPr="00F942BF">
        <w:t xml:space="preserve"> </w:t>
      </w:r>
      <w:r>
        <w:t>three</w:t>
      </w:r>
      <w:r w:rsidRPr="00F942BF">
        <w:t xml:space="preserve"> systemic</w:t>
      </w:r>
      <w:r>
        <w:t xml:space="preserve"> investigations.</w:t>
      </w:r>
    </w:p>
  </w:footnote>
  <w:footnote w:id="5">
    <w:p w14:paraId="55E545E4" w14:textId="5D5C42D8" w:rsidR="0099164B" w:rsidRDefault="0099164B">
      <w:pPr>
        <w:pStyle w:val="FootnoteText"/>
      </w:pPr>
      <w:r>
        <w:rPr>
          <w:rStyle w:val="FootnoteReference"/>
        </w:rPr>
        <w:footnoteRef/>
      </w:r>
      <w:r>
        <w:t xml:space="preserve"> </w:t>
      </w:r>
      <w:r>
        <w:tab/>
        <w:t>96 complaint based and</w:t>
      </w:r>
      <w:r w:rsidRPr="00F942BF">
        <w:t xml:space="preserve"> </w:t>
      </w:r>
      <w:r>
        <w:t>one</w:t>
      </w:r>
      <w:r w:rsidRPr="00F942BF">
        <w:t xml:space="preserve"> systemic</w:t>
      </w:r>
      <w:r>
        <w:t xml:space="preserve"> recommendations.</w:t>
      </w:r>
    </w:p>
  </w:footnote>
  <w:footnote w:id="6">
    <w:p w14:paraId="57B713CB" w14:textId="7CCFA23C" w:rsidR="0099164B" w:rsidRDefault="0099164B">
      <w:pPr>
        <w:pStyle w:val="FootnoteText"/>
      </w:pPr>
      <w:r>
        <w:rPr>
          <w:rStyle w:val="FootnoteReference"/>
        </w:rPr>
        <w:footnoteRef/>
      </w:r>
      <w:r>
        <w:t xml:space="preserve"> </w:t>
      </w:r>
      <w:r>
        <w:tab/>
        <w:t xml:space="preserve">30 complaint based and 1 systemic investigation. </w:t>
      </w:r>
    </w:p>
  </w:footnote>
  <w:footnote w:id="7">
    <w:p w14:paraId="257F3607" w14:textId="77777777" w:rsidR="0099164B" w:rsidRDefault="0099164B">
      <w:pPr>
        <w:pStyle w:val="FootnoteText"/>
      </w:pPr>
      <w:r>
        <w:rPr>
          <w:rStyle w:val="FootnoteReference"/>
        </w:rPr>
        <w:footnoteRef/>
      </w:r>
      <w:r>
        <w:t xml:space="preserve"> </w:t>
      </w:r>
      <w:r>
        <w:tab/>
        <w:t xml:space="preserve">46 complaint based and </w:t>
      </w:r>
      <w:r w:rsidRPr="00671CA8">
        <w:t>10 systemic</w:t>
      </w:r>
      <w:r>
        <w:t xml:space="preserve"> recommendations.</w:t>
      </w:r>
    </w:p>
  </w:footnote>
  <w:footnote w:id="8">
    <w:p w14:paraId="1C4877DF" w14:textId="77777777" w:rsidR="0099164B" w:rsidRDefault="0099164B">
      <w:pPr>
        <w:pStyle w:val="FootnoteText"/>
      </w:pPr>
      <w:r>
        <w:rPr>
          <w:rStyle w:val="FootnoteReference"/>
        </w:rPr>
        <w:footnoteRef/>
      </w:r>
      <w:r>
        <w:t xml:space="preserve"> </w:t>
      </w:r>
      <w:r>
        <w:tab/>
        <w:t>Under the Protected Disclosures Act 2000.</w:t>
      </w:r>
    </w:p>
  </w:footnote>
  <w:footnote w:id="9">
    <w:p w14:paraId="232B6ADF" w14:textId="77777777" w:rsidR="0099164B" w:rsidRPr="00FA0391" w:rsidRDefault="0099164B" w:rsidP="009A1BFB">
      <w:pPr>
        <w:pStyle w:val="FootnoteText"/>
        <w:rPr>
          <w:i/>
        </w:rPr>
      </w:pPr>
      <w:r>
        <w:rPr>
          <w:rStyle w:val="FootnoteReference"/>
        </w:rPr>
        <w:footnoteRef/>
      </w:r>
      <w:r>
        <w:t xml:space="preserve"> </w:t>
      </w:r>
      <w:r>
        <w:tab/>
        <w:t xml:space="preserve">The Ombudsman is part of the </w:t>
      </w:r>
      <w:r w:rsidRPr="00FA0391">
        <w:rPr>
          <w:rStyle w:val="Italics"/>
          <w:i w:val="0"/>
        </w:rPr>
        <w:t>Independent Monitoring Mechanism</w:t>
      </w:r>
      <w:r w:rsidRPr="00274682">
        <w:t xml:space="preserve"> protecting and monitoring implementation </w:t>
      </w:r>
      <w:r>
        <w:t xml:space="preserve">in New Zealand </w:t>
      </w:r>
      <w:r w:rsidRPr="00274682">
        <w:t xml:space="preserve">of the </w:t>
      </w:r>
      <w:r w:rsidRPr="00FA0391">
        <w:rPr>
          <w:rStyle w:val="Italics"/>
          <w:i w:val="0"/>
        </w:rPr>
        <w:t>United Nations Convention on the Rights of Persons with Disabilities</w:t>
      </w:r>
      <w:r w:rsidRPr="00FA0391">
        <w:rPr>
          <w:i/>
        </w:rPr>
        <w:t>.</w:t>
      </w:r>
    </w:p>
  </w:footnote>
  <w:footnote w:id="10">
    <w:p w14:paraId="53AFC414" w14:textId="77777777" w:rsidR="0099164B" w:rsidRDefault="0099164B" w:rsidP="009A1BFB">
      <w:pPr>
        <w:pStyle w:val="FootnoteText"/>
      </w:pPr>
      <w:r>
        <w:rPr>
          <w:rStyle w:val="FootnoteReference"/>
        </w:rPr>
        <w:footnoteRef/>
      </w:r>
      <w:r>
        <w:tab/>
        <w:t xml:space="preserve">The Ombudsman is a </w:t>
      </w:r>
      <w:r w:rsidRPr="00FA0391">
        <w:rPr>
          <w:rStyle w:val="Italics"/>
          <w:i w:val="0"/>
        </w:rPr>
        <w:t>National Preventive Mechanism</w:t>
      </w:r>
      <w:r>
        <w:t xml:space="preserve"> under the Crimes of Torture Act 1989. This Act fulfils New Zealand’s responsibilities under the </w:t>
      </w:r>
      <w:r w:rsidRPr="00FA0391">
        <w:rPr>
          <w:rStyle w:val="Italics"/>
          <w:i w:val="0"/>
        </w:rPr>
        <w:t>United Nations Optional Protocol to the Convention Against Torture</w:t>
      </w:r>
      <w:r w:rsidRPr="00274682">
        <w:t>.</w:t>
      </w:r>
    </w:p>
  </w:footnote>
  <w:footnote w:id="11">
    <w:p w14:paraId="19020FA8" w14:textId="77777777" w:rsidR="0099164B" w:rsidRDefault="0099164B" w:rsidP="009A1BFB">
      <w:pPr>
        <w:pStyle w:val="FootnoteText"/>
      </w:pPr>
      <w:r>
        <w:rPr>
          <w:rStyle w:val="FootnoteReference"/>
        </w:rPr>
        <w:footnoteRef/>
      </w:r>
      <w:r>
        <w:tab/>
        <w:t>Under the Official Information Act 1982 and the Local Government Official Information and Meetings Act 1987.</w:t>
      </w:r>
    </w:p>
  </w:footnote>
  <w:footnote w:id="12">
    <w:p w14:paraId="7F1F5214" w14:textId="77777777" w:rsidR="0099164B" w:rsidRDefault="0099164B">
      <w:pPr>
        <w:pStyle w:val="FootnoteText"/>
      </w:pPr>
      <w:r>
        <w:rPr>
          <w:rStyle w:val="FootnoteReference"/>
        </w:rPr>
        <w:footnoteRef/>
      </w:r>
      <w:r>
        <w:t xml:space="preserve"> </w:t>
      </w:r>
      <w:r>
        <w:tab/>
      </w:r>
      <w:r w:rsidRPr="00730409">
        <w:t>Through investigation under the Ombudsmen Act</w:t>
      </w:r>
      <w:r>
        <w:t xml:space="preserve"> 1975</w:t>
      </w:r>
      <w:r w:rsidRPr="00730409">
        <w:t>.</w:t>
      </w:r>
    </w:p>
  </w:footnote>
  <w:footnote w:id="13">
    <w:p w14:paraId="6F9CD65A" w14:textId="77777777" w:rsidR="0099164B" w:rsidRPr="006308AF" w:rsidRDefault="0099164B" w:rsidP="009A1BFB">
      <w:pPr>
        <w:pStyle w:val="FootnoteText"/>
      </w:pPr>
      <w:r w:rsidRPr="006308AF">
        <w:rPr>
          <w:rStyle w:val="FootnoteReference"/>
        </w:rPr>
        <w:footnoteRef/>
      </w:r>
      <w:r>
        <w:tab/>
        <w:t>Under the Ombudsmen Act.</w:t>
      </w:r>
    </w:p>
  </w:footnote>
  <w:footnote w:id="14">
    <w:p w14:paraId="6ED83C18" w14:textId="77777777" w:rsidR="0099164B" w:rsidRPr="006308AF" w:rsidRDefault="0099164B" w:rsidP="00730409">
      <w:pPr>
        <w:pStyle w:val="FootnoteText"/>
      </w:pPr>
      <w:r w:rsidRPr="006308AF">
        <w:rPr>
          <w:rStyle w:val="FootnoteReference"/>
        </w:rPr>
        <w:footnoteRef/>
      </w:r>
      <w:r>
        <w:tab/>
        <w:t>Under the Ombudsmen Act.</w:t>
      </w:r>
    </w:p>
  </w:footnote>
  <w:footnote w:id="15">
    <w:p w14:paraId="7886593B" w14:textId="77777777" w:rsidR="0099164B" w:rsidRPr="00F90F68" w:rsidRDefault="0099164B" w:rsidP="00750E47">
      <w:pPr>
        <w:pStyle w:val="FootnoteText"/>
      </w:pPr>
      <w:r w:rsidRPr="00F90F68">
        <w:rPr>
          <w:rStyle w:val="FootnoteReference"/>
        </w:rPr>
        <w:footnoteRef/>
      </w:r>
      <w:r>
        <w:tab/>
        <w:t xml:space="preserve">See </w:t>
      </w:r>
      <w:hyperlink r:id="rId1" w:history="1">
        <w:r w:rsidRPr="0046783D">
          <w:rPr>
            <w:rStyle w:val="Hyperlink"/>
          </w:rPr>
          <w:t>https://www.publicservice.govt.nz/our-work/kiwis-count/</w:t>
        </w:r>
      </w:hyperlink>
      <w:r>
        <w:t xml:space="preserve"> for more information. </w:t>
      </w:r>
    </w:p>
  </w:footnote>
  <w:footnote w:id="16">
    <w:p w14:paraId="551A17A8" w14:textId="77777777" w:rsidR="0099164B" w:rsidRDefault="0099164B">
      <w:pPr>
        <w:pStyle w:val="FootnoteText"/>
      </w:pPr>
      <w:r>
        <w:rPr>
          <w:rStyle w:val="FootnoteReference"/>
        </w:rPr>
        <w:footnoteRef/>
      </w:r>
      <w:r>
        <w:t xml:space="preserve"> </w:t>
      </w:r>
      <w:r>
        <w:tab/>
        <w:t>T</w:t>
      </w:r>
      <w:r w:rsidRPr="00144D9A">
        <w:t>he quality of having strong moral principles; honesty and decency</w:t>
      </w:r>
      <w:r>
        <w:t>.</w:t>
      </w:r>
    </w:p>
  </w:footnote>
  <w:footnote w:id="17">
    <w:p w14:paraId="650A5F2C" w14:textId="77777777" w:rsidR="0099164B" w:rsidRPr="00417D06" w:rsidRDefault="0099164B" w:rsidP="00750E47">
      <w:pPr>
        <w:pStyle w:val="FootnoteText"/>
      </w:pPr>
      <w:r w:rsidRPr="00F90F68">
        <w:rPr>
          <w:rStyle w:val="FootnoteReference"/>
        </w:rPr>
        <w:footnoteRef/>
      </w:r>
      <w:r>
        <w:tab/>
        <w:t>See</w:t>
      </w:r>
      <w:r w:rsidRPr="00417D06">
        <w:t xml:space="preserve"> </w:t>
      </w:r>
      <w:hyperlink r:id="rId2" w:history="1">
        <w:r>
          <w:rPr>
            <w:rStyle w:val="Hyperlink"/>
          </w:rPr>
          <w:t>https://www.transparency.org/en/cpi</w:t>
        </w:r>
      </w:hyperlink>
      <w:r>
        <w:t>.</w:t>
      </w:r>
    </w:p>
  </w:footnote>
  <w:footnote w:id="18">
    <w:p w14:paraId="59F1FE57" w14:textId="77777777" w:rsidR="0099164B" w:rsidRDefault="0099164B" w:rsidP="00DE540B">
      <w:pPr>
        <w:pStyle w:val="FootnoteText"/>
      </w:pPr>
      <w:r>
        <w:rPr>
          <w:rStyle w:val="FootnoteReference"/>
        </w:rPr>
        <w:footnoteRef/>
      </w:r>
      <w:r>
        <w:t xml:space="preserve"> </w:t>
      </w:r>
      <w:r>
        <w:tab/>
        <w:t xml:space="preserve">More information is available in a media statement on the Ombudsman website: </w:t>
      </w:r>
      <w:hyperlink r:id="rId3" w:history="1">
        <w:r w:rsidRPr="008D45B3">
          <w:rPr>
            <w:rStyle w:val="Hyperlink"/>
          </w:rPr>
          <w:t>https://www.ombudsman.parliament.nz/news/chief-ombudsmans-statement-official-information-response-times-during-covid-19-emergency</w:t>
        </w:r>
      </w:hyperlink>
      <w:r>
        <w:rPr>
          <w:rStyle w:val="Hyperlink"/>
        </w:rPr>
        <w:t>.</w:t>
      </w:r>
      <w:r>
        <w:t xml:space="preserve"> </w:t>
      </w:r>
    </w:p>
  </w:footnote>
  <w:footnote w:id="19">
    <w:p w14:paraId="33B723E7" w14:textId="77777777" w:rsidR="0099164B" w:rsidRDefault="0099164B" w:rsidP="00776C3B">
      <w:pPr>
        <w:pStyle w:val="FootnoteText"/>
      </w:pPr>
      <w:r>
        <w:rPr>
          <w:rStyle w:val="FootnoteReference"/>
        </w:rPr>
        <w:footnoteRef/>
      </w:r>
      <w:r>
        <w:t xml:space="preserve"> </w:t>
      </w:r>
      <w:r>
        <w:tab/>
        <w:t>Under section 241 of the Land Transport Act 1998.</w:t>
      </w:r>
    </w:p>
  </w:footnote>
  <w:footnote w:id="20">
    <w:p w14:paraId="13E915A9" w14:textId="77777777" w:rsidR="0099164B" w:rsidRPr="003948BC" w:rsidRDefault="0099164B" w:rsidP="0007114F">
      <w:pPr>
        <w:pStyle w:val="FootnoteText"/>
      </w:pPr>
      <w:r w:rsidRPr="003948BC">
        <w:rPr>
          <w:rStyle w:val="FootnoteReference"/>
        </w:rPr>
        <w:footnoteRef/>
      </w:r>
      <w:r>
        <w:tab/>
      </w:r>
      <w:r w:rsidRPr="00D776BA">
        <w:t>‘</w:t>
      </w:r>
      <w:r w:rsidRPr="00D776BA">
        <w:rPr>
          <w:rStyle w:val="Quotationwithinthesentence"/>
          <w:i w:val="0"/>
        </w:rPr>
        <w:t>Serious wrongdoing’</w:t>
      </w:r>
      <w:r w:rsidRPr="00260A91">
        <w:t xml:space="preserve"> </w:t>
      </w:r>
      <w:r w:rsidRPr="003948BC">
        <w:t>includes</w:t>
      </w:r>
      <w:r>
        <w:t xml:space="preserve"> an act, omission, or course of conduct that</w:t>
      </w:r>
      <w:r w:rsidRPr="003948BC">
        <w:t xml:space="preserve">: </w:t>
      </w:r>
    </w:p>
    <w:p w14:paraId="6FF0A578" w14:textId="4ACB28C6" w:rsidR="0099164B" w:rsidRDefault="0099164B" w:rsidP="0007114F">
      <w:pPr>
        <w:pStyle w:val="FootnoteBullet"/>
      </w:pPr>
      <w:r>
        <w:t>constitutes a serious risk to public health, public safety, or the environment;</w:t>
      </w:r>
    </w:p>
    <w:p w14:paraId="7E08EBD2" w14:textId="77777777" w:rsidR="0099164B" w:rsidRPr="003948BC" w:rsidRDefault="0099164B" w:rsidP="0007114F">
      <w:pPr>
        <w:pStyle w:val="FootnoteBullet"/>
      </w:pPr>
      <w:r>
        <w:t>constitutes an o</w:t>
      </w:r>
      <w:r w:rsidRPr="003948BC">
        <w:t>ffence</w:t>
      </w:r>
      <w:r>
        <w:t xml:space="preserve"> or serious risk to the maintenance of the law</w:t>
      </w:r>
      <w:r w:rsidRPr="003948BC">
        <w:t>;</w:t>
      </w:r>
    </w:p>
    <w:p w14:paraId="374BC19D" w14:textId="77777777" w:rsidR="0099164B" w:rsidRPr="003948BC" w:rsidRDefault="0099164B" w:rsidP="0007114F">
      <w:pPr>
        <w:pStyle w:val="FootnoteTextBullet"/>
      </w:pPr>
      <w:r w:rsidRPr="003948BC">
        <w:t>actions that would pose a serious risk to public health and safety or to the maintenance of the law; and</w:t>
      </w:r>
    </w:p>
    <w:p w14:paraId="704F7448" w14:textId="77777777" w:rsidR="0099164B" w:rsidRPr="004A1939" w:rsidRDefault="0099164B" w:rsidP="0007114F">
      <w:pPr>
        <w:pStyle w:val="FootnoteTextBullet"/>
      </w:pPr>
      <w:r w:rsidRPr="003948BC">
        <w:t>in the public sector context</w:t>
      </w:r>
      <w:r>
        <w:t xml:space="preserve"> is an</w:t>
      </w:r>
      <w:r w:rsidRPr="003948BC">
        <w:t xml:space="preserve"> unlawful, corrupt, or irregular use of funds or resources, </w:t>
      </w:r>
      <w:r>
        <w:t>or oppressive, improperly discriminatory,</w:t>
      </w:r>
      <w:r w:rsidRPr="003948BC">
        <w:t xml:space="preserve"> gross negligence or </w:t>
      </w:r>
      <w:r>
        <w:t xml:space="preserve">gross </w:t>
      </w:r>
      <w:r w:rsidRPr="003948BC">
        <w:t xml:space="preserve">mismanagement by public officials. </w:t>
      </w:r>
    </w:p>
  </w:footnote>
  <w:footnote w:id="21">
    <w:p w14:paraId="332CDC9A" w14:textId="5E49E45E" w:rsidR="0099164B" w:rsidRPr="003948BC" w:rsidRDefault="0099164B" w:rsidP="0007114F">
      <w:pPr>
        <w:pStyle w:val="FootnoteText"/>
      </w:pPr>
      <w:r w:rsidRPr="005003F4">
        <w:rPr>
          <w:rStyle w:val="FootnoteReference"/>
        </w:rPr>
        <w:footnoteRef/>
      </w:r>
      <w:r>
        <w:rPr>
          <w:rStyle w:val="FootnoteReference"/>
        </w:rPr>
        <w:tab/>
      </w:r>
      <w:r w:rsidRPr="00D776BA">
        <w:t>‘</w:t>
      </w:r>
      <w:r w:rsidRPr="00D776BA">
        <w:rPr>
          <w:rStyle w:val="Quotationwithinthesentence"/>
          <w:i w:val="0"/>
        </w:rPr>
        <w:t>Employee’</w:t>
      </w:r>
      <w:r w:rsidRPr="003948BC">
        <w:t xml:space="preserve"> includes a former employee, a secondee, a contractor</w:t>
      </w:r>
      <w:r>
        <w:t>,</w:t>
      </w:r>
      <w:r w:rsidRPr="003948BC">
        <w:t xml:space="preserve"> and a volunteer (</w:t>
      </w:r>
      <w:r>
        <w:t>see</w:t>
      </w:r>
      <w:r w:rsidRPr="003948BC">
        <w:t xml:space="preserve"> </w:t>
      </w:r>
      <w:hyperlink r:id="rId4" w:history="1">
        <w:r>
          <w:rPr>
            <w:rStyle w:val="Hyperlink"/>
          </w:rPr>
          <w:t>section 3 of the Protected Disclosures Act 2000</w:t>
        </w:r>
      </w:hyperlink>
      <w:r>
        <w:t xml:space="preserve"> </w:t>
      </w:r>
      <w:r w:rsidRPr="003948BC">
        <w:t xml:space="preserve">for </w:t>
      </w:r>
      <w:r>
        <w:t xml:space="preserve">a </w:t>
      </w:r>
      <w:r w:rsidRPr="003948BC">
        <w:t xml:space="preserve">full definition of </w:t>
      </w:r>
      <w:r w:rsidRPr="00D776BA">
        <w:t>‘employee’</w:t>
      </w:r>
      <w:r w:rsidRPr="003948BC">
        <w:t>).</w:t>
      </w:r>
    </w:p>
  </w:footnote>
  <w:footnote w:id="22">
    <w:p w14:paraId="5B17CFE4" w14:textId="77777777" w:rsidR="0099164B" w:rsidRDefault="0099164B" w:rsidP="005176F7">
      <w:pPr>
        <w:pStyle w:val="FootnoteText"/>
      </w:pPr>
      <w:r>
        <w:rPr>
          <w:rStyle w:val="FootnoteReference"/>
        </w:rPr>
        <w:footnoteRef/>
      </w:r>
      <w:r>
        <w:t xml:space="preserve"> </w:t>
      </w:r>
      <w:r>
        <w:tab/>
        <w:t xml:space="preserve">This report is discussed at </w:t>
      </w:r>
      <w:hyperlink w:anchor="_Complaint_timeliness_and" w:history="1">
        <w:r w:rsidRPr="000B6C09">
          <w:rPr>
            <w:rStyle w:val="Hyperlink"/>
          </w:rPr>
          <w:t>Systemic improvement</w:t>
        </w:r>
      </w:hyperlink>
      <w:r>
        <w:t>.</w:t>
      </w:r>
    </w:p>
  </w:footnote>
  <w:footnote w:id="23">
    <w:p w14:paraId="3B8F56C3" w14:textId="77777777" w:rsidR="0099164B" w:rsidRDefault="0099164B">
      <w:pPr>
        <w:pStyle w:val="FootnoteText"/>
      </w:pPr>
      <w:r>
        <w:rPr>
          <w:rStyle w:val="FootnoteReference"/>
        </w:rPr>
        <w:footnoteRef/>
      </w:r>
      <w:r>
        <w:t xml:space="preserve"> </w:t>
      </w:r>
      <w:r>
        <w:tab/>
        <w:t xml:space="preserve">On my YouTube channel: </w:t>
      </w:r>
      <w:hyperlink r:id="rId5" w:history="1">
        <w:r w:rsidRPr="00210B53">
          <w:rPr>
            <w:rStyle w:val="Hyperlink"/>
          </w:rPr>
          <w:t>https://www.youtube.com/watch?v=K_Bq42rz4H4&amp;t=160s</w:t>
        </w:r>
      </w:hyperlink>
      <w:r>
        <w:rPr>
          <w:rStyle w:val="Hyperlink"/>
        </w:rPr>
        <w:t>.</w:t>
      </w:r>
      <w:r>
        <w:t xml:space="preserve"> </w:t>
      </w:r>
    </w:p>
  </w:footnote>
  <w:footnote w:id="24">
    <w:p w14:paraId="05005720" w14:textId="77777777" w:rsidR="0099164B" w:rsidRDefault="0099164B" w:rsidP="0007114F">
      <w:pPr>
        <w:pStyle w:val="FootnoteText"/>
      </w:pPr>
      <w:r>
        <w:rPr>
          <w:rStyle w:val="FootnoteReference"/>
        </w:rPr>
        <w:footnoteRef/>
      </w:r>
      <w:r>
        <w:t xml:space="preserve"> </w:t>
      </w:r>
      <w:r>
        <w:tab/>
        <w:t xml:space="preserve">See inspection purpose and criteria: </w:t>
      </w:r>
      <w:hyperlink r:id="rId6" w:history="1">
        <w:r w:rsidRPr="00942525">
          <w:rPr>
            <w:rStyle w:val="Hyperlink"/>
          </w:rPr>
          <w:t>https://www.ombudsman.parliament.nz/resources/criteria-opcat-covid-19-inspections</w:t>
        </w:r>
      </w:hyperlink>
      <w:r>
        <w:rPr>
          <w:rStyle w:val="Hyperlink"/>
        </w:rPr>
        <w:t>.</w:t>
      </w:r>
      <w:r>
        <w:t xml:space="preserve"> </w:t>
      </w:r>
    </w:p>
  </w:footnote>
  <w:footnote w:id="25">
    <w:p w14:paraId="791B29C2" w14:textId="77777777" w:rsidR="0099164B" w:rsidRDefault="0099164B" w:rsidP="0007114F">
      <w:pPr>
        <w:pStyle w:val="FootnoteText"/>
      </w:pPr>
      <w:r>
        <w:rPr>
          <w:rStyle w:val="FootnoteReference"/>
        </w:rPr>
        <w:footnoteRef/>
      </w:r>
      <w:r>
        <w:t xml:space="preserve"> </w:t>
      </w:r>
      <w:r>
        <w:tab/>
        <w:t>Three r</w:t>
      </w:r>
      <w:r w:rsidRPr="00FF0B2F">
        <w:t>eport</w:t>
      </w:r>
      <w:r>
        <w:t>s</w:t>
      </w:r>
      <w:r w:rsidRPr="00FF0B2F">
        <w:t xml:space="preserve"> on</w:t>
      </w:r>
      <w:r>
        <w:t xml:space="preserve"> COVID-19 specific</w:t>
      </w:r>
      <w:r w:rsidRPr="00FF0B2F">
        <w:t xml:space="preserve"> inspections of facilities under the Crimes of Torture Act 1989</w:t>
      </w:r>
      <w:r>
        <w:t xml:space="preserve"> published in June and August 2020.</w:t>
      </w:r>
    </w:p>
    <w:p w14:paraId="221DEE17" w14:textId="77777777" w:rsidR="0099164B" w:rsidRDefault="0099164B" w:rsidP="0007114F">
      <w:pPr>
        <w:pStyle w:val="FootnoteBullet"/>
      </w:pPr>
      <w:r>
        <w:t xml:space="preserve">Mental health:  </w:t>
      </w:r>
      <w:hyperlink r:id="rId7" w:history="1">
        <w:r w:rsidRPr="006327B0">
          <w:rPr>
            <w:rStyle w:val="Hyperlink"/>
          </w:rPr>
          <w:t>https://www.ombudsman.parliament.nz/resources/opcat-covid-19-report-report-inspections-mental-health-facilities-under-crimes-torture</w:t>
        </w:r>
      </w:hyperlink>
      <w:r>
        <w:rPr>
          <w:rStyle w:val="Hyperlink"/>
        </w:rPr>
        <w:t>.</w:t>
      </w:r>
      <w:r>
        <w:t xml:space="preserve"> </w:t>
      </w:r>
    </w:p>
    <w:p w14:paraId="7143B082" w14:textId="77777777" w:rsidR="0099164B" w:rsidRDefault="0099164B" w:rsidP="0007114F">
      <w:pPr>
        <w:pStyle w:val="FootnoteBullet"/>
      </w:pPr>
      <w:r>
        <w:t xml:space="preserve">Prisons: </w:t>
      </w:r>
      <w:hyperlink r:id="rId8" w:history="1">
        <w:r w:rsidRPr="006327B0">
          <w:rPr>
            <w:rStyle w:val="Hyperlink"/>
          </w:rPr>
          <w:t>https://www.ombudsman.parliament.nz/resources/opcat-covid-19-report-report-inspections-prisons-under-crimes-torture-act-1989</w:t>
        </w:r>
      </w:hyperlink>
      <w:r>
        <w:rPr>
          <w:rStyle w:val="Hyperlink"/>
        </w:rPr>
        <w:t>.</w:t>
      </w:r>
      <w:r>
        <w:t xml:space="preserve"> </w:t>
      </w:r>
    </w:p>
    <w:p w14:paraId="4CD7685B" w14:textId="77777777" w:rsidR="0099164B" w:rsidRDefault="0099164B" w:rsidP="0007114F">
      <w:pPr>
        <w:pStyle w:val="FootnoteBullet"/>
      </w:pPr>
      <w:r>
        <w:t xml:space="preserve">Aged care: </w:t>
      </w:r>
      <w:hyperlink r:id="rId9" w:history="1">
        <w:r w:rsidRPr="006327B0">
          <w:rPr>
            <w:rStyle w:val="Hyperlink"/>
          </w:rPr>
          <w:t>https://www.ombudsman.parliament.nz/resources/opcat-covid-19-report-report-inspections-aged-care-facilities-under-crimes-torture-act</w:t>
        </w:r>
      </w:hyperlink>
      <w:r>
        <w:rPr>
          <w:rStyle w:val="Hyperlink"/>
        </w:rPr>
        <w:t>.</w:t>
      </w:r>
      <w:r>
        <w:t xml:space="preserve"> </w:t>
      </w:r>
    </w:p>
  </w:footnote>
  <w:footnote w:id="26">
    <w:p w14:paraId="7ECB5215" w14:textId="77777777" w:rsidR="0099164B" w:rsidRDefault="0099164B">
      <w:pPr>
        <w:pStyle w:val="FootnoteText"/>
      </w:pPr>
      <w:r>
        <w:rPr>
          <w:rStyle w:val="FootnoteReference"/>
        </w:rPr>
        <w:footnoteRef/>
      </w:r>
      <w:r>
        <w:t xml:space="preserve"> </w:t>
      </w:r>
      <w:r>
        <w:tab/>
      </w:r>
      <w:r>
        <w:rPr>
          <w:lang w:val="en-GB"/>
        </w:rPr>
        <w:t>T</w:t>
      </w:r>
      <w:r w:rsidRPr="0095229E">
        <w:rPr>
          <w:lang w:val="en-GB"/>
        </w:rPr>
        <w:t>he customary rights and connections between people, generations, and land</w:t>
      </w:r>
      <w:r>
        <w:rPr>
          <w:lang w:val="en-GB"/>
        </w:rPr>
        <w:t>.</w:t>
      </w:r>
    </w:p>
  </w:footnote>
  <w:footnote w:id="27">
    <w:p w14:paraId="5918E677" w14:textId="77777777" w:rsidR="0099164B" w:rsidRDefault="0099164B" w:rsidP="007802A1">
      <w:pPr>
        <w:pStyle w:val="FootnoteText"/>
      </w:pPr>
      <w:r>
        <w:rPr>
          <w:rStyle w:val="FootnoteReference"/>
        </w:rPr>
        <w:footnoteRef/>
      </w:r>
      <w:r>
        <w:t xml:space="preserve"> </w:t>
      </w:r>
      <w:r>
        <w:tab/>
        <w:t xml:space="preserve">Department of Corrections, </w:t>
      </w:r>
      <w:hyperlink r:id="rId10" w:history="1">
        <w:r w:rsidRPr="006D2C2A">
          <w:rPr>
            <w:rStyle w:val="Hyperlink"/>
          </w:rPr>
          <w:t>Prison facts and statistics - March 2020.</w:t>
        </w:r>
      </w:hyperlink>
    </w:p>
  </w:footnote>
  <w:footnote w:id="28">
    <w:p w14:paraId="2B4E405E" w14:textId="77777777" w:rsidR="0099164B" w:rsidRDefault="0099164B" w:rsidP="007802A1">
      <w:pPr>
        <w:pStyle w:val="FootnoteText"/>
      </w:pPr>
      <w:r>
        <w:rPr>
          <w:rStyle w:val="FootnoteReference"/>
        </w:rPr>
        <w:footnoteRef/>
      </w:r>
      <w:r>
        <w:t xml:space="preserve"> </w:t>
      </w:r>
      <w:r>
        <w:tab/>
        <w:t xml:space="preserve">Ministry of Justice, </w:t>
      </w:r>
      <w:hyperlink r:id="rId11" w:history="1">
        <w:r w:rsidRPr="00A877E6">
          <w:rPr>
            <w:rStyle w:val="Hyperlink"/>
          </w:rPr>
          <w:t>Justice Sector Prison Population Projections 2019 - 2029</w:t>
        </w:r>
      </w:hyperlink>
      <w:r>
        <w:t>.</w:t>
      </w:r>
    </w:p>
  </w:footnote>
  <w:footnote w:id="29">
    <w:p w14:paraId="4D63E8B1" w14:textId="17937BFE" w:rsidR="0099164B" w:rsidRDefault="0099164B">
      <w:pPr>
        <w:pStyle w:val="FootnoteText"/>
      </w:pPr>
      <w:r>
        <w:rPr>
          <w:rStyle w:val="FootnoteReference"/>
        </w:rPr>
        <w:footnoteRef/>
      </w:r>
      <w:r>
        <w:t xml:space="preserve"> </w:t>
      </w:r>
      <w:r>
        <w:tab/>
        <w:t xml:space="preserve">More information about the Office of Inspectorate is available on the Department’s website: </w:t>
      </w:r>
      <w:hyperlink r:id="rId12" w:history="1">
        <w:r w:rsidRPr="00EB7502">
          <w:rPr>
            <w:rStyle w:val="Hyperlink"/>
          </w:rPr>
          <w:t>https://www.corrections.govt.nz/about_us/who_we_are/office_of_the_inspectorate</w:t>
        </w:r>
      </w:hyperlink>
      <w:r>
        <w:t xml:space="preserve">. </w:t>
      </w:r>
    </w:p>
  </w:footnote>
  <w:footnote w:id="30">
    <w:p w14:paraId="74082785" w14:textId="77777777" w:rsidR="0099164B" w:rsidRDefault="0099164B" w:rsidP="007802A1">
      <w:pPr>
        <w:pStyle w:val="FootnoteText"/>
      </w:pPr>
      <w:r>
        <w:rPr>
          <w:rStyle w:val="FootnoteReference"/>
        </w:rPr>
        <w:footnoteRef/>
      </w:r>
      <w:r>
        <w:t xml:space="preserve"> </w:t>
      </w:r>
      <w:r>
        <w:tab/>
        <w:t xml:space="preserve">Te reo name gifted </w:t>
      </w:r>
      <w:r w:rsidRPr="00B1521B">
        <w:t>after extensive consultation with Māori communities and iwi</w:t>
      </w:r>
      <w:r>
        <w:t>.</w:t>
      </w:r>
    </w:p>
  </w:footnote>
  <w:footnote w:id="31">
    <w:p w14:paraId="77E0FD31" w14:textId="77777777" w:rsidR="0099164B" w:rsidRDefault="0099164B" w:rsidP="003C1FEF">
      <w:pPr>
        <w:pStyle w:val="FootnoteText"/>
      </w:pPr>
      <w:r>
        <w:rPr>
          <w:rStyle w:val="FootnoteReference"/>
        </w:rPr>
        <w:footnoteRef/>
      </w:r>
      <w:r>
        <w:t xml:space="preserve"> </w:t>
      </w:r>
      <w:r>
        <w:tab/>
      </w:r>
      <w:hyperlink r:id="rId13" w:history="1">
        <w:r w:rsidRPr="00654398">
          <w:rPr>
            <w:rStyle w:val="Hyperlink"/>
          </w:rPr>
          <w:t>OPCAT COVID-19 report: Report on inspections of prisons under the Crimes of Torture Act 1989</w:t>
        </w:r>
      </w:hyperlink>
      <w:r>
        <w:rPr>
          <w:rStyle w:val="Hyperlink"/>
        </w:rPr>
        <w:t>.</w:t>
      </w:r>
    </w:p>
  </w:footnote>
  <w:footnote w:id="32">
    <w:p w14:paraId="0D5E45F4" w14:textId="77777777" w:rsidR="0099164B" w:rsidRDefault="0099164B" w:rsidP="003C1FEF">
      <w:pPr>
        <w:pStyle w:val="FootnoteText"/>
      </w:pPr>
      <w:r>
        <w:rPr>
          <w:rStyle w:val="FootnoteReference"/>
        </w:rPr>
        <w:footnoteRef/>
      </w:r>
      <w:r>
        <w:t xml:space="preserve"> </w:t>
      </w:r>
      <w:r>
        <w:tab/>
      </w:r>
      <w:r w:rsidRPr="00040F9A">
        <w:t>Rule</w:t>
      </w:r>
      <w:r>
        <w:t xml:space="preserve"> 23 (1) of the United Nations Standard Minimum Rules for the Treatment of Prisoners (the Nelson Mandela Rules) provides that: </w:t>
      </w:r>
      <w:r w:rsidRPr="00C733CF">
        <w:rPr>
          <w:rStyle w:val="Italics"/>
        </w:rPr>
        <w:t>Every prisoner who is not employed in outdoor work shall have at least one hour of suitable exercise in the open air daily if the weather permits</w:t>
      </w:r>
      <w:r>
        <w:t>.</w:t>
      </w:r>
    </w:p>
  </w:footnote>
  <w:footnote w:id="33">
    <w:p w14:paraId="74AE4C92" w14:textId="77777777" w:rsidR="0099164B" w:rsidRDefault="0099164B" w:rsidP="007802A1">
      <w:pPr>
        <w:pStyle w:val="FootnoteText"/>
      </w:pPr>
      <w:r>
        <w:rPr>
          <w:rStyle w:val="FootnoteReference"/>
        </w:rPr>
        <w:footnoteRef/>
      </w:r>
      <w:r>
        <w:t xml:space="preserve"> </w:t>
      </w:r>
      <w:r>
        <w:tab/>
      </w:r>
      <w:r w:rsidRPr="00042A96">
        <w:rPr>
          <w:rStyle w:val="Italics"/>
        </w:rPr>
        <w:t>‘People with “high and complex needs” are a small and unique group of people with disabilities at the high end of the support needs spectrum. This group of disabled people includes those with multiple disabilities such as sensory disabilities, physical disabilities, severe intellectual disability, and serious and ongoing medical conditions. These individuals require support with self-care and basic activities of daily living. They tend to also have behaviours that require a very high level of support.’</w:t>
      </w:r>
      <w:r w:rsidRPr="00042A96">
        <w:t xml:space="preserve"> Te Pou o Te Whakaaro Nui (2013). Valuing and supported disabled people and their family/whānau. Te Pou o Te Whakaaro Nui.</w:t>
      </w:r>
    </w:p>
  </w:footnote>
  <w:footnote w:id="34">
    <w:p w14:paraId="5DBC8050" w14:textId="77777777" w:rsidR="0099164B" w:rsidRDefault="0099164B" w:rsidP="003C1FEF">
      <w:pPr>
        <w:pStyle w:val="FootnoteText"/>
      </w:pPr>
      <w:r>
        <w:rPr>
          <w:rStyle w:val="FootnoteReference"/>
        </w:rPr>
        <w:footnoteRef/>
      </w:r>
      <w:r>
        <w:t xml:space="preserve"> </w:t>
      </w:r>
      <w:r>
        <w:tab/>
      </w:r>
      <w:hyperlink r:id="rId14" w:history="1">
        <w:r w:rsidRPr="00654398">
          <w:rPr>
            <w:rStyle w:val="Hyperlink"/>
          </w:rPr>
          <w:t>OPCAT COVID-19 report: Report on inspections of mental health facilities under the Crimes of Torture Act 1989</w:t>
        </w:r>
      </w:hyperlink>
      <w:r>
        <w:rPr>
          <w:rStyle w:val="Hyperlink"/>
        </w:rPr>
        <w:t>.</w:t>
      </w:r>
    </w:p>
  </w:footnote>
  <w:footnote w:id="35">
    <w:p w14:paraId="23935FE5" w14:textId="77777777" w:rsidR="0099164B" w:rsidRDefault="0099164B" w:rsidP="009F4E4B">
      <w:pPr>
        <w:pStyle w:val="FootnoteText"/>
      </w:pPr>
      <w:r>
        <w:rPr>
          <w:rStyle w:val="FootnoteReference"/>
        </w:rPr>
        <w:footnoteRef/>
      </w:r>
      <w:r>
        <w:t xml:space="preserve"> </w:t>
      </w:r>
      <w:r>
        <w:tab/>
        <w:t xml:space="preserve">See </w:t>
      </w:r>
      <w:hyperlink r:id="rId15" w:history="1">
        <w:r w:rsidRPr="00201F38">
          <w:rPr>
            <w:rStyle w:val="Hyperlink"/>
          </w:rPr>
          <w:t>https://www.ombudsman.parliament.nz/what-we-can-help/aged-care-monitoring</w:t>
        </w:r>
      </w:hyperlink>
      <w:r>
        <w:rPr>
          <w:rStyle w:val="Hyperlink"/>
        </w:rPr>
        <w:t>.</w:t>
      </w:r>
      <w:r>
        <w:t xml:space="preserve"> </w:t>
      </w:r>
    </w:p>
  </w:footnote>
  <w:footnote w:id="36">
    <w:p w14:paraId="67D29E12" w14:textId="77777777" w:rsidR="0099164B" w:rsidRDefault="0099164B" w:rsidP="006B1331">
      <w:pPr>
        <w:pStyle w:val="FootnoteText"/>
      </w:pPr>
      <w:r>
        <w:rPr>
          <w:rStyle w:val="FootnoteReference"/>
        </w:rPr>
        <w:footnoteRef/>
      </w:r>
      <w:r>
        <w:t xml:space="preserve"> </w:t>
      </w:r>
      <w:r>
        <w:tab/>
      </w:r>
      <w:hyperlink r:id="rId16" w:history="1">
        <w:r w:rsidRPr="00654398">
          <w:rPr>
            <w:rStyle w:val="Hyperlink"/>
          </w:rPr>
          <w:t>OPCAT COVID-19 report: Report on inspections of aged care facilities under the Crimes of Torture Act 1989</w:t>
        </w:r>
      </w:hyperlink>
      <w:r>
        <w:rPr>
          <w:rStyle w:val="Hyperlink"/>
        </w:rPr>
        <w:t>.</w:t>
      </w:r>
    </w:p>
  </w:footnote>
  <w:footnote w:id="37">
    <w:p w14:paraId="1606F621" w14:textId="77777777" w:rsidR="0099164B" w:rsidRDefault="0099164B" w:rsidP="006B1331">
      <w:pPr>
        <w:pStyle w:val="FootnoteText"/>
      </w:pPr>
      <w:r>
        <w:rPr>
          <w:rStyle w:val="FootnoteReference"/>
        </w:rPr>
        <w:footnoteRef/>
      </w:r>
      <w:r>
        <w:t xml:space="preserve"> </w:t>
      </w:r>
      <w:r>
        <w:tab/>
        <w:t>The report was finalised and published outside the reporting year in August 2020.</w:t>
      </w:r>
    </w:p>
  </w:footnote>
  <w:footnote w:id="38">
    <w:p w14:paraId="241CFE72" w14:textId="77777777" w:rsidR="0099164B" w:rsidRDefault="0099164B" w:rsidP="006B1331">
      <w:pPr>
        <w:pStyle w:val="FootnoteText"/>
      </w:pPr>
      <w:r>
        <w:rPr>
          <w:rStyle w:val="FootnoteReference"/>
        </w:rPr>
        <w:footnoteRef/>
      </w:r>
      <w:r>
        <w:t xml:space="preserve"> </w:t>
      </w:r>
      <w:r>
        <w:tab/>
        <w:t xml:space="preserve">The Chief Ombudsman inspects aged care facilities where residents are unable to ‘leave at will’. </w:t>
      </w:r>
    </w:p>
  </w:footnote>
  <w:footnote w:id="39">
    <w:p w14:paraId="075A2692" w14:textId="77777777" w:rsidR="0099164B" w:rsidRDefault="0099164B">
      <w:pPr>
        <w:pStyle w:val="FootnoteText"/>
      </w:pPr>
      <w:r>
        <w:rPr>
          <w:rStyle w:val="FootnoteReference"/>
        </w:rPr>
        <w:footnoteRef/>
      </w:r>
      <w:r>
        <w:t xml:space="preserve"> </w:t>
      </w:r>
      <w:r>
        <w:tab/>
        <w:t>Using my general investigation powers under the Ombudsmen Act.</w:t>
      </w:r>
    </w:p>
  </w:footnote>
  <w:footnote w:id="40">
    <w:p w14:paraId="288669A2" w14:textId="77777777" w:rsidR="0099164B" w:rsidRDefault="0099164B" w:rsidP="002344E7">
      <w:pPr>
        <w:pStyle w:val="FootnoteText"/>
      </w:pPr>
      <w:r>
        <w:rPr>
          <w:rStyle w:val="FootnoteReference"/>
        </w:rPr>
        <w:footnoteRef/>
      </w:r>
      <w:r>
        <w:t xml:space="preserve"> </w:t>
      </w:r>
      <w:r>
        <w:tab/>
        <w:t xml:space="preserve">See section 16(1A) OA. </w:t>
      </w:r>
    </w:p>
  </w:footnote>
  <w:footnote w:id="41">
    <w:p w14:paraId="478F4757" w14:textId="77777777" w:rsidR="0099164B" w:rsidRDefault="0099164B">
      <w:pPr>
        <w:pStyle w:val="FootnoteText"/>
      </w:pPr>
      <w:r>
        <w:rPr>
          <w:rStyle w:val="FootnoteReference"/>
        </w:rPr>
        <w:footnoteRef/>
      </w:r>
      <w:r>
        <w:t xml:space="preserve"> </w:t>
      </w:r>
      <w:r>
        <w:tab/>
        <w:t>When excluding the anomaly where one complainant made 471 complaints against school boards of trustees in 2018/19.</w:t>
      </w:r>
    </w:p>
  </w:footnote>
  <w:footnote w:id="42">
    <w:p w14:paraId="5EB0A620" w14:textId="77777777" w:rsidR="0099164B" w:rsidRDefault="0099164B" w:rsidP="00547D4C">
      <w:pPr>
        <w:pStyle w:val="FootnoteText"/>
      </w:pPr>
      <w:r>
        <w:rPr>
          <w:rStyle w:val="FootnoteReference"/>
        </w:rPr>
        <w:footnoteRef/>
      </w:r>
      <w:r>
        <w:t xml:space="preserve"> </w:t>
      </w:r>
      <w:r>
        <w:tab/>
        <w:t>I consider a complaint is ‘resolved’ when there is remedial action that benefits the complainant or improves state sector administration or when the provision of advice or explanation satisfies the complainant.</w:t>
      </w:r>
    </w:p>
  </w:footnote>
  <w:footnote w:id="43">
    <w:p w14:paraId="21AFC94C" w14:textId="6865997D" w:rsidR="0099164B" w:rsidRDefault="0099164B">
      <w:pPr>
        <w:pStyle w:val="FootnoteText"/>
      </w:pPr>
      <w:r>
        <w:rPr>
          <w:rStyle w:val="FootnoteReference"/>
        </w:rPr>
        <w:footnoteRef/>
      </w:r>
      <w:r>
        <w:t xml:space="preserve"> </w:t>
      </w:r>
      <w:r>
        <w:tab/>
        <w:t>See footnote 40.</w:t>
      </w:r>
    </w:p>
  </w:footnote>
  <w:footnote w:id="44">
    <w:p w14:paraId="39E20B71" w14:textId="7C5C3CF7" w:rsidR="0099164B" w:rsidRDefault="0099164B">
      <w:pPr>
        <w:pStyle w:val="FootnoteText"/>
      </w:pPr>
      <w:r>
        <w:rPr>
          <w:rStyle w:val="FootnoteReference"/>
        </w:rPr>
        <w:footnoteRef/>
      </w:r>
      <w:r>
        <w:t xml:space="preserve"> </w:t>
      </w:r>
      <w:r>
        <w:tab/>
      </w:r>
      <w:r w:rsidRPr="00492923">
        <w:t>Accident Compensation Corporation, Department of Corrections, Ministry of Education, Ministry of Foreign Affairs and Trade, Ministry of Health, Ministry of Justice, New Zealand Customs Service, New Zealand Defence Force, New Zealand Transport Agency, Ministry of Social Dev</w:t>
      </w:r>
      <w:r>
        <w:t xml:space="preserve">elopment, Ministry of Transport, and Te Kawa Mataaho </w:t>
      </w:r>
      <w:r w:rsidRPr="00492923">
        <w:t>Public Service Commission.</w:t>
      </w:r>
    </w:p>
  </w:footnote>
  <w:footnote w:id="45">
    <w:p w14:paraId="2FDDC485" w14:textId="377D2F16" w:rsidR="0099164B" w:rsidRDefault="0099164B">
      <w:pPr>
        <w:pStyle w:val="FootnoteText"/>
      </w:pPr>
      <w:r>
        <w:rPr>
          <w:rStyle w:val="FootnoteReference"/>
        </w:rPr>
        <w:footnoteRef/>
      </w:r>
      <w:r>
        <w:t xml:space="preserve"> </w:t>
      </w:r>
      <w:r>
        <w:tab/>
        <w:t xml:space="preserve">Further detail about this intervention in the </w:t>
      </w:r>
      <w:hyperlink w:anchor="_Incoming_complaint_management" w:history="1">
        <w:r w:rsidRPr="00AD2D94">
          <w:rPr>
            <w:rStyle w:val="Hyperlink"/>
          </w:rPr>
          <w:t>Incoming complaint management during the pandemic</w:t>
        </w:r>
      </w:hyperlink>
      <w:r>
        <w:t xml:space="preserve"> section.</w:t>
      </w:r>
    </w:p>
  </w:footnote>
  <w:footnote w:id="46">
    <w:p w14:paraId="69C8ED51" w14:textId="77777777" w:rsidR="0099164B" w:rsidRDefault="0099164B" w:rsidP="00436994">
      <w:pPr>
        <w:pStyle w:val="FootnoteText"/>
      </w:pPr>
      <w:r>
        <w:rPr>
          <w:rStyle w:val="FootnoteReference"/>
        </w:rPr>
        <w:footnoteRef/>
      </w:r>
      <w:r>
        <w:t xml:space="preserve"> </w:t>
      </w:r>
      <w:r>
        <w:tab/>
        <w:t xml:space="preserve">Also see </w:t>
      </w:r>
      <w:hyperlink w:anchor="_Prisons" w:history="1">
        <w:r w:rsidRPr="00436994">
          <w:rPr>
            <w:rStyle w:val="Hyperlink"/>
          </w:rPr>
          <w:t>Prisons Visits and Inspections</w:t>
        </w:r>
      </w:hyperlink>
      <w:r>
        <w:t xml:space="preserve"> section.</w:t>
      </w:r>
    </w:p>
  </w:footnote>
  <w:footnote w:id="47">
    <w:p w14:paraId="5C4535CF" w14:textId="37F49363" w:rsidR="0099164B" w:rsidRDefault="0099164B">
      <w:pPr>
        <w:pStyle w:val="FootnoteText"/>
      </w:pPr>
      <w:r>
        <w:rPr>
          <w:rStyle w:val="FootnoteReference"/>
        </w:rPr>
        <w:footnoteRef/>
      </w:r>
      <w:r>
        <w:t xml:space="preserve"> </w:t>
      </w:r>
      <w:r>
        <w:tab/>
      </w:r>
      <w:r>
        <w:rPr>
          <w:szCs w:val="24"/>
        </w:rPr>
        <w:t xml:space="preserve">My report on this investigation will be completed in early 2021. </w:t>
      </w:r>
      <w:r w:rsidRPr="004C2E51">
        <w:rPr>
          <w:szCs w:val="24"/>
        </w:rPr>
        <w:t xml:space="preserve">Read the media release at </w:t>
      </w:r>
      <w:hyperlink r:id="rId17" w:history="1">
        <w:r w:rsidRPr="00124282">
          <w:rPr>
            <w:rStyle w:val="Hyperlink"/>
            <w:szCs w:val="24"/>
          </w:rPr>
          <w:t>https://www.ombudsman.parliament.nz/news/chief-ombudsman-commences-two-investigations-ministry-health-and-its-services-people</w:t>
        </w:r>
      </w:hyperlink>
      <w:r>
        <w:rPr>
          <w:szCs w:val="24"/>
        </w:rPr>
        <w:t xml:space="preserve">  </w:t>
      </w:r>
      <w:r w:rsidRPr="004C2E51">
        <w:rPr>
          <w:szCs w:val="24"/>
        </w:rPr>
        <w:t>(available in Easy Read format)</w:t>
      </w:r>
      <w:r>
        <w:rPr>
          <w:szCs w:val="24"/>
        </w:rPr>
        <w:t>.</w:t>
      </w:r>
    </w:p>
  </w:footnote>
  <w:footnote w:id="48">
    <w:p w14:paraId="662E29ED" w14:textId="7B1E565A" w:rsidR="0099164B" w:rsidRDefault="0099164B" w:rsidP="00722142">
      <w:pPr>
        <w:pStyle w:val="FootnoteText"/>
      </w:pPr>
      <w:r>
        <w:rPr>
          <w:rStyle w:val="FootnoteReference"/>
        </w:rPr>
        <w:footnoteRef/>
      </w:r>
      <w:r>
        <w:t xml:space="preserve"> </w:t>
      </w:r>
      <w:r>
        <w:tab/>
      </w:r>
      <w:r>
        <w:rPr>
          <w:szCs w:val="24"/>
        </w:rPr>
        <w:t xml:space="preserve">This investigation was completed outside of the current reporting year, in August 2020 and the report is available at </w:t>
      </w:r>
      <w:hyperlink r:id="rId18" w:history="1">
        <w:r w:rsidRPr="00927FC4">
          <w:rPr>
            <w:rStyle w:val="Hyperlink"/>
          </w:rPr>
          <w:t>https://www.ombudsman.parliament.nz/resources/he-take-kohukihuki-matter-urgency</w:t>
        </w:r>
      </w:hyperlink>
      <w:r>
        <w:rPr>
          <w:rStyle w:val="Hyperlink"/>
        </w:rPr>
        <w:t>.</w:t>
      </w:r>
      <w:r>
        <w:t xml:space="preserve"> </w:t>
      </w:r>
    </w:p>
  </w:footnote>
  <w:footnote w:id="49">
    <w:p w14:paraId="140B603D" w14:textId="6AB8C4F8" w:rsidR="0099164B" w:rsidRDefault="0099164B" w:rsidP="008A7B08">
      <w:pPr>
        <w:spacing w:after="0" w:line="240" w:lineRule="auto"/>
        <w:ind w:left="284" w:hanging="284"/>
      </w:pPr>
      <w:r w:rsidRPr="00E36674">
        <w:rPr>
          <w:rStyle w:val="FootnoteReference"/>
          <w:color w:val="4D4D4D"/>
          <w:sz w:val="20"/>
          <w:szCs w:val="20"/>
        </w:rPr>
        <w:footnoteRef/>
      </w:r>
      <w:r>
        <w:t xml:space="preserve"> </w:t>
      </w:r>
      <w:r>
        <w:tab/>
      </w:r>
      <w:r w:rsidRPr="00E36674">
        <w:rPr>
          <w:rStyle w:val="FootnoteTextChar"/>
        </w:rPr>
        <w:t>Sir John Robertson was a Director of the International Ombudsman Institute from 1988 and President of the IOI for two years from 1992 to 1994; Sir Brian Elwood was President of IOI from 1999 to 2003; and Dame Beverley Wakem was President of IOI from 2010 to 2014.</w:t>
      </w:r>
    </w:p>
  </w:footnote>
  <w:footnote w:id="50">
    <w:p w14:paraId="1377B04C" w14:textId="77777777" w:rsidR="0099164B" w:rsidRDefault="0099164B" w:rsidP="00F97B6A">
      <w:pPr>
        <w:pStyle w:val="FootnoteText"/>
      </w:pPr>
      <w:r>
        <w:rPr>
          <w:rStyle w:val="FootnoteReference"/>
        </w:rPr>
        <w:footnoteRef/>
      </w:r>
      <w:r>
        <w:t xml:space="preserve"> </w:t>
      </w:r>
      <w:r>
        <w:tab/>
        <w:t>As at 30 June 2020, there were 148 workers, comprising 133 employees and 15 contractors. These figures do not include vacancies, casuals, or staff on parental leave. Temporary resources were engaged to assist in the delivery of key priority projects as necessary.</w:t>
      </w:r>
    </w:p>
  </w:footnote>
  <w:footnote w:id="51">
    <w:p w14:paraId="71B3068F" w14:textId="77777777" w:rsidR="0099164B" w:rsidRDefault="0099164B" w:rsidP="00DF1795">
      <w:pPr>
        <w:pStyle w:val="FootnoteText"/>
      </w:pPr>
      <w:r>
        <w:rPr>
          <w:rStyle w:val="FootnoteReference"/>
        </w:rPr>
        <w:footnoteRef/>
      </w:r>
      <w:r>
        <w:t xml:space="preserve"> </w:t>
      </w:r>
      <w:r>
        <w:tab/>
        <w:t xml:space="preserve">As at December 2019, see </w:t>
      </w:r>
      <w:hyperlink r:id="rId19" w:history="1">
        <w:r w:rsidRPr="0053785E">
          <w:rPr>
            <w:rStyle w:val="HyperlinkSourceTextReference"/>
          </w:rPr>
          <w:t>http://www.ssc.govt.nz/kiwis-count</w:t>
        </w:r>
      </w:hyperlink>
      <w:r>
        <w:rPr>
          <w:rStyle w:val="HyperlinkSourceTextReference"/>
        </w:rPr>
        <w:t>.</w:t>
      </w:r>
    </w:p>
  </w:footnote>
  <w:footnote w:id="52">
    <w:p w14:paraId="7C0F8991" w14:textId="77777777" w:rsidR="0099164B" w:rsidRDefault="0099164B" w:rsidP="00DF1795">
      <w:pPr>
        <w:pStyle w:val="FootnoteText"/>
      </w:pPr>
      <w:r>
        <w:rPr>
          <w:rStyle w:val="FootnoteReference"/>
        </w:rPr>
        <w:footnoteRef/>
      </w:r>
      <w:r>
        <w:t xml:space="preserve"> </w:t>
      </w:r>
      <w:r>
        <w:tab/>
        <w:t xml:space="preserve">Using the </w:t>
      </w:r>
      <w:r w:rsidRPr="00315E21">
        <w:t>Transparency International Corruption Perceptions Index</w:t>
      </w:r>
      <w:r>
        <w:t xml:space="preserve"> to track perceptions of public trust in government in New Zealand.</w:t>
      </w:r>
    </w:p>
  </w:footnote>
  <w:footnote w:id="53">
    <w:p w14:paraId="7B1D75FC" w14:textId="77777777" w:rsidR="0099164B" w:rsidRPr="0053785E" w:rsidRDefault="0099164B" w:rsidP="00DF1795">
      <w:pPr>
        <w:pStyle w:val="FootnoteText"/>
        <w:rPr>
          <w:rStyle w:val="HyperlinkSourceTextReference"/>
        </w:rPr>
      </w:pPr>
      <w:r>
        <w:rPr>
          <w:rStyle w:val="FootnoteReference"/>
        </w:rPr>
        <w:footnoteRef/>
      </w:r>
      <w:r>
        <w:t xml:space="preserve"> </w:t>
      </w:r>
      <w:r>
        <w:tab/>
        <w:t xml:space="preserve">See </w:t>
      </w:r>
      <w:hyperlink r:id="rId20" w:history="1">
        <w:r w:rsidRPr="0053785E">
          <w:rPr>
            <w:rStyle w:val="HyperlinkSourceTextReference"/>
          </w:rPr>
          <w:t>https://www.transparency.org/</w:t>
        </w:r>
      </w:hyperlink>
    </w:p>
  </w:footnote>
  <w:footnote w:id="54">
    <w:p w14:paraId="34443D8F" w14:textId="77777777" w:rsidR="0099164B" w:rsidRDefault="0099164B" w:rsidP="00DF1795">
      <w:pPr>
        <w:pStyle w:val="FootnoteText"/>
      </w:pPr>
      <w:r>
        <w:rPr>
          <w:rStyle w:val="FootnoteReference"/>
        </w:rPr>
        <w:footnoteRef/>
      </w:r>
      <w:r>
        <w:t xml:space="preserve"> </w:t>
      </w:r>
      <w:r>
        <w:tab/>
        <w:t>Including speeches, presentations, interviews, media statements, resources, and training sessions provided via the website or to public forums, media, opposition research units, and community organisations.</w:t>
      </w:r>
    </w:p>
  </w:footnote>
  <w:footnote w:id="55">
    <w:p w14:paraId="38FA57EA" w14:textId="77777777" w:rsidR="0099164B" w:rsidRDefault="0099164B">
      <w:pPr>
        <w:pStyle w:val="FootnoteText"/>
      </w:pPr>
      <w:r>
        <w:rPr>
          <w:rStyle w:val="FootnoteReference"/>
        </w:rPr>
        <w:footnoteRef/>
      </w:r>
      <w:r>
        <w:t xml:space="preserve"> </w:t>
      </w:r>
      <w:r>
        <w:tab/>
        <w:t>The measure was amended to specifically include interviews and media statements, which resulted in a higher than forecast number.</w:t>
      </w:r>
    </w:p>
  </w:footnote>
  <w:footnote w:id="56">
    <w:p w14:paraId="770B71FD" w14:textId="77777777" w:rsidR="0099164B" w:rsidRDefault="0099164B">
      <w:pPr>
        <w:pStyle w:val="FootnoteText"/>
      </w:pPr>
      <w:r>
        <w:rPr>
          <w:rStyle w:val="FootnoteReference"/>
        </w:rPr>
        <w:footnoteRef/>
      </w:r>
      <w:r>
        <w:t xml:space="preserve"> </w:t>
      </w:r>
      <w:r>
        <w:tab/>
        <w:t>A new website was launched in the reporting year.</w:t>
      </w:r>
    </w:p>
  </w:footnote>
  <w:footnote w:id="57">
    <w:p w14:paraId="0D20E9C7" w14:textId="77777777" w:rsidR="0099164B" w:rsidRDefault="0099164B" w:rsidP="00DF1795">
      <w:pPr>
        <w:pStyle w:val="FootnoteText"/>
      </w:pPr>
      <w:r w:rsidRPr="001D7A7C">
        <w:rPr>
          <w:rStyle w:val="FootnoteReference"/>
        </w:rPr>
        <w:footnoteRef/>
      </w:r>
      <w:r w:rsidRPr="001D7A7C">
        <w:t xml:space="preserve"> </w:t>
      </w:r>
      <w:r w:rsidRPr="001D7A7C">
        <w:tab/>
        <w:t>Based on a survey of randomly selected complainants.</w:t>
      </w:r>
      <w:r>
        <w:t xml:space="preserve"> </w:t>
      </w:r>
    </w:p>
  </w:footnote>
  <w:footnote w:id="58">
    <w:p w14:paraId="42B53C4D" w14:textId="77777777" w:rsidR="0099164B" w:rsidRDefault="0099164B" w:rsidP="00DF1795">
      <w:pPr>
        <w:pStyle w:val="FootnoteText"/>
      </w:pPr>
      <w:r>
        <w:rPr>
          <w:rStyle w:val="FootnoteReference"/>
        </w:rPr>
        <w:footnoteRef/>
      </w:r>
      <w:r>
        <w:t xml:space="preserve"> </w:t>
      </w:r>
      <w:r>
        <w:tab/>
      </w:r>
      <w:r w:rsidRPr="003359A2">
        <w:t>Including on legislation, policies, procedures, administrative processes</w:t>
      </w:r>
      <w:r>
        <w:t>,</w:t>
      </w:r>
      <w:r w:rsidRPr="003359A2">
        <w:t xml:space="preserve"> and decision making.</w:t>
      </w:r>
      <w:r w:rsidRPr="00EB6C50">
        <w:rPr>
          <w:rFonts w:asciiTheme="minorHAnsi" w:hAnsiTheme="minorHAnsi"/>
          <w:color w:val="auto"/>
        </w:rPr>
        <w:t xml:space="preserve"> </w:t>
      </w:r>
    </w:p>
  </w:footnote>
  <w:footnote w:id="59">
    <w:p w14:paraId="3DD73AFA" w14:textId="77777777" w:rsidR="0099164B" w:rsidRDefault="0099164B" w:rsidP="00DF1795">
      <w:pPr>
        <w:pStyle w:val="FootnoteText"/>
      </w:pPr>
      <w:r>
        <w:rPr>
          <w:rStyle w:val="FootnoteReference"/>
        </w:rPr>
        <w:footnoteRef/>
      </w:r>
      <w:r>
        <w:t xml:space="preserve"> </w:t>
      </w:r>
      <w:r>
        <w:tab/>
        <w:t>All references to public sector agencies include Ministers’ offices.</w:t>
      </w:r>
    </w:p>
  </w:footnote>
  <w:footnote w:id="60">
    <w:p w14:paraId="04FE5CF8" w14:textId="77777777" w:rsidR="0099164B" w:rsidRDefault="0099164B" w:rsidP="00797507">
      <w:pPr>
        <w:pStyle w:val="FootnoteText"/>
      </w:pPr>
      <w:r>
        <w:rPr>
          <w:rStyle w:val="FootnoteReference"/>
        </w:rPr>
        <w:footnoteRef/>
      </w:r>
      <w:r>
        <w:t xml:space="preserve"> </w:t>
      </w:r>
      <w:r>
        <w:tab/>
      </w:r>
      <w:r w:rsidRPr="00957EC1">
        <w:t>An increased number of public sector agency engagements in the 2018/19 year arose as a consequence of our investigations of agencies’ official information practices, and resulting follow up support and training we were asked to provide</w:t>
      </w:r>
      <w:r>
        <w:t xml:space="preserve">. </w:t>
      </w:r>
    </w:p>
  </w:footnote>
  <w:footnote w:id="61">
    <w:p w14:paraId="2D4148E6" w14:textId="77777777" w:rsidR="0099164B" w:rsidRDefault="0099164B" w:rsidP="00DF1795">
      <w:pPr>
        <w:pStyle w:val="FootnoteText"/>
      </w:pPr>
      <w:r>
        <w:rPr>
          <w:rStyle w:val="FootnoteReference"/>
        </w:rPr>
        <w:footnoteRef/>
      </w:r>
      <w:r>
        <w:t xml:space="preserve"> </w:t>
      </w:r>
      <w:r>
        <w:tab/>
      </w:r>
      <w:r w:rsidRPr="001D7A7C">
        <w:t xml:space="preserve">Based on a survey of </w:t>
      </w:r>
      <w:r>
        <w:t>training participants.</w:t>
      </w:r>
    </w:p>
  </w:footnote>
  <w:footnote w:id="62">
    <w:p w14:paraId="3C9658E0" w14:textId="77777777" w:rsidR="0099164B" w:rsidRDefault="0099164B">
      <w:pPr>
        <w:pStyle w:val="FootnoteText"/>
      </w:pPr>
      <w:r>
        <w:rPr>
          <w:rStyle w:val="FootnoteReference"/>
        </w:rPr>
        <w:footnoteRef/>
      </w:r>
      <w:r>
        <w:t xml:space="preserve"> </w:t>
      </w:r>
      <w:r>
        <w:tab/>
        <w:t>A significant number of case notes from past complaints were produced in 2019/20 as part of a project to replace the existing website and improve the case note catalogue.</w:t>
      </w:r>
    </w:p>
  </w:footnote>
  <w:footnote w:id="63">
    <w:p w14:paraId="6EDC617D" w14:textId="588437EE" w:rsidR="0099164B" w:rsidRPr="001D7A7C" w:rsidRDefault="0099164B" w:rsidP="00DF1795">
      <w:pPr>
        <w:pStyle w:val="FootnoteText"/>
      </w:pPr>
      <w:r w:rsidRPr="001D7A7C">
        <w:rPr>
          <w:rStyle w:val="FootnoteReference"/>
        </w:rPr>
        <w:footnoteRef/>
      </w:r>
      <w:r w:rsidRPr="001D7A7C">
        <w:t xml:space="preserve"> </w:t>
      </w:r>
      <w:r w:rsidRPr="001D7A7C">
        <w:tab/>
        <w:t xml:space="preserve">Based on a survey of public sector agencies </w:t>
      </w:r>
      <w:r>
        <w:t>that</w:t>
      </w:r>
      <w:r w:rsidRPr="001D7A7C">
        <w:t xml:space="preserve"> were the subject of inves</w:t>
      </w:r>
      <w:r>
        <w:t>tigation in the reporting year.</w:t>
      </w:r>
    </w:p>
  </w:footnote>
  <w:footnote w:id="64">
    <w:p w14:paraId="1794E9A1" w14:textId="6362969A" w:rsidR="0099164B" w:rsidRPr="00D6049B" w:rsidRDefault="0099164B" w:rsidP="00DF1795">
      <w:pPr>
        <w:pStyle w:val="FootnoteText"/>
      </w:pPr>
      <w:r w:rsidRPr="001D7A7C">
        <w:rPr>
          <w:rStyle w:val="FootnoteReference"/>
        </w:rPr>
        <w:footnoteRef/>
      </w:r>
      <w:r>
        <w:t xml:space="preserve"> </w:t>
      </w:r>
      <w:r>
        <w:tab/>
      </w:r>
      <w:r w:rsidRPr="00D6049B">
        <w:t xml:space="preserve">Based on a survey of public sector agencies </w:t>
      </w:r>
      <w:r>
        <w:t>that</w:t>
      </w:r>
      <w:r w:rsidRPr="00D6049B">
        <w:t xml:space="preserve"> were the subject of investigation in the reporting year.</w:t>
      </w:r>
    </w:p>
  </w:footnote>
  <w:footnote w:id="65">
    <w:p w14:paraId="46D38AA6" w14:textId="77777777" w:rsidR="0099164B" w:rsidRDefault="0099164B" w:rsidP="00DF1795">
      <w:pPr>
        <w:pStyle w:val="FootnoteText"/>
      </w:pPr>
      <w:r>
        <w:rPr>
          <w:rStyle w:val="FootnoteReference"/>
        </w:rPr>
        <w:footnoteRef/>
      </w:r>
      <w:r>
        <w:t xml:space="preserve"> </w:t>
      </w:r>
      <w:r>
        <w:tab/>
        <w:t xml:space="preserve">The majority of </w:t>
      </w:r>
      <w:r w:rsidRPr="008C0838">
        <w:t xml:space="preserve">these are consultations under section 241 of the Land </w:t>
      </w:r>
      <w:r>
        <w:t>T</w:t>
      </w:r>
      <w:r w:rsidRPr="008C0838">
        <w:t xml:space="preserve">ransport Act. The number of consults have ranged between 7 and 129 with no </w:t>
      </w:r>
      <w:r>
        <w:t>identifiable pattern since 2010</w:t>
      </w:r>
      <w:r w:rsidRPr="0083509B">
        <w:t>.</w:t>
      </w:r>
    </w:p>
  </w:footnote>
  <w:footnote w:id="66">
    <w:p w14:paraId="3C7ACEE2" w14:textId="77777777" w:rsidR="0099164B" w:rsidRDefault="0099164B" w:rsidP="00DF1795">
      <w:pPr>
        <w:pStyle w:val="FootnoteText"/>
      </w:pPr>
      <w:r>
        <w:rPr>
          <w:rStyle w:val="FootnoteReference"/>
        </w:rPr>
        <w:footnoteRef/>
      </w:r>
      <w:r>
        <w:t xml:space="preserve"> </w:t>
      </w:r>
      <w:r>
        <w:tab/>
        <w:t xml:space="preserve">Counted as 90 calendar days. </w:t>
      </w:r>
    </w:p>
  </w:footnote>
  <w:footnote w:id="67">
    <w:p w14:paraId="4E5F8001" w14:textId="77777777" w:rsidR="0099164B" w:rsidRDefault="0099164B" w:rsidP="00DF1795">
      <w:pPr>
        <w:pStyle w:val="FootnoteText"/>
      </w:pPr>
      <w:r>
        <w:rPr>
          <w:rStyle w:val="FootnoteReference"/>
        </w:rPr>
        <w:footnoteRef/>
      </w:r>
      <w:r>
        <w:t xml:space="preserve"> </w:t>
      </w:r>
      <w:r>
        <w:tab/>
        <w:t xml:space="preserve">Counted as 90 calendar days. </w:t>
      </w:r>
    </w:p>
  </w:footnote>
  <w:footnote w:id="68">
    <w:p w14:paraId="40BE8047" w14:textId="77777777" w:rsidR="0099164B" w:rsidRDefault="0099164B" w:rsidP="00DF1795">
      <w:pPr>
        <w:pStyle w:val="FootnoteText"/>
      </w:pPr>
      <w:r>
        <w:rPr>
          <w:rStyle w:val="FootnoteReference"/>
        </w:rPr>
        <w:footnoteRef/>
      </w:r>
      <w:r>
        <w:t xml:space="preserve"> </w:t>
      </w:r>
      <w:r>
        <w:tab/>
      </w:r>
      <w:r w:rsidRPr="00E80C4E">
        <w:t>Including Disabled Peoples</w:t>
      </w:r>
      <w:r>
        <w:t>’</w:t>
      </w:r>
      <w:r w:rsidRPr="00E80C4E">
        <w:t xml:space="preserve"> </w:t>
      </w:r>
      <w:r>
        <w:t>O</w:t>
      </w:r>
      <w:r w:rsidRPr="00E80C4E">
        <w:t xml:space="preserve">rganisations, Human Rights Commission, Office for Disability Issues, </w:t>
      </w:r>
      <w:r>
        <w:t xml:space="preserve">and </w:t>
      </w:r>
      <w:r w:rsidRPr="00E80C4E">
        <w:t>Health and Disability Commissioner.</w:t>
      </w:r>
      <w:r w:rsidRPr="00024AA1">
        <w:rPr>
          <w:rFonts w:asciiTheme="minorHAnsi" w:hAnsiTheme="minorHAnsi"/>
          <w:color w:val="auto"/>
        </w:rPr>
        <w:t xml:space="preserve"> </w:t>
      </w:r>
    </w:p>
  </w:footnote>
  <w:footnote w:id="69">
    <w:p w14:paraId="674BFC6E" w14:textId="77777777" w:rsidR="0099164B" w:rsidRDefault="0099164B" w:rsidP="000032E8">
      <w:pPr>
        <w:pStyle w:val="FootnoteText"/>
      </w:pPr>
      <w:r>
        <w:rPr>
          <w:rStyle w:val="FootnoteReference"/>
        </w:rPr>
        <w:footnoteRef/>
      </w:r>
      <w:r>
        <w:t xml:space="preserve"> </w:t>
      </w:r>
      <w:r>
        <w:tab/>
        <w:t>An additional 27 COVID-19 inspections were carried out on top of the pre-planned 2019/20 work programme, which were not contemplated at the time this measure was set.</w:t>
      </w:r>
    </w:p>
  </w:footnote>
  <w:footnote w:id="70">
    <w:p w14:paraId="69200397" w14:textId="77777777" w:rsidR="0099164B" w:rsidRDefault="0099164B">
      <w:pPr>
        <w:pStyle w:val="FootnoteText"/>
      </w:pPr>
      <w:r>
        <w:rPr>
          <w:rStyle w:val="FootnoteReference"/>
        </w:rPr>
        <w:footnoteRef/>
      </w:r>
      <w:r>
        <w:t xml:space="preserve"> </w:t>
      </w:r>
      <w:r>
        <w:tab/>
        <w:t>During the course of the year, it was decided to announce all COVID-19 inspections for health and safety reasons, and a number of announced orientation visits to aged care facilities were conducted as part of setting up this new programme of work.</w:t>
      </w:r>
    </w:p>
  </w:footnote>
  <w:footnote w:id="71">
    <w:p w14:paraId="0C36ACD2" w14:textId="77777777" w:rsidR="0099164B" w:rsidRDefault="0099164B" w:rsidP="000032E8">
      <w:pPr>
        <w:pStyle w:val="FootnoteText"/>
      </w:pPr>
      <w:r>
        <w:rPr>
          <w:rStyle w:val="FootnoteReference"/>
        </w:rPr>
        <w:footnoteRef/>
      </w:r>
      <w:r>
        <w:t xml:space="preserve"> </w:t>
      </w:r>
      <w:r>
        <w:tab/>
        <w:t>The internationally accepted standard is for at least one third of inspections to be unannounced.</w:t>
      </w:r>
    </w:p>
  </w:footnote>
  <w:footnote w:id="72">
    <w:p w14:paraId="2890BC86" w14:textId="77777777" w:rsidR="0099164B" w:rsidRDefault="0099164B" w:rsidP="00DF1795">
      <w:pPr>
        <w:pStyle w:val="FootnoteText"/>
      </w:pPr>
      <w:r>
        <w:rPr>
          <w:rStyle w:val="FootnoteReference"/>
        </w:rPr>
        <w:footnoteRef/>
      </w:r>
      <w:r>
        <w:t xml:space="preserve"> </w:t>
      </w:r>
      <w:r>
        <w:tab/>
        <w:t>Counted as 90 calendar days</w:t>
      </w:r>
      <w:r w:rsidRPr="00AE78A0">
        <w:t xml:space="preserve">. </w:t>
      </w:r>
    </w:p>
  </w:footnote>
  <w:footnote w:id="73">
    <w:p w14:paraId="539D180D" w14:textId="77777777" w:rsidR="0099164B" w:rsidRDefault="0099164B">
      <w:pPr>
        <w:pStyle w:val="FootnoteText"/>
      </w:pPr>
      <w:r>
        <w:rPr>
          <w:rStyle w:val="FootnoteReference"/>
        </w:rPr>
        <w:footnoteRef/>
      </w:r>
      <w:r>
        <w:t xml:space="preserve"> </w:t>
      </w:r>
      <w:r>
        <w:tab/>
        <w:t>A COVID-19 inspection programme was set up in response to the global pandemic, which required resources to be pivoted to these inspections at short notice. Some other inspection reports were not able to be completed in the usual timeframes.</w:t>
      </w:r>
    </w:p>
  </w:footnote>
  <w:footnote w:id="74">
    <w:p w14:paraId="488E1250" w14:textId="7714B1DB" w:rsidR="0099164B" w:rsidRDefault="0099164B">
      <w:pPr>
        <w:pStyle w:val="FootnoteText"/>
      </w:pPr>
      <w:r>
        <w:rPr>
          <w:rStyle w:val="FootnoteReference"/>
        </w:rPr>
        <w:footnoteRef/>
      </w:r>
      <w:r>
        <w:t xml:space="preserve"> </w:t>
      </w:r>
      <w:r>
        <w:tab/>
        <w:t xml:space="preserve">Measures for Outputs 7 and 8 are combined. Refer to </w:t>
      </w:r>
      <w:hyperlink r:id="rId21" w:history="1">
        <w:r w:rsidRPr="00D71014">
          <w:rPr>
            <w:rStyle w:val="Hyperlink"/>
          </w:rPr>
          <w:t>Strategic intentions 2019/23</w:t>
        </w:r>
      </w:hyperlink>
      <w:r>
        <w:t>.</w:t>
      </w:r>
    </w:p>
  </w:footnote>
  <w:footnote w:id="75">
    <w:p w14:paraId="4CB08D7A" w14:textId="5838766C" w:rsidR="0099164B" w:rsidRDefault="0099164B" w:rsidP="00C13E81">
      <w:pPr>
        <w:pStyle w:val="FootnoteText"/>
      </w:pPr>
      <w:r>
        <w:rPr>
          <w:rStyle w:val="FootnoteReference"/>
        </w:rPr>
        <w:footnoteRef/>
      </w:r>
      <w:r>
        <w:t xml:space="preserve"> </w:t>
      </w:r>
      <w:r>
        <w:tab/>
        <w:t>A significant proportion of the complaints received and completed in 2018/19 can be attributed to one party, who made 471 delay complaints against school boards of trustees.</w:t>
      </w:r>
    </w:p>
  </w:footnote>
  <w:footnote w:id="76">
    <w:p w14:paraId="2C306A99" w14:textId="77777777" w:rsidR="0099164B" w:rsidRDefault="0099164B" w:rsidP="00DF1795">
      <w:pPr>
        <w:pStyle w:val="FootnoteText"/>
      </w:pPr>
      <w:r>
        <w:rPr>
          <w:rStyle w:val="FootnoteReference"/>
        </w:rPr>
        <w:footnoteRef/>
      </w:r>
      <w:r>
        <w:t xml:space="preserve"> </w:t>
      </w:r>
      <w:r>
        <w:tab/>
      </w:r>
      <w:r w:rsidRPr="00315E21">
        <w:rPr>
          <w:rStyle w:val="Quotationwithinthesentence"/>
          <w:i w:val="0"/>
        </w:rPr>
        <w:t>‘Net clearance rate’</w:t>
      </w:r>
      <w:r>
        <w:t xml:space="preserve"> means the total number of complaints closed in the reporting year as a proportion of the total number of complaints received during the year.</w:t>
      </w:r>
    </w:p>
  </w:footnote>
  <w:footnote w:id="77">
    <w:p w14:paraId="58762AED" w14:textId="3A7BDB52" w:rsidR="0099164B" w:rsidRDefault="0099164B">
      <w:pPr>
        <w:pStyle w:val="FootnoteText"/>
      </w:pPr>
      <w:r>
        <w:rPr>
          <w:rStyle w:val="FootnoteReference"/>
        </w:rPr>
        <w:footnoteRef/>
      </w:r>
      <w:r>
        <w:t xml:space="preserve"> </w:t>
      </w:r>
      <w:r>
        <w:tab/>
        <w:t xml:space="preserve">The target for net clearance rate was set on the basis that expected intake levels would be around 3,650 new complaints for the 2019/20 year. However, 4,494 new complaints were received in the 2019/20 year. Adjusting for the multi-party complaint against </w:t>
      </w:r>
      <w:r w:rsidRPr="0059241B">
        <w:t>4</w:t>
      </w:r>
      <w:r>
        <w:t>71 schools received in the 2018/19 year, this represents a 6% increase in complaints received in the 2019/20 year as compared to the 2018/19 year.</w:t>
      </w:r>
    </w:p>
  </w:footnote>
  <w:footnote w:id="78">
    <w:p w14:paraId="48599A8B" w14:textId="77777777" w:rsidR="0099164B" w:rsidRDefault="0099164B" w:rsidP="00DF1795">
      <w:pPr>
        <w:pStyle w:val="FootnoteText"/>
      </w:pPr>
      <w:r>
        <w:rPr>
          <w:rStyle w:val="FootnoteReference"/>
        </w:rPr>
        <w:footnoteRef/>
      </w:r>
      <w:r>
        <w:t xml:space="preserve"> </w:t>
      </w:r>
      <w:r>
        <w:tab/>
        <w:t xml:space="preserve">Counted as 90 calendar days. </w:t>
      </w:r>
    </w:p>
  </w:footnote>
  <w:footnote w:id="79">
    <w:p w14:paraId="308A952C" w14:textId="77777777" w:rsidR="0099164B" w:rsidRDefault="0099164B" w:rsidP="00DF1795">
      <w:pPr>
        <w:pStyle w:val="FootnoteText"/>
      </w:pPr>
      <w:r>
        <w:rPr>
          <w:rStyle w:val="FootnoteReference"/>
        </w:rPr>
        <w:footnoteRef/>
      </w:r>
      <w:r>
        <w:t xml:space="preserve"> </w:t>
      </w:r>
      <w:r>
        <w:tab/>
        <w:t xml:space="preserve">Counted as 180 calendar days. </w:t>
      </w:r>
    </w:p>
  </w:footnote>
  <w:footnote w:id="80">
    <w:p w14:paraId="4F89882F" w14:textId="77777777" w:rsidR="0099164B" w:rsidRDefault="0099164B" w:rsidP="00DF1795">
      <w:pPr>
        <w:pStyle w:val="FootnoteText"/>
      </w:pPr>
      <w:r>
        <w:rPr>
          <w:rStyle w:val="FootnoteReference"/>
        </w:rPr>
        <w:footnoteRef/>
      </w:r>
      <w:r>
        <w:t xml:space="preserve"> </w:t>
      </w:r>
      <w:r>
        <w:tab/>
        <w:t xml:space="preserve">Counted as 365 calendar days. </w:t>
      </w:r>
    </w:p>
  </w:footnote>
  <w:footnote w:id="81">
    <w:p w14:paraId="6A3A4CB0" w14:textId="77777777" w:rsidR="0099164B" w:rsidRDefault="0099164B" w:rsidP="00DF1795">
      <w:pPr>
        <w:pStyle w:val="FootnoteText"/>
      </w:pPr>
      <w:r>
        <w:rPr>
          <w:rStyle w:val="FootnoteReference"/>
        </w:rPr>
        <w:footnoteRef/>
      </w:r>
      <w:r>
        <w:t xml:space="preserve"> </w:t>
      </w:r>
      <w:r>
        <w:tab/>
        <w:t xml:space="preserve">Counted as 30 calendar days. </w:t>
      </w:r>
    </w:p>
  </w:footnote>
  <w:footnote w:id="82">
    <w:p w14:paraId="599CDF11" w14:textId="77777777" w:rsidR="0099164B" w:rsidRDefault="0099164B" w:rsidP="00DF1795">
      <w:pPr>
        <w:pStyle w:val="FootnoteText"/>
      </w:pPr>
      <w:r>
        <w:rPr>
          <w:rStyle w:val="FootnoteReference"/>
        </w:rPr>
        <w:footnoteRef/>
      </w:r>
      <w:r>
        <w:t xml:space="preserve"> </w:t>
      </w:r>
      <w:r>
        <w:tab/>
      </w:r>
      <w:r w:rsidRPr="001F35AA">
        <w:t>Measure does not include complaints which were outside an Ombudsman’s jurisdiction</w:t>
      </w:r>
      <w:r>
        <w:t>,</w:t>
      </w:r>
      <w:r w:rsidRPr="001F35AA">
        <w:t xml:space="preserve"> or referred to another complaint handling agency, or where the discretion not to investigate a complaint was exercised.</w:t>
      </w:r>
    </w:p>
  </w:footnote>
  <w:footnote w:id="83">
    <w:p w14:paraId="722674ED" w14:textId="77777777" w:rsidR="0099164B" w:rsidRPr="001D7A7C" w:rsidRDefault="0099164B" w:rsidP="00DF1795">
      <w:pPr>
        <w:pStyle w:val="FootnoteText"/>
      </w:pPr>
      <w:r w:rsidRPr="001D7A7C">
        <w:rPr>
          <w:rStyle w:val="FootnoteReference"/>
        </w:rPr>
        <w:footnoteRef/>
      </w:r>
      <w:r w:rsidRPr="001D7A7C">
        <w:t xml:space="preserve"> </w:t>
      </w:r>
      <w:r w:rsidRPr="001D7A7C">
        <w:tab/>
        <w:t>Based on a survey of randomly selected complainants</w:t>
      </w:r>
      <w:r>
        <w:t>. Selection does not include complainants where the discretion not to exercise a complaint was exercised.</w:t>
      </w:r>
    </w:p>
  </w:footnote>
  <w:footnote w:id="84">
    <w:p w14:paraId="48609B90" w14:textId="77777777" w:rsidR="0099164B" w:rsidRDefault="0099164B" w:rsidP="00DF1795">
      <w:pPr>
        <w:pStyle w:val="FootnoteText"/>
      </w:pPr>
      <w:r>
        <w:rPr>
          <w:rStyle w:val="FootnoteReference"/>
        </w:rPr>
        <w:footnoteRef/>
      </w:r>
      <w:r>
        <w:t xml:space="preserve"> </w:t>
      </w:r>
      <w:r>
        <w:tab/>
        <w:t>I</w:t>
      </w:r>
      <w:r w:rsidRPr="00BA52A3">
        <w:t xml:space="preserve"> also have other measures in place to ensure quality, including review of all correspondence by senior staff with </w:t>
      </w:r>
      <w:r>
        <w:t>authorisation.</w:t>
      </w:r>
    </w:p>
  </w:footnote>
  <w:footnote w:id="85">
    <w:p w14:paraId="3D3CB9B5" w14:textId="77777777" w:rsidR="0099164B" w:rsidRDefault="0099164B" w:rsidP="00124926">
      <w:pPr>
        <w:pStyle w:val="FootnoteText"/>
      </w:pPr>
      <w:r>
        <w:rPr>
          <w:rStyle w:val="FootnoteReference"/>
        </w:rPr>
        <w:footnoteRef/>
      </w:r>
      <w:r>
        <w:t xml:space="preserve"> </w:t>
      </w:r>
      <w:r>
        <w:tab/>
        <w:t xml:space="preserve">Completion of 16 official information practice investigations underway during 2019/20 was delayed due to the COVID-19 pandemic and the need to pivot resources towards complaint handling, OPCAT inspections and other urgent COVID-19 related work. These investigations are all programmed for completion in 2020/21. </w:t>
      </w:r>
    </w:p>
  </w:footnote>
  <w:footnote w:id="86">
    <w:p w14:paraId="5DAD18CA" w14:textId="77777777" w:rsidR="0099164B" w:rsidRDefault="0099164B">
      <w:pPr>
        <w:pStyle w:val="FootnoteText"/>
      </w:pPr>
      <w:r>
        <w:rPr>
          <w:rStyle w:val="FootnoteReference"/>
        </w:rPr>
        <w:footnoteRef/>
      </w:r>
      <w:r>
        <w:t xml:space="preserve"> </w:t>
      </w:r>
      <w:r>
        <w:tab/>
        <w:t>Includes formal resolution initiatives and investigations.</w:t>
      </w:r>
    </w:p>
  </w:footnote>
  <w:footnote w:id="87">
    <w:p w14:paraId="549CD486" w14:textId="77777777" w:rsidR="0099164B" w:rsidRDefault="0099164B">
      <w:pPr>
        <w:pStyle w:val="FootnoteText"/>
      </w:pPr>
      <w:r>
        <w:rPr>
          <w:rStyle w:val="FootnoteReference"/>
        </w:rPr>
        <w:footnoteRef/>
      </w:r>
      <w:r>
        <w:t xml:space="preserve"> </w:t>
      </w:r>
      <w:r>
        <w:tab/>
      </w:r>
      <w:r w:rsidRPr="001D7A7C">
        <w:t>Based on a survey of public sector agencies who were the subject of inves</w:t>
      </w:r>
      <w:r>
        <w:t>tigation in the reporting year.</w:t>
      </w:r>
    </w:p>
  </w:footnote>
  <w:footnote w:id="88">
    <w:p w14:paraId="1F91FC09" w14:textId="77777777" w:rsidR="0099164B" w:rsidRDefault="0099164B">
      <w:pPr>
        <w:pStyle w:val="FootnoteText"/>
      </w:pPr>
      <w:r>
        <w:rPr>
          <w:rStyle w:val="FootnoteReference"/>
        </w:rPr>
        <w:footnoteRef/>
      </w:r>
      <w:r>
        <w:t xml:space="preserve"> </w:t>
      </w:r>
      <w:r>
        <w:tab/>
        <w:t>Based on a survey of overseas stakeholders who received guidance and/or training.</w:t>
      </w:r>
    </w:p>
  </w:footnote>
  <w:footnote w:id="89">
    <w:p w14:paraId="3E7EB990" w14:textId="77777777" w:rsidR="0099164B" w:rsidRDefault="0099164B">
      <w:pPr>
        <w:pStyle w:val="FootnoteText"/>
      </w:pPr>
      <w:r>
        <w:rPr>
          <w:rStyle w:val="FootnoteReference"/>
        </w:rPr>
        <w:footnoteRef/>
      </w:r>
      <w:r>
        <w:t xml:space="preserve"> </w:t>
      </w:r>
      <w:r>
        <w:tab/>
        <w:t>COVID-19 aged care (12 facilities) published in August 2020 included four recommendations.</w:t>
      </w:r>
    </w:p>
  </w:footnote>
  <w:footnote w:id="90">
    <w:p w14:paraId="1EA1B06B" w14:textId="77777777" w:rsidR="0099164B" w:rsidRPr="00975055" w:rsidRDefault="0099164B" w:rsidP="00DF1795">
      <w:pPr>
        <w:pStyle w:val="FootnoteText"/>
      </w:pPr>
      <w:r>
        <w:rPr>
          <w:rStyle w:val="FootnoteReference"/>
        </w:rPr>
        <w:footnoteRef/>
      </w:r>
      <w:r>
        <w:t xml:space="preserve"> </w:t>
      </w:r>
      <w:r>
        <w:tab/>
        <w:t xml:space="preserve">Adjustments are changes made to reported statistics post completion of a reporting year. </w:t>
      </w:r>
    </w:p>
  </w:footnote>
  <w:footnote w:id="91">
    <w:p w14:paraId="3BF9A9F3" w14:textId="77777777" w:rsidR="0099164B" w:rsidRDefault="0099164B">
      <w:pPr>
        <w:pStyle w:val="FootnoteText"/>
      </w:pPr>
      <w:r>
        <w:rPr>
          <w:rStyle w:val="FootnoteReference"/>
        </w:rPr>
        <w:footnoteRef/>
      </w:r>
      <w:r>
        <w:t xml:space="preserve"> </w:t>
      </w:r>
      <w:r>
        <w:tab/>
      </w:r>
      <w:r w:rsidRPr="009803FF">
        <w:t>The apparent reduction in the number of Ombudsmen Act complaints received and completed in the 2011/12 reporting year onwards results from a change in recording practice. Previously Ombudsmen Act complaints and other contacts were aggregated.</w:t>
      </w:r>
    </w:p>
  </w:footnote>
  <w:footnote w:id="92">
    <w:p w14:paraId="73F9A824" w14:textId="77777777" w:rsidR="0099164B" w:rsidRPr="000C563D" w:rsidRDefault="0099164B" w:rsidP="00DF1795">
      <w:pPr>
        <w:pStyle w:val="FootnoteText"/>
        <w:ind w:left="0" w:firstLine="0"/>
        <w:rPr>
          <w:sz w:val="16"/>
          <w:szCs w:val="16"/>
        </w:rPr>
      </w:pPr>
      <w:r w:rsidRPr="00797ADF">
        <w:rPr>
          <w:rStyle w:val="FootnoteReference"/>
          <w:rFonts w:asciiTheme="minorHAnsi" w:hAnsiTheme="minorHAnsi"/>
        </w:rPr>
        <w:footnoteRef/>
      </w:r>
      <w:r>
        <w:t xml:space="preserve"> </w:t>
      </w:r>
      <w:r>
        <w:tab/>
        <w:t>Not including courts and tribunals.</w:t>
      </w:r>
    </w:p>
  </w:footnote>
  <w:footnote w:id="93">
    <w:p w14:paraId="4BB45740" w14:textId="3C99A332" w:rsidR="0099164B" w:rsidRDefault="0099164B">
      <w:pPr>
        <w:pStyle w:val="FootnoteText"/>
      </w:pPr>
      <w:r>
        <w:rPr>
          <w:rStyle w:val="FootnoteReference"/>
        </w:rPr>
        <w:footnoteRef/>
      </w:r>
      <w:r>
        <w:t xml:space="preserve"> </w:t>
      </w:r>
      <w:r>
        <w:tab/>
        <w:t>Previously Housing New Zealand.</w:t>
      </w:r>
    </w:p>
  </w:footnote>
  <w:footnote w:id="94">
    <w:p w14:paraId="60841AEC" w14:textId="77777777" w:rsidR="0099164B" w:rsidRDefault="0099164B" w:rsidP="00EF67E9">
      <w:pPr>
        <w:pStyle w:val="FootnoteText"/>
      </w:pPr>
      <w:r>
        <w:rPr>
          <w:rStyle w:val="FootnoteReference"/>
        </w:rPr>
        <w:footnoteRef/>
      </w:r>
      <w:r>
        <w:t xml:space="preserve"> </w:t>
      </w:r>
      <w:r>
        <w:tab/>
        <w:t>Includes multi-party schools complaint (471 complaints).</w:t>
      </w:r>
    </w:p>
  </w:footnote>
  <w:footnote w:id="95">
    <w:p w14:paraId="4709C66C" w14:textId="4D3F2338" w:rsidR="0099164B" w:rsidRDefault="0099164B">
      <w:pPr>
        <w:pStyle w:val="FootnoteText"/>
      </w:pPr>
      <w:r>
        <w:rPr>
          <w:rStyle w:val="FootnoteReference"/>
        </w:rPr>
        <w:footnoteRef/>
      </w:r>
      <w:r>
        <w:t xml:space="preserve"> </w:t>
      </w:r>
      <w:r>
        <w:tab/>
      </w:r>
      <w:r w:rsidRPr="009803FF">
        <w:t xml:space="preserve">The apparent </w:t>
      </w:r>
      <w:r>
        <w:t>increase</w:t>
      </w:r>
      <w:r w:rsidRPr="009803FF">
        <w:t xml:space="preserve"> in the number of </w:t>
      </w:r>
      <w:r>
        <w:t>other contacts</w:t>
      </w:r>
      <w:r w:rsidRPr="009803FF">
        <w:t xml:space="preserve"> </w:t>
      </w:r>
      <w:r>
        <w:t>under action from</w:t>
      </w:r>
      <w:r w:rsidRPr="009803FF">
        <w:t xml:space="preserve"> the 2011/12 reporting year </w:t>
      </w:r>
      <w:r>
        <w:t>was</w:t>
      </w:r>
      <w:r w:rsidRPr="009803FF">
        <w:t xml:space="preserve"> from a change in recording practice. Previously Ombudsmen Act complaints and other contacts were aggregated.</w:t>
      </w:r>
    </w:p>
  </w:footnote>
  <w:footnote w:id="96">
    <w:p w14:paraId="5D0DEC48" w14:textId="77777777" w:rsidR="0099164B" w:rsidRDefault="0099164B" w:rsidP="00B859BB">
      <w:pPr>
        <w:pStyle w:val="FootnoteText"/>
      </w:pPr>
      <w:r>
        <w:rPr>
          <w:rStyle w:val="FootnoteReference"/>
        </w:rPr>
        <w:footnoteRef/>
      </w:r>
      <w:r>
        <w:t xml:space="preserve"> </w:t>
      </w:r>
      <w:r>
        <w:tab/>
      </w:r>
      <w:r w:rsidRPr="000E7C2C">
        <w:t xml:space="preserve">This table includes complaints and other contacts. </w:t>
      </w:r>
      <w:r>
        <w:t xml:space="preserve">Complaints and other contacts may be made jointly with other persons. As a consequence, the number of complaints and other contacts recorded on the basis of region exceeds the number of issues that were the subject of a complaint or other contact.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3FE5" w14:textId="77777777" w:rsidR="00112C62" w:rsidRDefault="00112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3D8BB" w14:textId="77777777" w:rsidR="0099164B" w:rsidRDefault="0099164B" w:rsidP="009C48DF">
    <w:pPr>
      <w:pStyle w:val="Header"/>
      <w:tabs>
        <w:tab w:val="clear" w:pos="9299"/>
        <w:tab w:val="right" w:pos="9321"/>
      </w:tabs>
      <w:rPr>
        <w:rStyle w:val="PageNumber"/>
      </w:rPr>
    </w:pPr>
    <w:r>
      <w:t xml:space="preserve">Ombudsman | </w:t>
    </w:r>
    <w:r w:rsidRPr="00DD54DF">
      <w:t>Kaitiaki Mana Tangata</w:t>
    </w:r>
    <w:r>
      <w:tab/>
      <w:t xml:space="preserve">Annual Report of the </w:t>
    </w:r>
    <w:r w:rsidRPr="00A60E96">
      <w:t>Ombudsman 201</w:t>
    </w:r>
    <w:r>
      <w:t>9</w:t>
    </w:r>
    <w:r w:rsidRPr="00A60E96">
      <w:t>/</w:t>
    </w:r>
    <w:r>
      <w:t>20</w:t>
    </w:r>
  </w:p>
  <w:p w14:paraId="0C9E705A" w14:textId="77777777" w:rsidR="0099164B" w:rsidRPr="00C452D1" w:rsidRDefault="0099164B" w:rsidP="009C48DF">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85ED8" w14:textId="77777777" w:rsidR="00112C62" w:rsidRDefault="00112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502F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38D10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DCA44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9"/>
    <w:multiLevelType w:val="singleLevel"/>
    <w:tmpl w:val="B2B4373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5" w15:restartNumberingAfterBreak="0">
    <w:nsid w:val="06616BFE"/>
    <w:multiLevelType w:val="hybridMultilevel"/>
    <w:tmpl w:val="9224DDFE"/>
    <w:lvl w:ilvl="0" w:tplc="14090001">
      <w:start w:val="1"/>
      <w:numFmt w:val="bullet"/>
      <w:lvlText w:val=""/>
      <w:lvlJc w:val="left"/>
      <w:pPr>
        <w:ind w:left="82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abstractNum w:abstractNumId="6" w15:restartNumberingAfterBreak="0">
    <w:nsid w:val="09970C58"/>
    <w:multiLevelType w:val="multilevel"/>
    <w:tmpl w:val="86026E9A"/>
    <w:lvl w:ilvl="0">
      <w:start w:val="1"/>
      <w:numFmt w:val="decimal"/>
      <w:pStyle w:val="ANZNumberedListIndented"/>
      <w:lvlText w:val="%1"/>
      <w:lvlJc w:val="left"/>
      <w:pPr>
        <w:tabs>
          <w:tab w:val="num" w:pos="1702"/>
        </w:tabs>
        <w:ind w:left="1702"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1702"/>
        </w:tabs>
        <w:ind w:left="1702" w:hanging="851"/>
      </w:pPr>
      <w:rPr>
        <w:rFonts w:hint="default"/>
      </w:rPr>
    </w:lvl>
    <w:lvl w:ilvl="3">
      <w:start w:val="1"/>
      <w:numFmt w:val="none"/>
      <w:suff w:val="nothing"/>
      <w:lvlText w:val=""/>
      <w:lvlJc w:val="left"/>
      <w:pPr>
        <w:ind w:left="1702" w:firstLine="0"/>
      </w:pPr>
      <w:rPr>
        <w:rFonts w:ascii="Tw Cen MT" w:hAnsi="Tw Cen MT" w:hint="default"/>
        <w:b w:val="0"/>
        <w:i w:val="0"/>
        <w:sz w:val="24"/>
      </w:rPr>
    </w:lvl>
    <w:lvl w:ilvl="4">
      <w:start w:val="1"/>
      <w:numFmt w:val="none"/>
      <w:lvlText w:val=""/>
      <w:lvlJc w:val="left"/>
      <w:pPr>
        <w:tabs>
          <w:tab w:val="num" w:pos="1702"/>
        </w:tabs>
        <w:ind w:left="1702" w:firstLine="0"/>
      </w:pPr>
      <w:rPr>
        <w:rFonts w:ascii="Helvetica" w:hAnsi="Helvetica" w:hint="default"/>
      </w:rPr>
    </w:lvl>
    <w:lvl w:ilvl="5">
      <w:start w:val="1"/>
      <w:numFmt w:val="none"/>
      <w:lvlText w:val=""/>
      <w:lvlJc w:val="left"/>
      <w:pPr>
        <w:tabs>
          <w:tab w:val="num" w:pos="1702"/>
        </w:tabs>
        <w:ind w:left="1702" w:firstLine="0"/>
      </w:pPr>
      <w:rPr>
        <w:rFonts w:ascii="Helvetica" w:hAnsi="Helvetica" w:hint="default"/>
        <w:sz w:val="14"/>
      </w:rPr>
    </w:lvl>
    <w:lvl w:ilvl="6">
      <w:start w:val="1"/>
      <w:numFmt w:val="decimal"/>
      <w:lvlText w:val=".%7"/>
      <w:lvlJc w:val="left"/>
      <w:pPr>
        <w:tabs>
          <w:tab w:val="num" w:pos="1702"/>
        </w:tabs>
        <w:ind w:left="1702" w:firstLine="0"/>
      </w:pPr>
      <w:rPr>
        <w:rFonts w:hint="default"/>
      </w:rPr>
    </w:lvl>
    <w:lvl w:ilvl="7">
      <w:start w:val="1"/>
      <w:numFmt w:val="decimal"/>
      <w:lvlText w:val=".%8"/>
      <w:lvlJc w:val="left"/>
      <w:pPr>
        <w:tabs>
          <w:tab w:val="num" w:pos="1702"/>
        </w:tabs>
        <w:ind w:left="1702" w:firstLine="0"/>
      </w:pPr>
      <w:rPr>
        <w:rFonts w:hint="default"/>
      </w:rPr>
    </w:lvl>
    <w:lvl w:ilvl="8">
      <w:start w:val="1"/>
      <w:numFmt w:val="decimal"/>
      <w:lvlText w:val=".%8.%9"/>
      <w:lvlJc w:val="left"/>
      <w:pPr>
        <w:tabs>
          <w:tab w:val="num" w:pos="1702"/>
        </w:tabs>
        <w:ind w:left="1702" w:firstLine="0"/>
      </w:pPr>
      <w:rPr>
        <w:rFonts w:hint="default"/>
      </w:rPr>
    </w:lvl>
  </w:abstractNum>
  <w:abstractNum w:abstractNumId="7" w15:restartNumberingAfterBreak="0">
    <w:nsid w:val="0A0C121E"/>
    <w:multiLevelType w:val="multilevel"/>
    <w:tmpl w:val="F3FA4E0A"/>
    <w:lvl w:ilvl="0">
      <w:start w:val="1"/>
      <w:numFmt w:val="bullet"/>
      <w:pStyle w:val="FootnoteTextBullet"/>
      <w:lvlText w:val=""/>
      <w:lvlJc w:val="left"/>
      <w:pPr>
        <w:tabs>
          <w:tab w:val="num" w:pos="567"/>
        </w:tabs>
        <w:ind w:left="567" w:hanging="283"/>
      </w:pPr>
      <w:rPr>
        <w:rFonts w:ascii="Symbol" w:hAnsi="Symbol" w:hint="default"/>
      </w:rPr>
    </w:lvl>
    <w:lvl w:ilvl="1">
      <w:start w:val="1"/>
      <w:numFmt w:val="none"/>
      <w:suff w:val="nothing"/>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266A35"/>
    <w:multiLevelType w:val="multilevel"/>
    <w:tmpl w:val="D4B49A9C"/>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none"/>
      <w:suff w:val="nothing"/>
      <w:lvlText w:val=""/>
      <w:lvlJc w:val="righ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righ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right"/>
      <w:pPr>
        <w:ind w:left="1134" w:firstLine="0"/>
      </w:pPr>
      <w:rPr>
        <w:rFonts w:hint="default"/>
      </w:rPr>
    </w:lvl>
  </w:abstractNum>
  <w:abstractNum w:abstractNumId="9"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11" w15:restartNumberingAfterBreak="0">
    <w:nsid w:val="1F8A3471"/>
    <w:multiLevelType w:val="hybridMultilevel"/>
    <w:tmpl w:val="379A88C2"/>
    <w:lvl w:ilvl="0" w:tplc="B0449086">
      <w:start w:val="1"/>
      <w:numFmt w:val="bullet"/>
      <w:pStyle w:val="BoldIndent"/>
      <w:lvlText w:val=""/>
      <w:lvlJc w:val="left"/>
      <w:pPr>
        <w:tabs>
          <w:tab w:val="num" w:pos="1831"/>
        </w:tabs>
        <w:ind w:left="1831" w:hanging="360"/>
      </w:pPr>
      <w:rPr>
        <w:rFonts w:ascii="Symbol" w:hAnsi="Symbol" w:hint="default"/>
        <w:sz w:val="18"/>
        <w:szCs w:val="18"/>
      </w:rPr>
    </w:lvl>
    <w:lvl w:ilvl="1" w:tplc="D79285E8">
      <w:start w:val="1"/>
      <w:numFmt w:val="bullet"/>
      <w:lvlText w:val="o"/>
      <w:lvlJc w:val="left"/>
      <w:pPr>
        <w:tabs>
          <w:tab w:val="num" w:pos="1700"/>
        </w:tabs>
        <w:ind w:left="1700" w:hanging="360"/>
      </w:pPr>
      <w:rPr>
        <w:rFonts w:ascii="Courier New" w:hAnsi="Courier New" w:hint="default"/>
      </w:rPr>
    </w:lvl>
    <w:lvl w:ilvl="2" w:tplc="8F30B7D2" w:tentative="1">
      <w:start w:val="1"/>
      <w:numFmt w:val="bullet"/>
      <w:lvlText w:val=""/>
      <w:lvlJc w:val="left"/>
      <w:pPr>
        <w:tabs>
          <w:tab w:val="num" w:pos="2420"/>
        </w:tabs>
        <w:ind w:left="2420" w:hanging="360"/>
      </w:pPr>
      <w:rPr>
        <w:rFonts w:ascii="Wingdings" w:hAnsi="Wingdings" w:hint="default"/>
      </w:rPr>
    </w:lvl>
    <w:lvl w:ilvl="3" w:tplc="9108779C" w:tentative="1">
      <w:start w:val="1"/>
      <w:numFmt w:val="bullet"/>
      <w:lvlText w:val=""/>
      <w:lvlJc w:val="left"/>
      <w:pPr>
        <w:tabs>
          <w:tab w:val="num" w:pos="3140"/>
        </w:tabs>
        <w:ind w:left="3140" w:hanging="360"/>
      </w:pPr>
      <w:rPr>
        <w:rFonts w:ascii="Symbol" w:hAnsi="Symbol" w:hint="default"/>
      </w:rPr>
    </w:lvl>
    <w:lvl w:ilvl="4" w:tplc="1402E49E" w:tentative="1">
      <w:start w:val="1"/>
      <w:numFmt w:val="bullet"/>
      <w:lvlText w:val="o"/>
      <w:lvlJc w:val="left"/>
      <w:pPr>
        <w:tabs>
          <w:tab w:val="num" w:pos="3860"/>
        </w:tabs>
        <w:ind w:left="3860" w:hanging="360"/>
      </w:pPr>
      <w:rPr>
        <w:rFonts w:ascii="Courier New" w:hAnsi="Courier New" w:hint="default"/>
      </w:rPr>
    </w:lvl>
    <w:lvl w:ilvl="5" w:tplc="13E6A32A" w:tentative="1">
      <w:start w:val="1"/>
      <w:numFmt w:val="bullet"/>
      <w:lvlText w:val=""/>
      <w:lvlJc w:val="left"/>
      <w:pPr>
        <w:tabs>
          <w:tab w:val="num" w:pos="4580"/>
        </w:tabs>
        <w:ind w:left="4580" w:hanging="360"/>
      </w:pPr>
      <w:rPr>
        <w:rFonts w:ascii="Wingdings" w:hAnsi="Wingdings" w:hint="default"/>
      </w:rPr>
    </w:lvl>
    <w:lvl w:ilvl="6" w:tplc="007CE376" w:tentative="1">
      <w:start w:val="1"/>
      <w:numFmt w:val="bullet"/>
      <w:lvlText w:val=""/>
      <w:lvlJc w:val="left"/>
      <w:pPr>
        <w:tabs>
          <w:tab w:val="num" w:pos="5300"/>
        </w:tabs>
        <w:ind w:left="5300" w:hanging="360"/>
      </w:pPr>
      <w:rPr>
        <w:rFonts w:ascii="Symbol" w:hAnsi="Symbol" w:hint="default"/>
      </w:rPr>
    </w:lvl>
    <w:lvl w:ilvl="7" w:tplc="E6364B62" w:tentative="1">
      <w:start w:val="1"/>
      <w:numFmt w:val="bullet"/>
      <w:lvlText w:val="o"/>
      <w:lvlJc w:val="left"/>
      <w:pPr>
        <w:tabs>
          <w:tab w:val="num" w:pos="6020"/>
        </w:tabs>
        <w:ind w:left="6020" w:hanging="360"/>
      </w:pPr>
      <w:rPr>
        <w:rFonts w:ascii="Courier New" w:hAnsi="Courier New" w:hint="default"/>
      </w:rPr>
    </w:lvl>
    <w:lvl w:ilvl="8" w:tplc="4E8255B4" w:tentative="1">
      <w:start w:val="1"/>
      <w:numFmt w:val="bullet"/>
      <w:lvlText w:val=""/>
      <w:lvlJc w:val="left"/>
      <w:pPr>
        <w:tabs>
          <w:tab w:val="num" w:pos="6740"/>
        </w:tabs>
        <w:ind w:left="6740" w:hanging="360"/>
      </w:pPr>
      <w:rPr>
        <w:rFonts w:ascii="Wingdings" w:hAnsi="Wingdings" w:hint="default"/>
      </w:rPr>
    </w:lvl>
  </w:abstractNum>
  <w:abstractNum w:abstractNumId="12"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3" w15:restartNumberingAfterBreak="0">
    <w:nsid w:val="29933310"/>
    <w:multiLevelType w:val="hybridMultilevel"/>
    <w:tmpl w:val="3656D2C6"/>
    <w:lvl w:ilvl="0" w:tplc="14090019">
      <w:start w:val="1"/>
      <w:numFmt w:val="lowerLetter"/>
      <w:lvlText w:val="%1."/>
      <w:lvlJc w:val="left"/>
      <w:pPr>
        <w:ind w:left="927" w:hanging="360"/>
      </w:pPr>
    </w:lvl>
    <w:lvl w:ilvl="1" w:tplc="14090019">
      <w:start w:val="1"/>
      <w:numFmt w:val="lowerLetter"/>
      <w:lvlText w:val="%2."/>
      <w:lvlJc w:val="left"/>
      <w:pPr>
        <w:ind w:left="1647" w:hanging="360"/>
      </w:pPr>
    </w:lvl>
    <w:lvl w:ilvl="2" w:tplc="1409001B">
      <w:start w:val="1"/>
      <w:numFmt w:val="lowerRoman"/>
      <w:lvlText w:val="%3."/>
      <w:lvlJc w:val="right"/>
      <w:pPr>
        <w:ind w:left="2367" w:hanging="180"/>
      </w:pPr>
    </w:lvl>
    <w:lvl w:ilvl="3" w:tplc="1409000F">
      <w:start w:val="1"/>
      <w:numFmt w:val="decimal"/>
      <w:lvlText w:val="%4."/>
      <w:lvlJc w:val="left"/>
      <w:pPr>
        <w:ind w:left="3087" w:hanging="360"/>
      </w:pPr>
    </w:lvl>
    <w:lvl w:ilvl="4" w:tplc="14090019">
      <w:start w:val="1"/>
      <w:numFmt w:val="lowerLetter"/>
      <w:lvlText w:val="%5."/>
      <w:lvlJc w:val="left"/>
      <w:pPr>
        <w:ind w:left="3807" w:hanging="360"/>
      </w:pPr>
    </w:lvl>
    <w:lvl w:ilvl="5" w:tplc="1409001B">
      <w:start w:val="1"/>
      <w:numFmt w:val="lowerRoman"/>
      <w:lvlText w:val="%6."/>
      <w:lvlJc w:val="right"/>
      <w:pPr>
        <w:ind w:left="4527" w:hanging="180"/>
      </w:pPr>
    </w:lvl>
    <w:lvl w:ilvl="6" w:tplc="1409000F">
      <w:start w:val="1"/>
      <w:numFmt w:val="decimal"/>
      <w:lvlText w:val="%7."/>
      <w:lvlJc w:val="left"/>
      <w:pPr>
        <w:ind w:left="5247" w:hanging="360"/>
      </w:pPr>
    </w:lvl>
    <w:lvl w:ilvl="7" w:tplc="14090019">
      <w:start w:val="1"/>
      <w:numFmt w:val="lowerLetter"/>
      <w:lvlText w:val="%8."/>
      <w:lvlJc w:val="left"/>
      <w:pPr>
        <w:ind w:left="5967" w:hanging="360"/>
      </w:pPr>
    </w:lvl>
    <w:lvl w:ilvl="8" w:tplc="1409001B">
      <w:start w:val="1"/>
      <w:numFmt w:val="lowerRoman"/>
      <w:lvlText w:val="%9."/>
      <w:lvlJc w:val="right"/>
      <w:pPr>
        <w:ind w:left="6687" w:hanging="180"/>
      </w:pPr>
    </w:lvl>
  </w:abstractNum>
  <w:abstractNum w:abstractNumId="14" w15:restartNumberingAfterBreak="0">
    <w:nsid w:val="2A496CAF"/>
    <w:multiLevelType w:val="multilevel"/>
    <w:tmpl w:val="430C8BCA"/>
    <w:lvl w:ilvl="0">
      <w:start w:val="1"/>
      <w:numFmt w:val="bullet"/>
      <w:pStyle w:val="Boxsmallbullet1"/>
      <w:lvlText w:val=""/>
      <w:lvlJc w:val="left"/>
      <w:pPr>
        <w:tabs>
          <w:tab w:val="num" w:pos="357"/>
        </w:tabs>
        <w:ind w:left="360" w:hanging="360"/>
      </w:pPr>
      <w:rPr>
        <w:rFonts w:ascii="Symbol" w:hAnsi="Symbol" w:hint="default"/>
        <w:color w:val="auto"/>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5"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6" w15:restartNumberingAfterBreak="0">
    <w:nsid w:val="33A91CAD"/>
    <w:multiLevelType w:val="hybridMultilevel"/>
    <w:tmpl w:val="81D64EC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7" w15:restartNumberingAfterBreak="0">
    <w:nsid w:val="33DA5E8B"/>
    <w:multiLevelType w:val="singleLevel"/>
    <w:tmpl w:val="C8F030DA"/>
    <w:lvl w:ilvl="0">
      <w:start w:val="1"/>
      <w:numFmt w:val="bullet"/>
      <w:pStyle w:val="1CMBULLET-LEVEL2"/>
      <w:lvlText w:val=""/>
      <w:lvlJc w:val="left"/>
      <w:pPr>
        <w:tabs>
          <w:tab w:val="num" w:pos="1134"/>
        </w:tabs>
        <w:ind w:left="1134" w:hanging="567"/>
      </w:pPr>
      <w:rPr>
        <w:rFonts w:ascii="Symbol" w:hAnsi="Symbol" w:hint="default"/>
        <w:b w:val="0"/>
        <w:i w:val="0"/>
        <w:sz w:val="14"/>
      </w:rPr>
    </w:lvl>
  </w:abstractNum>
  <w:abstractNum w:abstractNumId="1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2" w15:restartNumberingAfterBreak="0">
    <w:nsid w:val="38A71395"/>
    <w:multiLevelType w:val="hybridMultilevel"/>
    <w:tmpl w:val="0A42C12A"/>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3" w15:restartNumberingAfterBreak="0">
    <w:nsid w:val="39744B21"/>
    <w:multiLevelType w:val="multilevel"/>
    <w:tmpl w:val="1BFA9C32"/>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24" w15:restartNumberingAfterBreak="0">
    <w:nsid w:val="3FF55FA4"/>
    <w:multiLevelType w:val="multilevel"/>
    <w:tmpl w:val="3138ABF0"/>
    <w:lvl w:ilvl="0">
      <w:start w:val="1"/>
      <w:numFmt w:val="bullet"/>
      <w:pStyle w:val="ANZBulletLevel1"/>
      <w:lvlText w:val=""/>
      <w:lvlJc w:val="left"/>
      <w:pPr>
        <w:ind w:left="851" w:hanging="851"/>
      </w:pPr>
      <w:rPr>
        <w:rFonts w:ascii="Symbol" w:hAnsi="Symbol" w:hint="default"/>
        <w:sz w:val="22"/>
      </w:rPr>
    </w:lvl>
    <w:lvl w:ilvl="1">
      <w:start w:val="1"/>
      <w:numFmt w:val="bullet"/>
      <w:pStyle w:val="ANZBulletLevel2"/>
      <w:lvlText w:val=""/>
      <w:lvlJc w:val="left"/>
      <w:pPr>
        <w:ind w:left="1701" w:hanging="850"/>
      </w:pPr>
      <w:rPr>
        <w:rFonts w:ascii="Wingdings" w:hAnsi="Wingdings" w:hint="default"/>
        <w:sz w:val="12"/>
      </w:rPr>
    </w:lvl>
    <w:lvl w:ilvl="2">
      <w:start w:val="1"/>
      <w:numFmt w:val="bullet"/>
      <w:pStyle w:val="ANZBulletLevel3"/>
      <w:lvlText w:val=""/>
      <w:lvlJc w:val="left"/>
      <w:pPr>
        <w:tabs>
          <w:tab w:val="num" w:pos="1701"/>
        </w:tabs>
        <w:ind w:left="2552" w:hanging="851"/>
      </w:pPr>
      <w:rPr>
        <w:rFonts w:ascii="Symbol" w:hAnsi="Symbol" w:hint="default"/>
        <w:sz w:val="10"/>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5" w15:restartNumberingAfterBreak="0">
    <w:nsid w:val="4557561E"/>
    <w:multiLevelType w:val="multilevel"/>
    <w:tmpl w:val="FD043240"/>
    <w:lvl w:ilvl="0">
      <w:start w:val="1"/>
      <w:numFmt w:val="none"/>
      <w:suff w:val="nothing"/>
      <w:lvlText w:val=""/>
      <w:lvlJc w:val="left"/>
      <w:pPr>
        <w:ind w:left="0" w:firstLine="0"/>
      </w:pPr>
      <w:rPr>
        <w:rFonts w:hint="default"/>
      </w:rPr>
    </w:lvl>
    <w:lvl w:ilvl="1">
      <w:start w:val="1"/>
      <w:numFmt w:val="none"/>
      <w:isLgl/>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right"/>
      <w:pPr>
        <w:ind w:left="0" w:firstLine="0"/>
      </w:pPr>
      <w:rPr>
        <w:rFonts w:hint="default"/>
      </w:rPr>
    </w:lvl>
  </w:abstractNum>
  <w:abstractNum w:abstractNumId="26" w15:restartNumberingAfterBreak="0">
    <w:nsid w:val="4FC32322"/>
    <w:multiLevelType w:val="multilevel"/>
    <w:tmpl w:val="ABD0EABA"/>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7" w15:restartNumberingAfterBreak="0">
    <w:nsid w:val="53F63B72"/>
    <w:multiLevelType w:val="hybridMultilevel"/>
    <w:tmpl w:val="6DDC20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8421A3F"/>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B8B22EC"/>
    <w:multiLevelType w:val="hybridMultilevel"/>
    <w:tmpl w:val="D8B8C6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1472CA9"/>
    <w:multiLevelType w:val="hybridMultilevel"/>
    <w:tmpl w:val="6E08BD42"/>
    <w:lvl w:ilvl="0" w:tplc="5A10AEB2">
      <w:start w:val="1"/>
      <w:numFmt w:val="bullet"/>
      <w:pStyle w:val="Bullets"/>
      <w:lvlText w:val=""/>
      <w:lvlJc w:val="left"/>
      <w:pPr>
        <w:tabs>
          <w:tab w:val="num" w:pos="1800"/>
        </w:tabs>
        <w:ind w:left="1800" w:hanging="360"/>
      </w:pPr>
      <w:rPr>
        <w:rFonts w:ascii="Symbol" w:hAnsi="Symbol" w:hint="default"/>
      </w:rPr>
    </w:lvl>
    <w:lvl w:ilvl="1" w:tplc="588C82F2" w:tentative="1">
      <w:start w:val="1"/>
      <w:numFmt w:val="bullet"/>
      <w:lvlText w:val="o"/>
      <w:lvlJc w:val="left"/>
      <w:pPr>
        <w:tabs>
          <w:tab w:val="num" w:pos="2520"/>
        </w:tabs>
        <w:ind w:left="2520" w:hanging="360"/>
      </w:pPr>
      <w:rPr>
        <w:rFonts w:ascii="Courier New" w:hAnsi="Courier New" w:hint="default"/>
      </w:rPr>
    </w:lvl>
    <w:lvl w:ilvl="2" w:tplc="18BA0402" w:tentative="1">
      <w:start w:val="1"/>
      <w:numFmt w:val="bullet"/>
      <w:lvlText w:val=""/>
      <w:lvlJc w:val="left"/>
      <w:pPr>
        <w:tabs>
          <w:tab w:val="num" w:pos="3240"/>
        </w:tabs>
        <w:ind w:left="3240" w:hanging="360"/>
      </w:pPr>
      <w:rPr>
        <w:rFonts w:ascii="Wingdings" w:hAnsi="Wingdings" w:hint="default"/>
      </w:rPr>
    </w:lvl>
    <w:lvl w:ilvl="3" w:tplc="FD56659C" w:tentative="1">
      <w:start w:val="1"/>
      <w:numFmt w:val="bullet"/>
      <w:lvlText w:val=""/>
      <w:lvlJc w:val="left"/>
      <w:pPr>
        <w:tabs>
          <w:tab w:val="num" w:pos="3960"/>
        </w:tabs>
        <w:ind w:left="3960" w:hanging="360"/>
      </w:pPr>
      <w:rPr>
        <w:rFonts w:ascii="Symbol" w:hAnsi="Symbol" w:hint="default"/>
      </w:rPr>
    </w:lvl>
    <w:lvl w:ilvl="4" w:tplc="8AF4147E" w:tentative="1">
      <w:start w:val="1"/>
      <w:numFmt w:val="bullet"/>
      <w:lvlText w:val="o"/>
      <w:lvlJc w:val="left"/>
      <w:pPr>
        <w:tabs>
          <w:tab w:val="num" w:pos="4680"/>
        </w:tabs>
        <w:ind w:left="4680" w:hanging="360"/>
      </w:pPr>
      <w:rPr>
        <w:rFonts w:ascii="Courier New" w:hAnsi="Courier New" w:hint="default"/>
      </w:rPr>
    </w:lvl>
    <w:lvl w:ilvl="5" w:tplc="728000DC" w:tentative="1">
      <w:start w:val="1"/>
      <w:numFmt w:val="bullet"/>
      <w:lvlText w:val=""/>
      <w:lvlJc w:val="left"/>
      <w:pPr>
        <w:tabs>
          <w:tab w:val="num" w:pos="5400"/>
        </w:tabs>
        <w:ind w:left="5400" w:hanging="360"/>
      </w:pPr>
      <w:rPr>
        <w:rFonts w:ascii="Wingdings" w:hAnsi="Wingdings" w:hint="default"/>
      </w:rPr>
    </w:lvl>
    <w:lvl w:ilvl="6" w:tplc="41303C74" w:tentative="1">
      <w:start w:val="1"/>
      <w:numFmt w:val="bullet"/>
      <w:lvlText w:val=""/>
      <w:lvlJc w:val="left"/>
      <w:pPr>
        <w:tabs>
          <w:tab w:val="num" w:pos="6120"/>
        </w:tabs>
        <w:ind w:left="6120" w:hanging="360"/>
      </w:pPr>
      <w:rPr>
        <w:rFonts w:ascii="Symbol" w:hAnsi="Symbol" w:hint="default"/>
      </w:rPr>
    </w:lvl>
    <w:lvl w:ilvl="7" w:tplc="89B6B3A0" w:tentative="1">
      <w:start w:val="1"/>
      <w:numFmt w:val="bullet"/>
      <w:lvlText w:val="o"/>
      <w:lvlJc w:val="left"/>
      <w:pPr>
        <w:tabs>
          <w:tab w:val="num" w:pos="6840"/>
        </w:tabs>
        <w:ind w:left="6840" w:hanging="360"/>
      </w:pPr>
      <w:rPr>
        <w:rFonts w:ascii="Courier New" w:hAnsi="Courier New" w:hint="default"/>
      </w:rPr>
    </w:lvl>
    <w:lvl w:ilvl="8" w:tplc="95708F70"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39818B9"/>
    <w:multiLevelType w:val="multilevel"/>
    <w:tmpl w:val="90AECFF6"/>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33"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35" w15:restartNumberingAfterBreak="0">
    <w:nsid w:val="6EB01AD9"/>
    <w:multiLevelType w:val="multilevel"/>
    <w:tmpl w:val="757CB570"/>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none"/>
      <w:suff w:val="nothing"/>
      <w:lvlText w:val=""/>
      <w:lvlJc w:val="righ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righ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right"/>
      <w:pPr>
        <w:ind w:left="1134" w:firstLine="0"/>
      </w:pPr>
      <w:rPr>
        <w:rFonts w:hint="default"/>
      </w:rPr>
    </w:lvl>
  </w:abstractNum>
  <w:abstractNum w:abstractNumId="36" w15:restartNumberingAfterBreak="0">
    <w:nsid w:val="76A26424"/>
    <w:multiLevelType w:val="multilevel"/>
    <w:tmpl w:val="384C4118"/>
    <w:lvl w:ilvl="0">
      <w:start w:val="1"/>
      <w:numFmt w:val="bullet"/>
      <w:pStyle w:val="Bullet1"/>
      <w:lvlText w:val=""/>
      <w:lvlJc w:val="left"/>
      <w:pPr>
        <w:tabs>
          <w:tab w:val="num" w:pos="851"/>
        </w:tabs>
        <w:ind w:left="851" w:hanging="567"/>
      </w:pPr>
      <w:rPr>
        <w:rFonts w:ascii="Symbol" w:hAnsi="Symbol" w:hint="default"/>
        <w:color w:val="auto"/>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7"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247774"/>
    <w:multiLevelType w:val="multilevel"/>
    <w:tmpl w:val="F32CA884"/>
    <w:lvl w:ilvl="0">
      <w:start w:val="1"/>
      <w:numFmt w:val="decimal"/>
      <w:pStyle w:val="QListnumber"/>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num w:numId="1">
    <w:abstractNumId w:val="33"/>
  </w:num>
  <w:num w:numId="2">
    <w:abstractNumId w:val="7"/>
  </w:num>
  <w:num w:numId="3">
    <w:abstractNumId w:val="9"/>
  </w:num>
  <w:num w:numId="4">
    <w:abstractNumId w:val="30"/>
  </w:num>
  <w:num w:numId="5">
    <w:abstractNumId w:val="20"/>
  </w:num>
  <w:num w:numId="6">
    <w:abstractNumId w:val="38"/>
  </w:num>
  <w:num w:numId="7">
    <w:abstractNumId w:val="37"/>
  </w:num>
  <w:num w:numId="8">
    <w:abstractNumId w:val="28"/>
  </w:num>
  <w:num w:numId="9">
    <w:abstractNumId w:val="14"/>
  </w:num>
  <w:num w:numId="10">
    <w:abstractNumId w:val="18"/>
  </w:num>
  <w:num w:numId="11">
    <w:abstractNumId w:val="36"/>
  </w:num>
  <w:num w:numId="12">
    <w:abstractNumId w:val="19"/>
  </w:num>
  <w:num w:numId="13">
    <w:abstractNumId w:val="12"/>
  </w:num>
  <w:num w:numId="14">
    <w:abstractNumId w:val="15"/>
  </w:num>
  <w:num w:numId="15">
    <w:abstractNumId w:val="10"/>
  </w:num>
  <w:num w:numId="16">
    <w:abstractNumId w:val="34"/>
  </w:num>
  <w:num w:numId="17">
    <w:abstractNumId w:val="26"/>
  </w:num>
  <w:num w:numId="18">
    <w:abstractNumId w:val="32"/>
  </w:num>
  <w:num w:numId="19">
    <w:abstractNumId w:val="4"/>
  </w:num>
  <w:num w:numId="20">
    <w:abstractNumId w:val="21"/>
  </w:num>
  <w:num w:numId="21">
    <w:abstractNumId w:val="35"/>
  </w:num>
  <w:num w:numId="22">
    <w:abstractNumId w:val="23"/>
  </w:num>
  <w:num w:numId="23">
    <w:abstractNumId w:val="39"/>
  </w:num>
  <w:num w:numId="24">
    <w:abstractNumId w:val="8"/>
  </w:num>
  <w:num w:numId="25">
    <w:abstractNumId w:val="2"/>
  </w:num>
  <w:num w:numId="26">
    <w:abstractNumId w:val="1"/>
  </w:num>
  <w:num w:numId="27">
    <w:abstractNumId w:val="0"/>
  </w:num>
  <w:num w:numId="28">
    <w:abstractNumId w:val="17"/>
  </w:num>
  <w:num w:numId="29">
    <w:abstractNumId w:val="24"/>
  </w:num>
  <w:num w:numId="30">
    <w:abstractNumId w:val="31"/>
  </w:num>
  <w:num w:numId="31">
    <w:abstractNumId w:val="11"/>
  </w:num>
  <w:num w:numId="32">
    <w:abstractNumId w:val="25"/>
  </w:num>
  <w:num w:numId="33">
    <w:abstractNumId w:val="2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4"/>
  </w:num>
  <w:num w:numId="37">
    <w:abstractNumId w:val="5"/>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2"/>
  </w:num>
  <w:num w:numId="41">
    <w:abstractNumId w:val="32"/>
  </w:num>
  <w:num w:numId="42">
    <w:abstractNumId w:val="32"/>
  </w:num>
  <w:num w:numId="43">
    <w:abstractNumId w:val="32"/>
  </w:num>
  <w:num w:numId="44">
    <w:abstractNumId w:val="36"/>
  </w:num>
  <w:num w:numId="45">
    <w:abstractNumId w:val="9"/>
  </w:num>
  <w:num w:numId="46">
    <w:abstractNumId w:val="29"/>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defaultTabStop w:val="567"/>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firstTb" w:val="True"/>
    <w:docVar w:name="IsInTable" w:val="True"/>
    <w:docVar w:name="OOTOTemplate" w:val="OOTO Strategic Services\Annual report.dotm"/>
    <w:docVar w:name="ShowLogo" w:val="True"/>
  </w:docVars>
  <w:rsids>
    <w:rsidRoot w:val="000B4B50"/>
    <w:rsid w:val="0000138E"/>
    <w:rsid w:val="00001660"/>
    <w:rsid w:val="00001AD8"/>
    <w:rsid w:val="00001C4A"/>
    <w:rsid w:val="000022A0"/>
    <w:rsid w:val="000032E8"/>
    <w:rsid w:val="00003E25"/>
    <w:rsid w:val="00004BC6"/>
    <w:rsid w:val="000062D9"/>
    <w:rsid w:val="000068E9"/>
    <w:rsid w:val="00006FB5"/>
    <w:rsid w:val="00007D34"/>
    <w:rsid w:val="00011B37"/>
    <w:rsid w:val="00012BA8"/>
    <w:rsid w:val="00013257"/>
    <w:rsid w:val="00014257"/>
    <w:rsid w:val="00016196"/>
    <w:rsid w:val="00016324"/>
    <w:rsid w:val="00016C37"/>
    <w:rsid w:val="0002043B"/>
    <w:rsid w:val="000206DD"/>
    <w:rsid w:val="00020932"/>
    <w:rsid w:val="00020A63"/>
    <w:rsid w:val="00020B20"/>
    <w:rsid w:val="00021D45"/>
    <w:rsid w:val="000222B5"/>
    <w:rsid w:val="000222B7"/>
    <w:rsid w:val="00023194"/>
    <w:rsid w:val="000233FF"/>
    <w:rsid w:val="00023DF0"/>
    <w:rsid w:val="000248D0"/>
    <w:rsid w:val="00024C3F"/>
    <w:rsid w:val="000258E3"/>
    <w:rsid w:val="0002679C"/>
    <w:rsid w:val="0003124F"/>
    <w:rsid w:val="00033522"/>
    <w:rsid w:val="00034447"/>
    <w:rsid w:val="000344E3"/>
    <w:rsid w:val="00034B25"/>
    <w:rsid w:val="00034C6D"/>
    <w:rsid w:val="00034F4F"/>
    <w:rsid w:val="00035C85"/>
    <w:rsid w:val="00036078"/>
    <w:rsid w:val="00037694"/>
    <w:rsid w:val="00037952"/>
    <w:rsid w:val="000413C3"/>
    <w:rsid w:val="00042340"/>
    <w:rsid w:val="000428C5"/>
    <w:rsid w:val="000434D7"/>
    <w:rsid w:val="00044EC0"/>
    <w:rsid w:val="00045276"/>
    <w:rsid w:val="00045C95"/>
    <w:rsid w:val="00047EAA"/>
    <w:rsid w:val="00050A47"/>
    <w:rsid w:val="00051A0D"/>
    <w:rsid w:val="00052072"/>
    <w:rsid w:val="00052293"/>
    <w:rsid w:val="000530FB"/>
    <w:rsid w:val="00053221"/>
    <w:rsid w:val="00054319"/>
    <w:rsid w:val="00054599"/>
    <w:rsid w:val="00054AE9"/>
    <w:rsid w:val="00055990"/>
    <w:rsid w:val="00055CCB"/>
    <w:rsid w:val="0006000B"/>
    <w:rsid w:val="000609AE"/>
    <w:rsid w:val="00060F24"/>
    <w:rsid w:val="00060F9F"/>
    <w:rsid w:val="00062C98"/>
    <w:rsid w:val="00063117"/>
    <w:rsid w:val="00063967"/>
    <w:rsid w:val="0006428A"/>
    <w:rsid w:val="000642C8"/>
    <w:rsid w:val="000645A8"/>
    <w:rsid w:val="0006518F"/>
    <w:rsid w:val="00065BB5"/>
    <w:rsid w:val="00065FEF"/>
    <w:rsid w:val="0006698F"/>
    <w:rsid w:val="00067DA4"/>
    <w:rsid w:val="00067F94"/>
    <w:rsid w:val="0007114F"/>
    <w:rsid w:val="00071156"/>
    <w:rsid w:val="00071E98"/>
    <w:rsid w:val="000722DF"/>
    <w:rsid w:val="0007241D"/>
    <w:rsid w:val="000728C6"/>
    <w:rsid w:val="00072A8E"/>
    <w:rsid w:val="000733D0"/>
    <w:rsid w:val="00074BAB"/>
    <w:rsid w:val="00074F90"/>
    <w:rsid w:val="0007604E"/>
    <w:rsid w:val="00076113"/>
    <w:rsid w:val="00076290"/>
    <w:rsid w:val="00076D45"/>
    <w:rsid w:val="000803D9"/>
    <w:rsid w:val="00080CDD"/>
    <w:rsid w:val="00080D6D"/>
    <w:rsid w:val="000839D1"/>
    <w:rsid w:val="0008494A"/>
    <w:rsid w:val="00084AE2"/>
    <w:rsid w:val="00084BE9"/>
    <w:rsid w:val="00084DFE"/>
    <w:rsid w:val="000851C5"/>
    <w:rsid w:val="00085617"/>
    <w:rsid w:val="00085939"/>
    <w:rsid w:val="000872AB"/>
    <w:rsid w:val="00087B47"/>
    <w:rsid w:val="00090616"/>
    <w:rsid w:val="00091AB6"/>
    <w:rsid w:val="000921B1"/>
    <w:rsid w:val="000927F8"/>
    <w:rsid w:val="00094A52"/>
    <w:rsid w:val="0009517C"/>
    <w:rsid w:val="0009720E"/>
    <w:rsid w:val="000A0F17"/>
    <w:rsid w:val="000A1649"/>
    <w:rsid w:val="000A29A0"/>
    <w:rsid w:val="000A2C28"/>
    <w:rsid w:val="000A6496"/>
    <w:rsid w:val="000A6C6F"/>
    <w:rsid w:val="000A73F3"/>
    <w:rsid w:val="000B203A"/>
    <w:rsid w:val="000B2504"/>
    <w:rsid w:val="000B2D4D"/>
    <w:rsid w:val="000B3310"/>
    <w:rsid w:val="000B37A1"/>
    <w:rsid w:val="000B42D3"/>
    <w:rsid w:val="000B4B50"/>
    <w:rsid w:val="000B528A"/>
    <w:rsid w:val="000B6C09"/>
    <w:rsid w:val="000B7076"/>
    <w:rsid w:val="000B70D5"/>
    <w:rsid w:val="000B7A0A"/>
    <w:rsid w:val="000C07E2"/>
    <w:rsid w:val="000C1672"/>
    <w:rsid w:val="000C183B"/>
    <w:rsid w:val="000C3247"/>
    <w:rsid w:val="000C3F44"/>
    <w:rsid w:val="000C3FC8"/>
    <w:rsid w:val="000C47ED"/>
    <w:rsid w:val="000C522B"/>
    <w:rsid w:val="000C5A46"/>
    <w:rsid w:val="000C672A"/>
    <w:rsid w:val="000C7623"/>
    <w:rsid w:val="000D0A78"/>
    <w:rsid w:val="000D1DDC"/>
    <w:rsid w:val="000D2058"/>
    <w:rsid w:val="000D2335"/>
    <w:rsid w:val="000D2732"/>
    <w:rsid w:val="000D2C5F"/>
    <w:rsid w:val="000D37DB"/>
    <w:rsid w:val="000D48BB"/>
    <w:rsid w:val="000D4CF9"/>
    <w:rsid w:val="000D5290"/>
    <w:rsid w:val="000D5736"/>
    <w:rsid w:val="000D755D"/>
    <w:rsid w:val="000D7FFB"/>
    <w:rsid w:val="000E009E"/>
    <w:rsid w:val="000E0B39"/>
    <w:rsid w:val="000E179F"/>
    <w:rsid w:val="000E1FF3"/>
    <w:rsid w:val="000E2889"/>
    <w:rsid w:val="000E36FB"/>
    <w:rsid w:val="000E42B2"/>
    <w:rsid w:val="000E4305"/>
    <w:rsid w:val="000E431E"/>
    <w:rsid w:val="000E5FDB"/>
    <w:rsid w:val="000E6C46"/>
    <w:rsid w:val="000E6E80"/>
    <w:rsid w:val="000E7C2C"/>
    <w:rsid w:val="000F0F46"/>
    <w:rsid w:val="000F208F"/>
    <w:rsid w:val="000F256B"/>
    <w:rsid w:val="000F34A0"/>
    <w:rsid w:val="000F40EF"/>
    <w:rsid w:val="000F6542"/>
    <w:rsid w:val="000F7B70"/>
    <w:rsid w:val="000F7F9A"/>
    <w:rsid w:val="0010063D"/>
    <w:rsid w:val="001007D9"/>
    <w:rsid w:val="00100883"/>
    <w:rsid w:val="00100FC6"/>
    <w:rsid w:val="00101BF5"/>
    <w:rsid w:val="00102001"/>
    <w:rsid w:val="00102567"/>
    <w:rsid w:val="001026AA"/>
    <w:rsid w:val="00103479"/>
    <w:rsid w:val="00103EA0"/>
    <w:rsid w:val="00103F9B"/>
    <w:rsid w:val="001043D4"/>
    <w:rsid w:val="001049F2"/>
    <w:rsid w:val="001050FA"/>
    <w:rsid w:val="001055CB"/>
    <w:rsid w:val="001063CA"/>
    <w:rsid w:val="00110512"/>
    <w:rsid w:val="001127F5"/>
    <w:rsid w:val="00112C62"/>
    <w:rsid w:val="00114028"/>
    <w:rsid w:val="001176E7"/>
    <w:rsid w:val="00122184"/>
    <w:rsid w:val="001225B9"/>
    <w:rsid w:val="00122FB2"/>
    <w:rsid w:val="00123AFF"/>
    <w:rsid w:val="001240E7"/>
    <w:rsid w:val="00124288"/>
    <w:rsid w:val="00124926"/>
    <w:rsid w:val="00124AD9"/>
    <w:rsid w:val="00124B0C"/>
    <w:rsid w:val="001252DC"/>
    <w:rsid w:val="00125B4D"/>
    <w:rsid w:val="00125D12"/>
    <w:rsid w:val="00131FEA"/>
    <w:rsid w:val="0013278B"/>
    <w:rsid w:val="00132BDB"/>
    <w:rsid w:val="001337BF"/>
    <w:rsid w:val="0013510E"/>
    <w:rsid w:val="00135895"/>
    <w:rsid w:val="00136CF1"/>
    <w:rsid w:val="00136D57"/>
    <w:rsid w:val="00137107"/>
    <w:rsid w:val="001374AD"/>
    <w:rsid w:val="00137BC6"/>
    <w:rsid w:val="00140352"/>
    <w:rsid w:val="001414C3"/>
    <w:rsid w:val="0014172F"/>
    <w:rsid w:val="00141A8D"/>
    <w:rsid w:val="00143F52"/>
    <w:rsid w:val="00144D9A"/>
    <w:rsid w:val="00145DDF"/>
    <w:rsid w:val="00146DBE"/>
    <w:rsid w:val="001476C5"/>
    <w:rsid w:val="00147A23"/>
    <w:rsid w:val="00150323"/>
    <w:rsid w:val="00150662"/>
    <w:rsid w:val="00150957"/>
    <w:rsid w:val="00151EAB"/>
    <w:rsid w:val="00152E86"/>
    <w:rsid w:val="0015328B"/>
    <w:rsid w:val="00153D17"/>
    <w:rsid w:val="001559BA"/>
    <w:rsid w:val="001563D3"/>
    <w:rsid w:val="00156C30"/>
    <w:rsid w:val="00156C58"/>
    <w:rsid w:val="00157A54"/>
    <w:rsid w:val="00160B8E"/>
    <w:rsid w:val="00161F83"/>
    <w:rsid w:val="001628C7"/>
    <w:rsid w:val="00162968"/>
    <w:rsid w:val="001636BD"/>
    <w:rsid w:val="0016454C"/>
    <w:rsid w:val="001647D7"/>
    <w:rsid w:val="0016551A"/>
    <w:rsid w:val="00165C94"/>
    <w:rsid w:val="00166C10"/>
    <w:rsid w:val="00167275"/>
    <w:rsid w:val="00170C80"/>
    <w:rsid w:val="001719F0"/>
    <w:rsid w:val="00171BCE"/>
    <w:rsid w:val="00172771"/>
    <w:rsid w:val="00172B02"/>
    <w:rsid w:val="00174922"/>
    <w:rsid w:val="001751AC"/>
    <w:rsid w:val="0017721B"/>
    <w:rsid w:val="001772F6"/>
    <w:rsid w:val="00182642"/>
    <w:rsid w:val="00182A97"/>
    <w:rsid w:val="001833A5"/>
    <w:rsid w:val="00183B84"/>
    <w:rsid w:val="00183F16"/>
    <w:rsid w:val="00184458"/>
    <w:rsid w:val="00185B77"/>
    <w:rsid w:val="001867B3"/>
    <w:rsid w:val="00186A7E"/>
    <w:rsid w:val="00187335"/>
    <w:rsid w:val="0019115E"/>
    <w:rsid w:val="00192E3A"/>
    <w:rsid w:val="001945F8"/>
    <w:rsid w:val="00194BEC"/>
    <w:rsid w:val="00196BC2"/>
    <w:rsid w:val="001A0640"/>
    <w:rsid w:val="001A1347"/>
    <w:rsid w:val="001A138F"/>
    <w:rsid w:val="001A23F7"/>
    <w:rsid w:val="001A2552"/>
    <w:rsid w:val="001A2556"/>
    <w:rsid w:val="001A3C88"/>
    <w:rsid w:val="001A3F56"/>
    <w:rsid w:val="001A457D"/>
    <w:rsid w:val="001A48F9"/>
    <w:rsid w:val="001A4AC7"/>
    <w:rsid w:val="001B0AAC"/>
    <w:rsid w:val="001B1D92"/>
    <w:rsid w:val="001B27E1"/>
    <w:rsid w:val="001B2DA0"/>
    <w:rsid w:val="001B4822"/>
    <w:rsid w:val="001B584C"/>
    <w:rsid w:val="001B59EF"/>
    <w:rsid w:val="001B62E4"/>
    <w:rsid w:val="001B6C4D"/>
    <w:rsid w:val="001B7B3B"/>
    <w:rsid w:val="001C0B81"/>
    <w:rsid w:val="001C2BB8"/>
    <w:rsid w:val="001C3A56"/>
    <w:rsid w:val="001C44A7"/>
    <w:rsid w:val="001C547D"/>
    <w:rsid w:val="001C5C6D"/>
    <w:rsid w:val="001C644D"/>
    <w:rsid w:val="001C7062"/>
    <w:rsid w:val="001C73FD"/>
    <w:rsid w:val="001C7A93"/>
    <w:rsid w:val="001C7C2A"/>
    <w:rsid w:val="001C7DC0"/>
    <w:rsid w:val="001D0575"/>
    <w:rsid w:val="001D083A"/>
    <w:rsid w:val="001D0909"/>
    <w:rsid w:val="001D0C6B"/>
    <w:rsid w:val="001D138C"/>
    <w:rsid w:val="001D3D3D"/>
    <w:rsid w:val="001D49CF"/>
    <w:rsid w:val="001D5522"/>
    <w:rsid w:val="001D5908"/>
    <w:rsid w:val="001D5E0F"/>
    <w:rsid w:val="001D6528"/>
    <w:rsid w:val="001D7036"/>
    <w:rsid w:val="001E05C9"/>
    <w:rsid w:val="001E098E"/>
    <w:rsid w:val="001E135A"/>
    <w:rsid w:val="001E2544"/>
    <w:rsid w:val="001E2DB2"/>
    <w:rsid w:val="001E3F2F"/>
    <w:rsid w:val="001E4CF8"/>
    <w:rsid w:val="001E4EC4"/>
    <w:rsid w:val="001E72E8"/>
    <w:rsid w:val="001F23CB"/>
    <w:rsid w:val="001F2C2B"/>
    <w:rsid w:val="001F2D7C"/>
    <w:rsid w:val="001F2F9A"/>
    <w:rsid w:val="001F3428"/>
    <w:rsid w:val="001F450E"/>
    <w:rsid w:val="001F458C"/>
    <w:rsid w:val="001F4A89"/>
    <w:rsid w:val="001F4CF8"/>
    <w:rsid w:val="001F500C"/>
    <w:rsid w:val="001F60B8"/>
    <w:rsid w:val="001F620B"/>
    <w:rsid w:val="001F7045"/>
    <w:rsid w:val="001F7F62"/>
    <w:rsid w:val="001F7F91"/>
    <w:rsid w:val="00200D87"/>
    <w:rsid w:val="00201C1E"/>
    <w:rsid w:val="00203124"/>
    <w:rsid w:val="00203453"/>
    <w:rsid w:val="00203A2C"/>
    <w:rsid w:val="0020403B"/>
    <w:rsid w:val="00205723"/>
    <w:rsid w:val="00207392"/>
    <w:rsid w:val="00207595"/>
    <w:rsid w:val="002076D1"/>
    <w:rsid w:val="002114C2"/>
    <w:rsid w:val="002117DB"/>
    <w:rsid w:val="00211EA0"/>
    <w:rsid w:val="00213794"/>
    <w:rsid w:val="00214158"/>
    <w:rsid w:val="002142E1"/>
    <w:rsid w:val="00214959"/>
    <w:rsid w:val="00215775"/>
    <w:rsid w:val="00215EA4"/>
    <w:rsid w:val="00217A08"/>
    <w:rsid w:val="00217E40"/>
    <w:rsid w:val="0022160E"/>
    <w:rsid w:val="00222C74"/>
    <w:rsid w:val="002231B4"/>
    <w:rsid w:val="0022422A"/>
    <w:rsid w:val="00224FB9"/>
    <w:rsid w:val="002263CF"/>
    <w:rsid w:val="00230BC4"/>
    <w:rsid w:val="002317A5"/>
    <w:rsid w:val="00231F8B"/>
    <w:rsid w:val="00232593"/>
    <w:rsid w:val="002344E7"/>
    <w:rsid w:val="0023585F"/>
    <w:rsid w:val="00236C21"/>
    <w:rsid w:val="002377B5"/>
    <w:rsid w:val="00237CD8"/>
    <w:rsid w:val="00237EF1"/>
    <w:rsid w:val="00237F29"/>
    <w:rsid w:val="00240B0B"/>
    <w:rsid w:val="00241511"/>
    <w:rsid w:val="00243029"/>
    <w:rsid w:val="002453ED"/>
    <w:rsid w:val="00245DDB"/>
    <w:rsid w:val="00246004"/>
    <w:rsid w:val="0024667A"/>
    <w:rsid w:val="00246BBC"/>
    <w:rsid w:val="00246BD4"/>
    <w:rsid w:val="0025043C"/>
    <w:rsid w:val="00250693"/>
    <w:rsid w:val="00251C9B"/>
    <w:rsid w:val="00252CF6"/>
    <w:rsid w:val="00252F13"/>
    <w:rsid w:val="00253042"/>
    <w:rsid w:val="0025339A"/>
    <w:rsid w:val="002534D7"/>
    <w:rsid w:val="0026105E"/>
    <w:rsid w:val="00261F3C"/>
    <w:rsid w:val="00264A38"/>
    <w:rsid w:val="00264CDF"/>
    <w:rsid w:val="00266382"/>
    <w:rsid w:val="00266ECD"/>
    <w:rsid w:val="00267534"/>
    <w:rsid w:val="0026770A"/>
    <w:rsid w:val="0027050F"/>
    <w:rsid w:val="002706D1"/>
    <w:rsid w:val="00270FC6"/>
    <w:rsid w:val="002733A7"/>
    <w:rsid w:val="002746DC"/>
    <w:rsid w:val="00274B6B"/>
    <w:rsid w:val="0027569B"/>
    <w:rsid w:val="002764DC"/>
    <w:rsid w:val="002778FA"/>
    <w:rsid w:val="0028040F"/>
    <w:rsid w:val="00280956"/>
    <w:rsid w:val="0028158B"/>
    <w:rsid w:val="002819B6"/>
    <w:rsid w:val="00285541"/>
    <w:rsid w:val="00285C15"/>
    <w:rsid w:val="00285F80"/>
    <w:rsid w:val="002877E8"/>
    <w:rsid w:val="0028792E"/>
    <w:rsid w:val="00290249"/>
    <w:rsid w:val="002912E3"/>
    <w:rsid w:val="0029156E"/>
    <w:rsid w:val="00292209"/>
    <w:rsid w:val="00292A81"/>
    <w:rsid w:val="002932FE"/>
    <w:rsid w:val="00293B92"/>
    <w:rsid w:val="0029425E"/>
    <w:rsid w:val="0029459B"/>
    <w:rsid w:val="00296867"/>
    <w:rsid w:val="00297082"/>
    <w:rsid w:val="002974C9"/>
    <w:rsid w:val="00297A9F"/>
    <w:rsid w:val="002A0B53"/>
    <w:rsid w:val="002A12BD"/>
    <w:rsid w:val="002A16E4"/>
    <w:rsid w:val="002A1774"/>
    <w:rsid w:val="002A1E56"/>
    <w:rsid w:val="002A3DDF"/>
    <w:rsid w:val="002A4315"/>
    <w:rsid w:val="002A5CD0"/>
    <w:rsid w:val="002A6D65"/>
    <w:rsid w:val="002B0E65"/>
    <w:rsid w:val="002B1BBD"/>
    <w:rsid w:val="002B248A"/>
    <w:rsid w:val="002B483E"/>
    <w:rsid w:val="002B533B"/>
    <w:rsid w:val="002B580F"/>
    <w:rsid w:val="002B5AD9"/>
    <w:rsid w:val="002B5D30"/>
    <w:rsid w:val="002B6457"/>
    <w:rsid w:val="002B6A66"/>
    <w:rsid w:val="002B73F9"/>
    <w:rsid w:val="002B7EAC"/>
    <w:rsid w:val="002C0154"/>
    <w:rsid w:val="002C154C"/>
    <w:rsid w:val="002C230B"/>
    <w:rsid w:val="002C2615"/>
    <w:rsid w:val="002C26DD"/>
    <w:rsid w:val="002C3AFF"/>
    <w:rsid w:val="002C3CA3"/>
    <w:rsid w:val="002C4CBC"/>
    <w:rsid w:val="002C5242"/>
    <w:rsid w:val="002C558C"/>
    <w:rsid w:val="002C664B"/>
    <w:rsid w:val="002C7083"/>
    <w:rsid w:val="002C7E04"/>
    <w:rsid w:val="002D00F7"/>
    <w:rsid w:val="002D0266"/>
    <w:rsid w:val="002D072B"/>
    <w:rsid w:val="002D389E"/>
    <w:rsid w:val="002D3B5E"/>
    <w:rsid w:val="002D3BBA"/>
    <w:rsid w:val="002D4024"/>
    <w:rsid w:val="002D41A9"/>
    <w:rsid w:val="002D47FB"/>
    <w:rsid w:val="002D4AAD"/>
    <w:rsid w:val="002D4BA5"/>
    <w:rsid w:val="002D778B"/>
    <w:rsid w:val="002E0158"/>
    <w:rsid w:val="002E2EED"/>
    <w:rsid w:val="002E2FBB"/>
    <w:rsid w:val="002E33DD"/>
    <w:rsid w:val="002E3429"/>
    <w:rsid w:val="002E46AC"/>
    <w:rsid w:val="002E5150"/>
    <w:rsid w:val="002E5535"/>
    <w:rsid w:val="002E5C01"/>
    <w:rsid w:val="002E5D50"/>
    <w:rsid w:val="002E6AE0"/>
    <w:rsid w:val="002E6AE5"/>
    <w:rsid w:val="002F0B32"/>
    <w:rsid w:val="002F0BC6"/>
    <w:rsid w:val="002F1172"/>
    <w:rsid w:val="002F258F"/>
    <w:rsid w:val="002F2D63"/>
    <w:rsid w:val="002F470D"/>
    <w:rsid w:val="002F480F"/>
    <w:rsid w:val="002F4A26"/>
    <w:rsid w:val="002F5DC6"/>
    <w:rsid w:val="002F5E8C"/>
    <w:rsid w:val="002F669E"/>
    <w:rsid w:val="002F7141"/>
    <w:rsid w:val="003008F3"/>
    <w:rsid w:val="00300A21"/>
    <w:rsid w:val="00300A89"/>
    <w:rsid w:val="003011B8"/>
    <w:rsid w:val="00301442"/>
    <w:rsid w:val="003021A1"/>
    <w:rsid w:val="0030574C"/>
    <w:rsid w:val="003066FC"/>
    <w:rsid w:val="00307F0C"/>
    <w:rsid w:val="003100BE"/>
    <w:rsid w:val="0031048B"/>
    <w:rsid w:val="003105D0"/>
    <w:rsid w:val="00311EB4"/>
    <w:rsid w:val="0031292A"/>
    <w:rsid w:val="003136D3"/>
    <w:rsid w:val="00314A8D"/>
    <w:rsid w:val="003150C2"/>
    <w:rsid w:val="00315457"/>
    <w:rsid w:val="00315A64"/>
    <w:rsid w:val="00315DEB"/>
    <w:rsid w:val="00320EBD"/>
    <w:rsid w:val="00321401"/>
    <w:rsid w:val="00321CEB"/>
    <w:rsid w:val="003225DA"/>
    <w:rsid w:val="003226B6"/>
    <w:rsid w:val="00323048"/>
    <w:rsid w:val="00323306"/>
    <w:rsid w:val="003236F8"/>
    <w:rsid w:val="003255F0"/>
    <w:rsid w:val="0032702B"/>
    <w:rsid w:val="003278D2"/>
    <w:rsid w:val="00330685"/>
    <w:rsid w:val="00331424"/>
    <w:rsid w:val="003349E9"/>
    <w:rsid w:val="00334A50"/>
    <w:rsid w:val="00335DF7"/>
    <w:rsid w:val="00335FFD"/>
    <w:rsid w:val="00341780"/>
    <w:rsid w:val="003430D9"/>
    <w:rsid w:val="00345408"/>
    <w:rsid w:val="00345547"/>
    <w:rsid w:val="00350C50"/>
    <w:rsid w:val="00350FF1"/>
    <w:rsid w:val="003525F0"/>
    <w:rsid w:val="00354BBE"/>
    <w:rsid w:val="00355129"/>
    <w:rsid w:val="00356536"/>
    <w:rsid w:val="00356D33"/>
    <w:rsid w:val="00357DE4"/>
    <w:rsid w:val="003605D3"/>
    <w:rsid w:val="00360AF3"/>
    <w:rsid w:val="0036131E"/>
    <w:rsid w:val="003615CA"/>
    <w:rsid w:val="0036402C"/>
    <w:rsid w:val="00364FD2"/>
    <w:rsid w:val="0036541E"/>
    <w:rsid w:val="003668C1"/>
    <w:rsid w:val="00367630"/>
    <w:rsid w:val="003677F7"/>
    <w:rsid w:val="0036780F"/>
    <w:rsid w:val="00371028"/>
    <w:rsid w:val="003715FB"/>
    <w:rsid w:val="00372449"/>
    <w:rsid w:val="00372ECC"/>
    <w:rsid w:val="00374A6C"/>
    <w:rsid w:val="00377E84"/>
    <w:rsid w:val="003801A8"/>
    <w:rsid w:val="00381161"/>
    <w:rsid w:val="00381819"/>
    <w:rsid w:val="00381CA8"/>
    <w:rsid w:val="0038341D"/>
    <w:rsid w:val="003839F3"/>
    <w:rsid w:val="00384871"/>
    <w:rsid w:val="00384D01"/>
    <w:rsid w:val="00385292"/>
    <w:rsid w:val="00385D12"/>
    <w:rsid w:val="00390154"/>
    <w:rsid w:val="0039122F"/>
    <w:rsid w:val="00391837"/>
    <w:rsid w:val="00392DCF"/>
    <w:rsid w:val="0039301A"/>
    <w:rsid w:val="00394013"/>
    <w:rsid w:val="00394720"/>
    <w:rsid w:val="0039497E"/>
    <w:rsid w:val="00394A95"/>
    <w:rsid w:val="00395DFE"/>
    <w:rsid w:val="00396FE7"/>
    <w:rsid w:val="003A0FD0"/>
    <w:rsid w:val="003A2225"/>
    <w:rsid w:val="003A2B1D"/>
    <w:rsid w:val="003A2EBE"/>
    <w:rsid w:val="003A3274"/>
    <w:rsid w:val="003A3E82"/>
    <w:rsid w:val="003A4C1A"/>
    <w:rsid w:val="003A4DF8"/>
    <w:rsid w:val="003A5021"/>
    <w:rsid w:val="003A66CA"/>
    <w:rsid w:val="003A683B"/>
    <w:rsid w:val="003A7170"/>
    <w:rsid w:val="003A7A70"/>
    <w:rsid w:val="003B008D"/>
    <w:rsid w:val="003B19FC"/>
    <w:rsid w:val="003B2537"/>
    <w:rsid w:val="003B2A13"/>
    <w:rsid w:val="003B30D1"/>
    <w:rsid w:val="003B3E30"/>
    <w:rsid w:val="003B42AD"/>
    <w:rsid w:val="003B4EB7"/>
    <w:rsid w:val="003B5836"/>
    <w:rsid w:val="003B63FD"/>
    <w:rsid w:val="003B756F"/>
    <w:rsid w:val="003B78EE"/>
    <w:rsid w:val="003B7C3B"/>
    <w:rsid w:val="003B7D5B"/>
    <w:rsid w:val="003C0B19"/>
    <w:rsid w:val="003C0C6D"/>
    <w:rsid w:val="003C1A7C"/>
    <w:rsid w:val="003C1FEF"/>
    <w:rsid w:val="003C3446"/>
    <w:rsid w:val="003C344D"/>
    <w:rsid w:val="003C3875"/>
    <w:rsid w:val="003C4274"/>
    <w:rsid w:val="003C49FF"/>
    <w:rsid w:val="003C5B01"/>
    <w:rsid w:val="003C6657"/>
    <w:rsid w:val="003C6A54"/>
    <w:rsid w:val="003C77E0"/>
    <w:rsid w:val="003D09E1"/>
    <w:rsid w:val="003D0AC3"/>
    <w:rsid w:val="003D0FAA"/>
    <w:rsid w:val="003D25D9"/>
    <w:rsid w:val="003D29FC"/>
    <w:rsid w:val="003D2CC9"/>
    <w:rsid w:val="003D3248"/>
    <w:rsid w:val="003D3930"/>
    <w:rsid w:val="003D3AB7"/>
    <w:rsid w:val="003D4B33"/>
    <w:rsid w:val="003D4FE2"/>
    <w:rsid w:val="003D5953"/>
    <w:rsid w:val="003D5C9B"/>
    <w:rsid w:val="003D60D1"/>
    <w:rsid w:val="003D659B"/>
    <w:rsid w:val="003D6864"/>
    <w:rsid w:val="003E1DF1"/>
    <w:rsid w:val="003E2A8F"/>
    <w:rsid w:val="003E3CC3"/>
    <w:rsid w:val="003E457F"/>
    <w:rsid w:val="003E53A9"/>
    <w:rsid w:val="003E7BB8"/>
    <w:rsid w:val="003F0B7A"/>
    <w:rsid w:val="003F0C08"/>
    <w:rsid w:val="003F173E"/>
    <w:rsid w:val="003F2E78"/>
    <w:rsid w:val="003F32B5"/>
    <w:rsid w:val="003F33B0"/>
    <w:rsid w:val="003F3478"/>
    <w:rsid w:val="003F3E63"/>
    <w:rsid w:val="003F4003"/>
    <w:rsid w:val="003F4497"/>
    <w:rsid w:val="003F50BD"/>
    <w:rsid w:val="003F565C"/>
    <w:rsid w:val="003F62E4"/>
    <w:rsid w:val="003F69E0"/>
    <w:rsid w:val="003F6D14"/>
    <w:rsid w:val="00401771"/>
    <w:rsid w:val="00401965"/>
    <w:rsid w:val="00401A34"/>
    <w:rsid w:val="00402E58"/>
    <w:rsid w:val="004041D0"/>
    <w:rsid w:val="00407DED"/>
    <w:rsid w:val="00407F58"/>
    <w:rsid w:val="00411511"/>
    <w:rsid w:val="0041152E"/>
    <w:rsid w:val="004116F6"/>
    <w:rsid w:val="00412633"/>
    <w:rsid w:val="0041269D"/>
    <w:rsid w:val="0041397D"/>
    <w:rsid w:val="00413A60"/>
    <w:rsid w:val="004141A2"/>
    <w:rsid w:val="004147B1"/>
    <w:rsid w:val="004149B0"/>
    <w:rsid w:val="004157B7"/>
    <w:rsid w:val="00416AC2"/>
    <w:rsid w:val="00417FB9"/>
    <w:rsid w:val="00420EF1"/>
    <w:rsid w:val="00422D82"/>
    <w:rsid w:val="0042320A"/>
    <w:rsid w:val="00424405"/>
    <w:rsid w:val="00424DEA"/>
    <w:rsid w:val="00424F02"/>
    <w:rsid w:val="00425C01"/>
    <w:rsid w:val="00425C28"/>
    <w:rsid w:val="00427B70"/>
    <w:rsid w:val="00427DCE"/>
    <w:rsid w:val="00427F0F"/>
    <w:rsid w:val="004305D1"/>
    <w:rsid w:val="00435DB5"/>
    <w:rsid w:val="00436994"/>
    <w:rsid w:val="0044038B"/>
    <w:rsid w:val="00440F26"/>
    <w:rsid w:val="00441BA2"/>
    <w:rsid w:val="00441C91"/>
    <w:rsid w:val="00441D1A"/>
    <w:rsid w:val="00442048"/>
    <w:rsid w:val="00442093"/>
    <w:rsid w:val="00443BAD"/>
    <w:rsid w:val="00443ECF"/>
    <w:rsid w:val="004444A6"/>
    <w:rsid w:val="00444928"/>
    <w:rsid w:val="00444AA3"/>
    <w:rsid w:val="00445E29"/>
    <w:rsid w:val="004465BA"/>
    <w:rsid w:val="0044680C"/>
    <w:rsid w:val="00446AC7"/>
    <w:rsid w:val="004510FF"/>
    <w:rsid w:val="004526E2"/>
    <w:rsid w:val="00452F8A"/>
    <w:rsid w:val="00453F6C"/>
    <w:rsid w:val="00454053"/>
    <w:rsid w:val="00454192"/>
    <w:rsid w:val="00454533"/>
    <w:rsid w:val="004545CE"/>
    <w:rsid w:val="00455AE8"/>
    <w:rsid w:val="00455BA8"/>
    <w:rsid w:val="00455C01"/>
    <w:rsid w:val="004563EA"/>
    <w:rsid w:val="004572C7"/>
    <w:rsid w:val="004573BD"/>
    <w:rsid w:val="00457E21"/>
    <w:rsid w:val="00460545"/>
    <w:rsid w:val="0046198B"/>
    <w:rsid w:val="0046207A"/>
    <w:rsid w:val="00462B77"/>
    <w:rsid w:val="0046327D"/>
    <w:rsid w:val="00463CAA"/>
    <w:rsid w:val="00464360"/>
    <w:rsid w:val="004649B9"/>
    <w:rsid w:val="00465F67"/>
    <w:rsid w:val="00467AD8"/>
    <w:rsid w:val="00470859"/>
    <w:rsid w:val="0047117F"/>
    <w:rsid w:val="00471B80"/>
    <w:rsid w:val="00472133"/>
    <w:rsid w:val="004722B1"/>
    <w:rsid w:val="0047244B"/>
    <w:rsid w:val="00473207"/>
    <w:rsid w:val="00473533"/>
    <w:rsid w:val="00474361"/>
    <w:rsid w:val="0047454E"/>
    <w:rsid w:val="00474CA0"/>
    <w:rsid w:val="00475A63"/>
    <w:rsid w:val="00475D40"/>
    <w:rsid w:val="00476B29"/>
    <w:rsid w:val="00476F2A"/>
    <w:rsid w:val="00477B83"/>
    <w:rsid w:val="00477F7D"/>
    <w:rsid w:val="004802AE"/>
    <w:rsid w:val="00483D52"/>
    <w:rsid w:val="0048447C"/>
    <w:rsid w:val="0048452E"/>
    <w:rsid w:val="0048543F"/>
    <w:rsid w:val="00487EBB"/>
    <w:rsid w:val="00490A5D"/>
    <w:rsid w:val="00490DAA"/>
    <w:rsid w:val="00492923"/>
    <w:rsid w:val="0049294D"/>
    <w:rsid w:val="0049514B"/>
    <w:rsid w:val="00496210"/>
    <w:rsid w:val="004964C4"/>
    <w:rsid w:val="0049786E"/>
    <w:rsid w:val="004A115A"/>
    <w:rsid w:val="004A3811"/>
    <w:rsid w:val="004A49C3"/>
    <w:rsid w:val="004A4B47"/>
    <w:rsid w:val="004A55B3"/>
    <w:rsid w:val="004A5656"/>
    <w:rsid w:val="004A5A8A"/>
    <w:rsid w:val="004A5C74"/>
    <w:rsid w:val="004A6383"/>
    <w:rsid w:val="004B0A75"/>
    <w:rsid w:val="004B12C8"/>
    <w:rsid w:val="004B1591"/>
    <w:rsid w:val="004B16F5"/>
    <w:rsid w:val="004B2EAD"/>
    <w:rsid w:val="004B4503"/>
    <w:rsid w:val="004B5105"/>
    <w:rsid w:val="004B5531"/>
    <w:rsid w:val="004B67FE"/>
    <w:rsid w:val="004B796E"/>
    <w:rsid w:val="004C096F"/>
    <w:rsid w:val="004C2934"/>
    <w:rsid w:val="004C2E51"/>
    <w:rsid w:val="004C3F0E"/>
    <w:rsid w:val="004C6450"/>
    <w:rsid w:val="004C7071"/>
    <w:rsid w:val="004D02FD"/>
    <w:rsid w:val="004D057B"/>
    <w:rsid w:val="004D2116"/>
    <w:rsid w:val="004D2C80"/>
    <w:rsid w:val="004D2F82"/>
    <w:rsid w:val="004D35F3"/>
    <w:rsid w:val="004D3711"/>
    <w:rsid w:val="004D41C7"/>
    <w:rsid w:val="004D543B"/>
    <w:rsid w:val="004D6C70"/>
    <w:rsid w:val="004D7C07"/>
    <w:rsid w:val="004E0867"/>
    <w:rsid w:val="004E1A0F"/>
    <w:rsid w:val="004E1D75"/>
    <w:rsid w:val="004E203F"/>
    <w:rsid w:val="004E227F"/>
    <w:rsid w:val="004E3247"/>
    <w:rsid w:val="004E5C7E"/>
    <w:rsid w:val="004E71A3"/>
    <w:rsid w:val="004E73F5"/>
    <w:rsid w:val="004E7D96"/>
    <w:rsid w:val="004F1ABE"/>
    <w:rsid w:val="004F2643"/>
    <w:rsid w:val="004F298B"/>
    <w:rsid w:val="004F3BEF"/>
    <w:rsid w:val="004F4F67"/>
    <w:rsid w:val="004F57FA"/>
    <w:rsid w:val="004F6183"/>
    <w:rsid w:val="004F6659"/>
    <w:rsid w:val="004F7D76"/>
    <w:rsid w:val="00500D2E"/>
    <w:rsid w:val="005013AD"/>
    <w:rsid w:val="0050185E"/>
    <w:rsid w:val="00501D00"/>
    <w:rsid w:val="00503519"/>
    <w:rsid w:val="00503856"/>
    <w:rsid w:val="00505090"/>
    <w:rsid w:val="005056FE"/>
    <w:rsid w:val="005058C5"/>
    <w:rsid w:val="00505AF9"/>
    <w:rsid w:val="005069CD"/>
    <w:rsid w:val="00506E02"/>
    <w:rsid w:val="0050713E"/>
    <w:rsid w:val="005079C1"/>
    <w:rsid w:val="00507A1E"/>
    <w:rsid w:val="005107B4"/>
    <w:rsid w:val="00510A7D"/>
    <w:rsid w:val="00512322"/>
    <w:rsid w:val="0051289F"/>
    <w:rsid w:val="00512A72"/>
    <w:rsid w:val="00512CBD"/>
    <w:rsid w:val="00513294"/>
    <w:rsid w:val="00513479"/>
    <w:rsid w:val="005137A2"/>
    <w:rsid w:val="00513EA7"/>
    <w:rsid w:val="0051591E"/>
    <w:rsid w:val="00515A80"/>
    <w:rsid w:val="005166B6"/>
    <w:rsid w:val="00516950"/>
    <w:rsid w:val="00516FBF"/>
    <w:rsid w:val="005176F7"/>
    <w:rsid w:val="00520262"/>
    <w:rsid w:val="005213AA"/>
    <w:rsid w:val="00521975"/>
    <w:rsid w:val="00521D05"/>
    <w:rsid w:val="00521FE6"/>
    <w:rsid w:val="00522866"/>
    <w:rsid w:val="00522D5D"/>
    <w:rsid w:val="005255E7"/>
    <w:rsid w:val="00526091"/>
    <w:rsid w:val="00526183"/>
    <w:rsid w:val="00526B47"/>
    <w:rsid w:val="00527D8D"/>
    <w:rsid w:val="005307D6"/>
    <w:rsid w:val="005316BD"/>
    <w:rsid w:val="00532350"/>
    <w:rsid w:val="0053267B"/>
    <w:rsid w:val="0053315B"/>
    <w:rsid w:val="00534AE9"/>
    <w:rsid w:val="00535CF5"/>
    <w:rsid w:val="00537365"/>
    <w:rsid w:val="0053771A"/>
    <w:rsid w:val="0053785E"/>
    <w:rsid w:val="00540C7C"/>
    <w:rsid w:val="005416EF"/>
    <w:rsid w:val="00542225"/>
    <w:rsid w:val="00542EC8"/>
    <w:rsid w:val="005430B0"/>
    <w:rsid w:val="00543F41"/>
    <w:rsid w:val="0054408A"/>
    <w:rsid w:val="0054454A"/>
    <w:rsid w:val="00545535"/>
    <w:rsid w:val="005457C0"/>
    <w:rsid w:val="00545F26"/>
    <w:rsid w:val="00547D4C"/>
    <w:rsid w:val="00551235"/>
    <w:rsid w:val="00551E1E"/>
    <w:rsid w:val="0055546B"/>
    <w:rsid w:val="00556E81"/>
    <w:rsid w:val="00557E45"/>
    <w:rsid w:val="00562196"/>
    <w:rsid w:val="005623C2"/>
    <w:rsid w:val="00562B8E"/>
    <w:rsid w:val="0056423E"/>
    <w:rsid w:val="005667DD"/>
    <w:rsid w:val="005674A0"/>
    <w:rsid w:val="00567730"/>
    <w:rsid w:val="00570262"/>
    <w:rsid w:val="0057093C"/>
    <w:rsid w:val="00570E0C"/>
    <w:rsid w:val="00570E77"/>
    <w:rsid w:val="005716FC"/>
    <w:rsid w:val="00573802"/>
    <w:rsid w:val="00574AAC"/>
    <w:rsid w:val="00574CD2"/>
    <w:rsid w:val="00574D69"/>
    <w:rsid w:val="005751EE"/>
    <w:rsid w:val="005758D4"/>
    <w:rsid w:val="00575A59"/>
    <w:rsid w:val="0057677D"/>
    <w:rsid w:val="00577716"/>
    <w:rsid w:val="00577BA5"/>
    <w:rsid w:val="0058149A"/>
    <w:rsid w:val="005819AF"/>
    <w:rsid w:val="00582BCC"/>
    <w:rsid w:val="00582C98"/>
    <w:rsid w:val="00582E2A"/>
    <w:rsid w:val="0058398F"/>
    <w:rsid w:val="00583DF2"/>
    <w:rsid w:val="005856BC"/>
    <w:rsid w:val="00586078"/>
    <w:rsid w:val="005875F1"/>
    <w:rsid w:val="00591CD3"/>
    <w:rsid w:val="00591EBB"/>
    <w:rsid w:val="0059241B"/>
    <w:rsid w:val="0059279D"/>
    <w:rsid w:val="0059577A"/>
    <w:rsid w:val="0059660F"/>
    <w:rsid w:val="00596ECC"/>
    <w:rsid w:val="0059770B"/>
    <w:rsid w:val="00597880"/>
    <w:rsid w:val="005A0B75"/>
    <w:rsid w:val="005A0CD0"/>
    <w:rsid w:val="005A1E13"/>
    <w:rsid w:val="005A2221"/>
    <w:rsid w:val="005A2227"/>
    <w:rsid w:val="005A2900"/>
    <w:rsid w:val="005A4996"/>
    <w:rsid w:val="005A5E14"/>
    <w:rsid w:val="005A6250"/>
    <w:rsid w:val="005A6613"/>
    <w:rsid w:val="005A77C5"/>
    <w:rsid w:val="005B03CD"/>
    <w:rsid w:val="005B09C0"/>
    <w:rsid w:val="005B09DB"/>
    <w:rsid w:val="005B0B57"/>
    <w:rsid w:val="005B1399"/>
    <w:rsid w:val="005B1AAA"/>
    <w:rsid w:val="005B1FDA"/>
    <w:rsid w:val="005B338D"/>
    <w:rsid w:val="005B42AC"/>
    <w:rsid w:val="005B567B"/>
    <w:rsid w:val="005B6BFB"/>
    <w:rsid w:val="005B6E77"/>
    <w:rsid w:val="005B71FA"/>
    <w:rsid w:val="005B7739"/>
    <w:rsid w:val="005B795D"/>
    <w:rsid w:val="005B7A88"/>
    <w:rsid w:val="005B7FF3"/>
    <w:rsid w:val="005C3D3B"/>
    <w:rsid w:val="005C569B"/>
    <w:rsid w:val="005C57A4"/>
    <w:rsid w:val="005C7057"/>
    <w:rsid w:val="005C787C"/>
    <w:rsid w:val="005C7BFB"/>
    <w:rsid w:val="005D1E0F"/>
    <w:rsid w:val="005D22E4"/>
    <w:rsid w:val="005D2F17"/>
    <w:rsid w:val="005D35AA"/>
    <w:rsid w:val="005D3CF0"/>
    <w:rsid w:val="005D4145"/>
    <w:rsid w:val="005D4225"/>
    <w:rsid w:val="005D443C"/>
    <w:rsid w:val="005D5F6D"/>
    <w:rsid w:val="005D6236"/>
    <w:rsid w:val="005D734F"/>
    <w:rsid w:val="005D756E"/>
    <w:rsid w:val="005E04A8"/>
    <w:rsid w:val="005E169F"/>
    <w:rsid w:val="005E1C5F"/>
    <w:rsid w:val="005E2771"/>
    <w:rsid w:val="005E2AED"/>
    <w:rsid w:val="005E2B9E"/>
    <w:rsid w:val="005E2D78"/>
    <w:rsid w:val="005E3E3A"/>
    <w:rsid w:val="005E45A6"/>
    <w:rsid w:val="005E4C67"/>
    <w:rsid w:val="005E50F2"/>
    <w:rsid w:val="005E63A1"/>
    <w:rsid w:val="005E69A7"/>
    <w:rsid w:val="005E6CBE"/>
    <w:rsid w:val="005E798D"/>
    <w:rsid w:val="005F0085"/>
    <w:rsid w:val="005F0090"/>
    <w:rsid w:val="005F044A"/>
    <w:rsid w:val="005F0632"/>
    <w:rsid w:val="005F0B1E"/>
    <w:rsid w:val="005F0BD2"/>
    <w:rsid w:val="005F1439"/>
    <w:rsid w:val="005F2153"/>
    <w:rsid w:val="005F2FA1"/>
    <w:rsid w:val="005F31F4"/>
    <w:rsid w:val="005F3F8D"/>
    <w:rsid w:val="005F3F99"/>
    <w:rsid w:val="005F457B"/>
    <w:rsid w:val="005F4F4E"/>
    <w:rsid w:val="005F61DE"/>
    <w:rsid w:val="005F7BF8"/>
    <w:rsid w:val="005F7C9F"/>
    <w:rsid w:val="006044B2"/>
    <w:rsid w:val="0060563C"/>
    <w:rsid w:val="00606433"/>
    <w:rsid w:val="00607507"/>
    <w:rsid w:val="006076BA"/>
    <w:rsid w:val="00607AE8"/>
    <w:rsid w:val="00611B36"/>
    <w:rsid w:val="00612FB4"/>
    <w:rsid w:val="00612FF4"/>
    <w:rsid w:val="00616CDA"/>
    <w:rsid w:val="00620994"/>
    <w:rsid w:val="00620D95"/>
    <w:rsid w:val="006211DC"/>
    <w:rsid w:val="0062128F"/>
    <w:rsid w:val="00622023"/>
    <w:rsid w:val="00622B6E"/>
    <w:rsid w:val="006237D7"/>
    <w:rsid w:val="00623903"/>
    <w:rsid w:val="006248B8"/>
    <w:rsid w:val="00625E3E"/>
    <w:rsid w:val="006265A9"/>
    <w:rsid w:val="0062731B"/>
    <w:rsid w:val="006300F0"/>
    <w:rsid w:val="0063072B"/>
    <w:rsid w:val="00630E19"/>
    <w:rsid w:val="00631F5A"/>
    <w:rsid w:val="00632CFD"/>
    <w:rsid w:val="006337D2"/>
    <w:rsid w:val="006358C3"/>
    <w:rsid w:val="006369BE"/>
    <w:rsid w:val="00636D1D"/>
    <w:rsid w:val="00637141"/>
    <w:rsid w:val="00637822"/>
    <w:rsid w:val="006406FC"/>
    <w:rsid w:val="00640748"/>
    <w:rsid w:val="0064132D"/>
    <w:rsid w:val="00641790"/>
    <w:rsid w:val="00641C75"/>
    <w:rsid w:val="00642878"/>
    <w:rsid w:val="00643212"/>
    <w:rsid w:val="00643AFB"/>
    <w:rsid w:val="00645C16"/>
    <w:rsid w:val="00646530"/>
    <w:rsid w:val="00646CA3"/>
    <w:rsid w:val="006477DE"/>
    <w:rsid w:val="00647E30"/>
    <w:rsid w:val="006514EE"/>
    <w:rsid w:val="00651E5B"/>
    <w:rsid w:val="006522BB"/>
    <w:rsid w:val="00652D3E"/>
    <w:rsid w:val="006531D7"/>
    <w:rsid w:val="00653690"/>
    <w:rsid w:val="00653717"/>
    <w:rsid w:val="00653A21"/>
    <w:rsid w:val="00654398"/>
    <w:rsid w:val="0065478D"/>
    <w:rsid w:val="00655658"/>
    <w:rsid w:val="00657130"/>
    <w:rsid w:val="00657979"/>
    <w:rsid w:val="006637CB"/>
    <w:rsid w:val="0066381D"/>
    <w:rsid w:val="0066525E"/>
    <w:rsid w:val="006658EB"/>
    <w:rsid w:val="0066602A"/>
    <w:rsid w:val="00666AE6"/>
    <w:rsid w:val="00667018"/>
    <w:rsid w:val="00667BD8"/>
    <w:rsid w:val="00670128"/>
    <w:rsid w:val="006705B9"/>
    <w:rsid w:val="006719EC"/>
    <w:rsid w:val="00671CA8"/>
    <w:rsid w:val="00675EA2"/>
    <w:rsid w:val="00676BE5"/>
    <w:rsid w:val="00677D3E"/>
    <w:rsid w:val="00681F24"/>
    <w:rsid w:val="00682923"/>
    <w:rsid w:val="0068302B"/>
    <w:rsid w:val="00684626"/>
    <w:rsid w:val="00685A42"/>
    <w:rsid w:val="00686A02"/>
    <w:rsid w:val="006922AA"/>
    <w:rsid w:val="00693237"/>
    <w:rsid w:val="00693730"/>
    <w:rsid w:val="00694C7F"/>
    <w:rsid w:val="0069763F"/>
    <w:rsid w:val="006A03F3"/>
    <w:rsid w:val="006A1E55"/>
    <w:rsid w:val="006A2439"/>
    <w:rsid w:val="006A3D88"/>
    <w:rsid w:val="006A4856"/>
    <w:rsid w:val="006A4D0D"/>
    <w:rsid w:val="006A54B4"/>
    <w:rsid w:val="006A5EEB"/>
    <w:rsid w:val="006A6960"/>
    <w:rsid w:val="006A6F6F"/>
    <w:rsid w:val="006A7C1D"/>
    <w:rsid w:val="006B0613"/>
    <w:rsid w:val="006B1331"/>
    <w:rsid w:val="006B1F73"/>
    <w:rsid w:val="006B3274"/>
    <w:rsid w:val="006B48AC"/>
    <w:rsid w:val="006B5279"/>
    <w:rsid w:val="006B5E09"/>
    <w:rsid w:val="006B6D9B"/>
    <w:rsid w:val="006B7B41"/>
    <w:rsid w:val="006B7FCB"/>
    <w:rsid w:val="006C0A8F"/>
    <w:rsid w:val="006C1E10"/>
    <w:rsid w:val="006C1E69"/>
    <w:rsid w:val="006C33E2"/>
    <w:rsid w:val="006C46D9"/>
    <w:rsid w:val="006C5A53"/>
    <w:rsid w:val="006C5BF2"/>
    <w:rsid w:val="006C6056"/>
    <w:rsid w:val="006C6548"/>
    <w:rsid w:val="006C736D"/>
    <w:rsid w:val="006C7376"/>
    <w:rsid w:val="006D0A7D"/>
    <w:rsid w:val="006D202B"/>
    <w:rsid w:val="006D2BB5"/>
    <w:rsid w:val="006D438C"/>
    <w:rsid w:val="006D43BF"/>
    <w:rsid w:val="006D496F"/>
    <w:rsid w:val="006D5723"/>
    <w:rsid w:val="006D5CF6"/>
    <w:rsid w:val="006D66F0"/>
    <w:rsid w:val="006D6F8D"/>
    <w:rsid w:val="006D7187"/>
    <w:rsid w:val="006D7741"/>
    <w:rsid w:val="006D7D49"/>
    <w:rsid w:val="006E0005"/>
    <w:rsid w:val="006E0255"/>
    <w:rsid w:val="006E0D08"/>
    <w:rsid w:val="006E0E7E"/>
    <w:rsid w:val="006E12DD"/>
    <w:rsid w:val="006E23DE"/>
    <w:rsid w:val="006E3384"/>
    <w:rsid w:val="006E4B9D"/>
    <w:rsid w:val="006E4E49"/>
    <w:rsid w:val="006F02F8"/>
    <w:rsid w:val="006F1256"/>
    <w:rsid w:val="006F1A14"/>
    <w:rsid w:val="006F2912"/>
    <w:rsid w:val="006F2A74"/>
    <w:rsid w:val="006F3057"/>
    <w:rsid w:val="006F46F7"/>
    <w:rsid w:val="006F4E51"/>
    <w:rsid w:val="006F50C2"/>
    <w:rsid w:val="006F7612"/>
    <w:rsid w:val="006F7D8D"/>
    <w:rsid w:val="00700F8B"/>
    <w:rsid w:val="007021AE"/>
    <w:rsid w:val="007029BF"/>
    <w:rsid w:val="00703978"/>
    <w:rsid w:val="0070440B"/>
    <w:rsid w:val="007047CE"/>
    <w:rsid w:val="007051C9"/>
    <w:rsid w:val="00705401"/>
    <w:rsid w:val="00705B33"/>
    <w:rsid w:val="00706E76"/>
    <w:rsid w:val="00711587"/>
    <w:rsid w:val="00711F3A"/>
    <w:rsid w:val="00713618"/>
    <w:rsid w:val="007143B2"/>
    <w:rsid w:val="007153DB"/>
    <w:rsid w:val="0071602F"/>
    <w:rsid w:val="00716355"/>
    <w:rsid w:val="0071792F"/>
    <w:rsid w:val="0072178F"/>
    <w:rsid w:val="007217B6"/>
    <w:rsid w:val="007219BD"/>
    <w:rsid w:val="00721FA4"/>
    <w:rsid w:val="00722142"/>
    <w:rsid w:val="00722578"/>
    <w:rsid w:val="00723CF2"/>
    <w:rsid w:val="007253A2"/>
    <w:rsid w:val="007256D8"/>
    <w:rsid w:val="007257BA"/>
    <w:rsid w:val="007263CA"/>
    <w:rsid w:val="007276E2"/>
    <w:rsid w:val="00727948"/>
    <w:rsid w:val="00727D8F"/>
    <w:rsid w:val="00730409"/>
    <w:rsid w:val="00730645"/>
    <w:rsid w:val="00730AEA"/>
    <w:rsid w:val="00731263"/>
    <w:rsid w:val="00733547"/>
    <w:rsid w:val="00733E89"/>
    <w:rsid w:val="0073543D"/>
    <w:rsid w:val="007354C2"/>
    <w:rsid w:val="007363C6"/>
    <w:rsid w:val="0073648B"/>
    <w:rsid w:val="007376E9"/>
    <w:rsid w:val="007379FF"/>
    <w:rsid w:val="00740067"/>
    <w:rsid w:val="007409E2"/>
    <w:rsid w:val="00741359"/>
    <w:rsid w:val="00741881"/>
    <w:rsid w:val="00741F6F"/>
    <w:rsid w:val="00742657"/>
    <w:rsid w:val="00742EC6"/>
    <w:rsid w:val="0074351A"/>
    <w:rsid w:val="007460AC"/>
    <w:rsid w:val="007460AF"/>
    <w:rsid w:val="007460B5"/>
    <w:rsid w:val="007461EE"/>
    <w:rsid w:val="0074679D"/>
    <w:rsid w:val="00746C0E"/>
    <w:rsid w:val="00750A42"/>
    <w:rsid w:val="00750BB4"/>
    <w:rsid w:val="00750E47"/>
    <w:rsid w:val="00751B8C"/>
    <w:rsid w:val="00751BE8"/>
    <w:rsid w:val="00751E08"/>
    <w:rsid w:val="007525DB"/>
    <w:rsid w:val="00753AAC"/>
    <w:rsid w:val="007542AB"/>
    <w:rsid w:val="00754770"/>
    <w:rsid w:val="00755247"/>
    <w:rsid w:val="00755E41"/>
    <w:rsid w:val="007565BF"/>
    <w:rsid w:val="00756A71"/>
    <w:rsid w:val="00756C49"/>
    <w:rsid w:val="00757AC5"/>
    <w:rsid w:val="0076067D"/>
    <w:rsid w:val="00760F69"/>
    <w:rsid w:val="00761FBA"/>
    <w:rsid w:val="007624D8"/>
    <w:rsid w:val="00762F20"/>
    <w:rsid w:val="007643E5"/>
    <w:rsid w:val="007651A7"/>
    <w:rsid w:val="00765612"/>
    <w:rsid w:val="00765FD2"/>
    <w:rsid w:val="0077047B"/>
    <w:rsid w:val="0077075C"/>
    <w:rsid w:val="00770D53"/>
    <w:rsid w:val="0077155D"/>
    <w:rsid w:val="007715D5"/>
    <w:rsid w:val="00771617"/>
    <w:rsid w:val="00772131"/>
    <w:rsid w:val="00772AD2"/>
    <w:rsid w:val="007740EC"/>
    <w:rsid w:val="00774738"/>
    <w:rsid w:val="007765B4"/>
    <w:rsid w:val="007769CD"/>
    <w:rsid w:val="00776C3B"/>
    <w:rsid w:val="007802A1"/>
    <w:rsid w:val="007810A6"/>
    <w:rsid w:val="0078148F"/>
    <w:rsid w:val="00782F38"/>
    <w:rsid w:val="007831C2"/>
    <w:rsid w:val="00783E22"/>
    <w:rsid w:val="00784B08"/>
    <w:rsid w:val="00785200"/>
    <w:rsid w:val="007856A0"/>
    <w:rsid w:val="00785B3D"/>
    <w:rsid w:val="00785E6B"/>
    <w:rsid w:val="00787E79"/>
    <w:rsid w:val="00790671"/>
    <w:rsid w:val="007933E2"/>
    <w:rsid w:val="00793A88"/>
    <w:rsid w:val="007947B3"/>
    <w:rsid w:val="007955D1"/>
    <w:rsid w:val="00797507"/>
    <w:rsid w:val="00797831"/>
    <w:rsid w:val="00797C71"/>
    <w:rsid w:val="007A0581"/>
    <w:rsid w:val="007A06FA"/>
    <w:rsid w:val="007A0FDE"/>
    <w:rsid w:val="007A1A17"/>
    <w:rsid w:val="007A323E"/>
    <w:rsid w:val="007A37D0"/>
    <w:rsid w:val="007A4583"/>
    <w:rsid w:val="007A4D86"/>
    <w:rsid w:val="007A588F"/>
    <w:rsid w:val="007A64D2"/>
    <w:rsid w:val="007A7121"/>
    <w:rsid w:val="007A764B"/>
    <w:rsid w:val="007A7D59"/>
    <w:rsid w:val="007B18B3"/>
    <w:rsid w:val="007B2440"/>
    <w:rsid w:val="007B53EC"/>
    <w:rsid w:val="007B5AD3"/>
    <w:rsid w:val="007B6EB3"/>
    <w:rsid w:val="007B7342"/>
    <w:rsid w:val="007B75AE"/>
    <w:rsid w:val="007B7E9E"/>
    <w:rsid w:val="007C01B1"/>
    <w:rsid w:val="007C1122"/>
    <w:rsid w:val="007C14B9"/>
    <w:rsid w:val="007C16A7"/>
    <w:rsid w:val="007C2037"/>
    <w:rsid w:val="007C20F5"/>
    <w:rsid w:val="007C22EE"/>
    <w:rsid w:val="007C2D50"/>
    <w:rsid w:val="007C40D6"/>
    <w:rsid w:val="007C571C"/>
    <w:rsid w:val="007C5A2E"/>
    <w:rsid w:val="007C5A85"/>
    <w:rsid w:val="007C7EAC"/>
    <w:rsid w:val="007D10BE"/>
    <w:rsid w:val="007D1544"/>
    <w:rsid w:val="007D19E3"/>
    <w:rsid w:val="007D1B8E"/>
    <w:rsid w:val="007D1F78"/>
    <w:rsid w:val="007D2531"/>
    <w:rsid w:val="007D2E61"/>
    <w:rsid w:val="007D3110"/>
    <w:rsid w:val="007D57ED"/>
    <w:rsid w:val="007D6830"/>
    <w:rsid w:val="007E1D36"/>
    <w:rsid w:val="007E1F5D"/>
    <w:rsid w:val="007E2E4B"/>
    <w:rsid w:val="007E33D0"/>
    <w:rsid w:val="007E3AEC"/>
    <w:rsid w:val="007E402F"/>
    <w:rsid w:val="007E455B"/>
    <w:rsid w:val="007E47BF"/>
    <w:rsid w:val="007E5698"/>
    <w:rsid w:val="007E5A95"/>
    <w:rsid w:val="007E6512"/>
    <w:rsid w:val="007F02F4"/>
    <w:rsid w:val="007F0C57"/>
    <w:rsid w:val="007F1D12"/>
    <w:rsid w:val="007F2007"/>
    <w:rsid w:val="007F248B"/>
    <w:rsid w:val="007F3126"/>
    <w:rsid w:val="007F3932"/>
    <w:rsid w:val="007F45E3"/>
    <w:rsid w:val="007F4B76"/>
    <w:rsid w:val="007F4CE7"/>
    <w:rsid w:val="007F4D2D"/>
    <w:rsid w:val="007F6396"/>
    <w:rsid w:val="007F795A"/>
    <w:rsid w:val="0080013E"/>
    <w:rsid w:val="00800E14"/>
    <w:rsid w:val="00802FF5"/>
    <w:rsid w:val="0080335E"/>
    <w:rsid w:val="00805EE0"/>
    <w:rsid w:val="00807855"/>
    <w:rsid w:val="008102E5"/>
    <w:rsid w:val="00810B86"/>
    <w:rsid w:val="008118CE"/>
    <w:rsid w:val="0081525B"/>
    <w:rsid w:val="00816A66"/>
    <w:rsid w:val="00817ED7"/>
    <w:rsid w:val="00817F0D"/>
    <w:rsid w:val="00821870"/>
    <w:rsid w:val="008236AA"/>
    <w:rsid w:val="008249D7"/>
    <w:rsid w:val="00825602"/>
    <w:rsid w:val="008263ED"/>
    <w:rsid w:val="00826F69"/>
    <w:rsid w:val="00827714"/>
    <w:rsid w:val="00830423"/>
    <w:rsid w:val="008306EC"/>
    <w:rsid w:val="00830C08"/>
    <w:rsid w:val="0083123D"/>
    <w:rsid w:val="00832696"/>
    <w:rsid w:val="00832C10"/>
    <w:rsid w:val="00833B1F"/>
    <w:rsid w:val="00833C90"/>
    <w:rsid w:val="0083402C"/>
    <w:rsid w:val="0083509B"/>
    <w:rsid w:val="008368EC"/>
    <w:rsid w:val="00836CC2"/>
    <w:rsid w:val="00836EB5"/>
    <w:rsid w:val="00840380"/>
    <w:rsid w:val="00840A7B"/>
    <w:rsid w:val="008417D8"/>
    <w:rsid w:val="00846D89"/>
    <w:rsid w:val="00847D93"/>
    <w:rsid w:val="008505CC"/>
    <w:rsid w:val="00850AEE"/>
    <w:rsid w:val="00850AF2"/>
    <w:rsid w:val="00851682"/>
    <w:rsid w:val="00851871"/>
    <w:rsid w:val="00852550"/>
    <w:rsid w:val="008531C2"/>
    <w:rsid w:val="008531F8"/>
    <w:rsid w:val="0085463B"/>
    <w:rsid w:val="008559BD"/>
    <w:rsid w:val="00856C54"/>
    <w:rsid w:val="008576EE"/>
    <w:rsid w:val="00860826"/>
    <w:rsid w:val="00861035"/>
    <w:rsid w:val="00861E2E"/>
    <w:rsid w:val="00863237"/>
    <w:rsid w:val="00863BDE"/>
    <w:rsid w:val="0086451E"/>
    <w:rsid w:val="00865387"/>
    <w:rsid w:val="00865666"/>
    <w:rsid w:val="00866727"/>
    <w:rsid w:val="00866DA2"/>
    <w:rsid w:val="00870D97"/>
    <w:rsid w:val="00872B22"/>
    <w:rsid w:val="00872B34"/>
    <w:rsid w:val="00872E2D"/>
    <w:rsid w:val="00874FAE"/>
    <w:rsid w:val="00875FBC"/>
    <w:rsid w:val="008762A3"/>
    <w:rsid w:val="0088093A"/>
    <w:rsid w:val="008812CD"/>
    <w:rsid w:val="008822DA"/>
    <w:rsid w:val="008826E6"/>
    <w:rsid w:val="00882C90"/>
    <w:rsid w:val="0088368A"/>
    <w:rsid w:val="00884ACA"/>
    <w:rsid w:val="00885C11"/>
    <w:rsid w:val="00885C1B"/>
    <w:rsid w:val="00886218"/>
    <w:rsid w:val="008877D9"/>
    <w:rsid w:val="00887B06"/>
    <w:rsid w:val="00890D4C"/>
    <w:rsid w:val="00893C58"/>
    <w:rsid w:val="0089437B"/>
    <w:rsid w:val="0089696A"/>
    <w:rsid w:val="00896FBA"/>
    <w:rsid w:val="0089731A"/>
    <w:rsid w:val="008974BD"/>
    <w:rsid w:val="008A038E"/>
    <w:rsid w:val="008A1077"/>
    <w:rsid w:val="008A13D0"/>
    <w:rsid w:val="008A3057"/>
    <w:rsid w:val="008A34F4"/>
    <w:rsid w:val="008A3E49"/>
    <w:rsid w:val="008A3F66"/>
    <w:rsid w:val="008A4EED"/>
    <w:rsid w:val="008A5445"/>
    <w:rsid w:val="008A5687"/>
    <w:rsid w:val="008A5CA1"/>
    <w:rsid w:val="008A6446"/>
    <w:rsid w:val="008A754B"/>
    <w:rsid w:val="008A7B08"/>
    <w:rsid w:val="008A7C96"/>
    <w:rsid w:val="008B1530"/>
    <w:rsid w:val="008B348A"/>
    <w:rsid w:val="008B3606"/>
    <w:rsid w:val="008B4876"/>
    <w:rsid w:val="008B54B8"/>
    <w:rsid w:val="008B6946"/>
    <w:rsid w:val="008B6D0F"/>
    <w:rsid w:val="008B799B"/>
    <w:rsid w:val="008B7B15"/>
    <w:rsid w:val="008B7C14"/>
    <w:rsid w:val="008C0179"/>
    <w:rsid w:val="008C0345"/>
    <w:rsid w:val="008C0387"/>
    <w:rsid w:val="008C0B89"/>
    <w:rsid w:val="008C320F"/>
    <w:rsid w:val="008C3F1D"/>
    <w:rsid w:val="008C4775"/>
    <w:rsid w:val="008C4F6F"/>
    <w:rsid w:val="008C573B"/>
    <w:rsid w:val="008C5C2C"/>
    <w:rsid w:val="008C7092"/>
    <w:rsid w:val="008C75E0"/>
    <w:rsid w:val="008D0EBA"/>
    <w:rsid w:val="008D1A0E"/>
    <w:rsid w:val="008D1D00"/>
    <w:rsid w:val="008D42A2"/>
    <w:rsid w:val="008D4889"/>
    <w:rsid w:val="008D5A86"/>
    <w:rsid w:val="008D72FC"/>
    <w:rsid w:val="008D7C79"/>
    <w:rsid w:val="008E0DF0"/>
    <w:rsid w:val="008E168A"/>
    <w:rsid w:val="008E2645"/>
    <w:rsid w:val="008E3F27"/>
    <w:rsid w:val="008E4883"/>
    <w:rsid w:val="008E48B6"/>
    <w:rsid w:val="008E4C65"/>
    <w:rsid w:val="008E51AD"/>
    <w:rsid w:val="008E6185"/>
    <w:rsid w:val="008E7960"/>
    <w:rsid w:val="008F0287"/>
    <w:rsid w:val="008F0C3D"/>
    <w:rsid w:val="008F0D25"/>
    <w:rsid w:val="008F18FF"/>
    <w:rsid w:val="008F193F"/>
    <w:rsid w:val="008F203A"/>
    <w:rsid w:val="008F2C78"/>
    <w:rsid w:val="008F60BC"/>
    <w:rsid w:val="008F6161"/>
    <w:rsid w:val="008F6657"/>
    <w:rsid w:val="008F66CF"/>
    <w:rsid w:val="008F79F2"/>
    <w:rsid w:val="008F7D29"/>
    <w:rsid w:val="00900A8E"/>
    <w:rsid w:val="00900F63"/>
    <w:rsid w:val="009015B0"/>
    <w:rsid w:val="009023B1"/>
    <w:rsid w:val="00902435"/>
    <w:rsid w:val="00903063"/>
    <w:rsid w:val="0090350F"/>
    <w:rsid w:val="00903C11"/>
    <w:rsid w:val="00903FC2"/>
    <w:rsid w:val="00905C92"/>
    <w:rsid w:val="00906204"/>
    <w:rsid w:val="009069FB"/>
    <w:rsid w:val="0090737D"/>
    <w:rsid w:val="009075C5"/>
    <w:rsid w:val="00910577"/>
    <w:rsid w:val="00912446"/>
    <w:rsid w:val="0091341B"/>
    <w:rsid w:val="009148BD"/>
    <w:rsid w:val="00916488"/>
    <w:rsid w:val="00916FD7"/>
    <w:rsid w:val="00917188"/>
    <w:rsid w:val="00917607"/>
    <w:rsid w:val="0092072A"/>
    <w:rsid w:val="00920C7E"/>
    <w:rsid w:val="009211AC"/>
    <w:rsid w:val="009212B2"/>
    <w:rsid w:val="0092312F"/>
    <w:rsid w:val="009238CA"/>
    <w:rsid w:val="00925BC7"/>
    <w:rsid w:val="00926AA3"/>
    <w:rsid w:val="00926C6D"/>
    <w:rsid w:val="00927FE3"/>
    <w:rsid w:val="00930167"/>
    <w:rsid w:val="0093125B"/>
    <w:rsid w:val="009313E8"/>
    <w:rsid w:val="0093148A"/>
    <w:rsid w:val="0093173E"/>
    <w:rsid w:val="00932535"/>
    <w:rsid w:val="009329DE"/>
    <w:rsid w:val="00932A5C"/>
    <w:rsid w:val="00933061"/>
    <w:rsid w:val="00933865"/>
    <w:rsid w:val="00934E7A"/>
    <w:rsid w:val="0093526A"/>
    <w:rsid w:val="00935D15"/>
    <w:rsid w:val="009377CD"/>
    <w:rsid w:val="00937D92"/>
    <w:rsid w:val="009403F6"/>
    <w:rsid w:val="00940478"/>
    <w:rsid w:val="009406F8"/>
    <w:rsid w:val="00940DED"/>
    <w:rsid w:val="00941617"/>
    <w:rsid w:val="00942D92"/>
    <w:rsid w:val="009436AE"/>
    <w:rsid w:val="00943733"/>
    <w:rsid w:val="00943BA7"/>
    <w:rsid w:val="00943C7C"/>
    <w:rsid w:val="00943CD9"/>
    <w:rsid w:val="00943DFD"/>
    <w:rsid w:val="0094454E"/>
    <w:rsid w:val="00944721"/>
    <w:rsid w:val="00944EEB"/>
    <w:rsid w:val="009461AD"/>
    <w:rsid w:val="009469C7"/>
    <w:rsid w:val="00947E80"/>
    <w:rsid w:val="00950AB2"/>
    <w:rsid w:val="00951103"/>
    <w:rsid w:val="009518EC"/>
    <w:rsid w:val="00953022"/>
    <w:rsid w:val="0095330E"/>
    <w:rsid w:val="00954A3E"/>
    <w:rsid w:val="00955DB5"/>
    <w:rsid w:val="00955DCB"/>
    <w:rsid w:val="009575AB"/>
    <w:rsid w:val="00960A7A"/>
    <w:rsid w:val="00960AF1"/>
    <w:rsid w:val="00960B5D"/>
    <w:rsid w:val="0096391A"/>
    <w:rsid w:val="00963EF1"/>
    <w:rsid w:val="00964ADC"/>
    <w:rsid w:val="00964D88"/>
    <w:rsid w:val="009650B5"/>
    <w:rsid w:val="009667C8"/>
    <w:rsid w:val="00967187"/>
    <w:rsid w:val="00967B34"/>
    <w:rsid w:val="009707BC"/>
    <w:rsid w:val="009712A5"/>
    <w:rsid w:val="009713B2"/>
    <w:rsid w:val="009713FF"/>
    <w:rsid w:val="00971954"/>
    <w:rsid w:val="009726E9"/>
    <w:rsid w:val="00972E80"/>
    <w:rsid w:val="00973943"/>
    <w:rsid w:val="00973B2C"/>
    <w:rsid w:val="00973BAC"/>
    <w:rsid w:val="00975016"/>
    <w:rsid w:val="00975094"/>
    <w:rsid w:val="00976093"/>
    <w:rsid w:val="00977510"/>
    <w:rsid w:val="0098032B"/>
    <w:rsid w:val="009803FF"/>
    <w:rsid w:val="00980B5F"/>
    <w:rsid w:val="00984F93"/>
    <w:rsid w:val="009854C6"/>
    <w:rsid w:val="00985AB6"/>
    <w:rsid w:val="00986AC7"/>
    <w:rsid w:val="00987176"/>
    <w:rsid w:val="00987634"/>
    <w:rsid w:val="00990FA9"/>
    <w:rsid w:val="00991182"/>
    <w:rsid w:val="0099120E"/>
    <w:rsid w:val="0099164B"/>
    <w:rsid w:val="009923A4"/>
    <w:rsid w:val="0099459E"/>
    <w:rsid w:val="00994FE2"/>
    <w:rsid w:val="00995043"/>
    <w:rsid w:val="0099687E"/>
    <w:rsid w:val="00997367"/>
    <w:rsid w:val="0099776B"/>
    <w:rsid w:val="009979D6"/>
    <w:rsid w:val="009A015A"/>
    <w:rsid w:val="009A03FD"/>
    <w:rsid w:val="009A0B1F"/>
    <w:rsid w:val="009A0E6C"/>
    <w:rsid w:val="009A0FBC"/>
    <w:rsid w:val="009A13CA"/>
    <w:rsid w:val="009A1BFB"/>
    <w:rsid w:val="009A1C33"/>
    <w:rsid w:val="009A1F31"/>
    <w:rsid w:val="009A2009"/>
    <w:rsid w:val="009A3CBA"/>
    <w:rsid w:val="009A41E1"/>
    <w:rsid w:val="009A4720"/>
    <w:rsid w:val="009A4BFA"/>
    <w:rsid w:val="009A4E80"/>
    <w:rsid w:val="009A5311"/>
    <w:rsid w:val="009A54D4"/>
    <w:rsid w:val="009A66BD"/>
    <w:rsid w:val="009A6D2A"/>
    <w:rsid w:val="009A73DF"/>
    <w:rsid w:val="009B04FE"/>
    <w:rsid w:val="009B0DD2"/>
    <w:rsid w:val="009B11CA"/>
    <w:rsid w:val="009B2803"/>
    <w:rsid w:val="009B3D27"/>
    <w:rsid w:val="009B40F2"/>
    <w:rsid w:val="009B531E"/>
    <w:rsid w:val="009B57B4"/>
    <w:rsid w:val="009B5CA9"/>
    <w:rsid w:val="009B64C4"/>
    <w:rsid w:val="009B6E42"/>
    <w:rsid w:val="009B7AC1"/>
    <w:rsid w:val="009C0082"/>
    <w:rsid w:val="009C00D5"/>
    <w:rsid w:val="009C01B6"/>
    <w:rsid w:val="009C04F6"/>
    <w:rsid w:val="009C0ED4"/>
    <w:rsid w:val="009C1EC7"/>
    <w:rsid w:val="009C2981"/>
    <w:rsid w:val="009C3CF9"/>
    <w:rsid w:val="009C3E9B"/>
    <w:rsid w:val="009C4267"/>
    <w:rsid w:val="009C48DF"/>
    <w:rsid w:val="009C5F23"/>
    <w:rsid w:val="009C6242"/>
    <w:rsid w:val="009C6615"/>
    <w:rsid w:val="009C6D31"/>
    <w:rsid w:val="009C6E3E"/>
    <w:rsid w:val="009C799A"/>
    <w:rsid w:val="009C7D01"/>
    <w:rsid w:val="009C7FA8"/>
    <w:rsid w:val="009D0B04"/>
    <w:rsid w:val="009D0B58"/>
    <w:rsid w:val="009D1259"/>
    <w:rsid w:val="009D1B97"/>
    <w:rsid w:val="009D21B7"/>
    <w:rsid w:val="009D2240"/>
    <w:rsid w:val="009D239C"/>
    <w:rsid w:val="009D28BB"/>
    <w:rsid w:val="009D2C3F"/>
    <w:rsid w:val="009D3335"/>
    <w:rsid w:val="009D486A"/>
    <w:rsid w:val="009D4AE3"/>
    <w:rsid w:val="009D5E84"/>
    <w:rsid w:val="009D64BA"/>
    <w:rsid w:val="009D662A"/>
    <w:rsid w:val="009D6BCD"/>
    <w:rsid w:val="009E022E"/>
    <w:rsid w:val="009E08E3"/>
    <w:rsid w:val="009E2018"/>
    <w:rsid w:val="009E33B1"/>
    <w:rsid w:val="009E3C68"/>
    <w:rsid w:val="009E41A4"/>
    <w:rsid w:val="009E475A"/>
    <w:rsid w:val="009E4B01"/>
    <w:rsid w:val="009E59A8"/>
    <w:rsid w:val="009E6A46"/>
    <w:rsid w:val="009E7113"/>
    <w:rsid w:val="009E78CF"/>
    <w:rsid w:val="009F1576"/>
    <w:rsid w:val="009F2096"/>
    <w:rsid w:val="009F3E83"/>
    <w:rsid w:val="009F4E4B"/>
    <w:rsid w:val="009F6A08"/>
    <w:rsid w:val="009F7AFC"/>
    <w:rsid w:val="00A00DAD"/>
    <w:rsid w:val="00A01B79"/>
    <w:rsid w:val="00A02582"/>
    <w:rsid w:val="00A0457C"/>
    <w:rsid w:val="00A049FF"/>
    <w:rsid w:val="00A04C08"/>
    <w:rsid w:val="00A055D4"/>
    <w:rsid w:val="00A05DCF"/>
    <w:rsid w:val="00A06065"/>
    <w:rsid w:val="00A06811"/>
    <w:rsid w:val="00A06FB0"/>
    <w:rsid w:val="00A0716B"/>
    <w:rsid w:val="00A0763D"/>
    <w:rsid w:val="00A07AA1"/>
    <w:rsid w:val="00A12A55"/>
    <w:rsid w:val="00A142A9"/>
    <w:rsid w:val="00A14324"/>
    <w:rsid w:val="00A15D50"/>
    <w:rsid w:val="00A16D87"/>
    <w:rsid w:val="00A17B74"/>
    <w:rsid w:val="00A17FE4"/>
    <w:rsid w:val="00A201F8"/>
    <w:rsid w:val="00A20273"/>
    <w:rsid w:val="00A2072C"/>
    <w:rsid w:val="00A2102C"/>
    <w:rsid w:val="00A22A52"/>
    <w:rsid w:val="00A233F2"/>
    <w:rsid w:val="00A234EB"/>
    <w:rsid w:val="00A23851"/>
    <w:rsid w:val="00A240E5"/>
    <w:rsid w:val="00A253FC"/>
    <w:rsid w:val="00A25B10"/>
    <w:rsid w:val="00A264F2"/>
    <w:rsid w:val="00A2653B"/>
    <w:rsid w:val="00A27D6D"/>
    <w:rsid w:val="00A303D2"/>
    <w:rsid w:val="00A30D2D"/>
    <w:rsid w:val="00A31BA4"/>
    <w:rsid w:val="00A32595"/>
    <w:rsid w:val="00A333D4"/>
    <w:rsid w:val="00A33CAE"/>
    <w:rsid w:val="00A36235"/>
    <w:rsid w:val="00A36B0F"/>
    <w:rsid w:val="00A37A90"/>
    <w:rsid w:val="00A40F6F"/>
    <w:rsid w:val="00A440AE"/>
    <w:rsid w:val="00A458CB"/>
    <w:rsid w:val="00A46F8F"/>
    <w:rsid w:val="00A500DC"/>
    <w:rsid w:val="00A54842"/>
    <w:rsid w:val="00A5509B"/>
    <w:rsid w:val="00A5727D"/>
    <w:rsid w:val="00A57292"/>
    <w:rsid w:val="00A60E96"/>
    <w:rsid w:val="00A612A7"/>
    <w:rsid w:val="00A61ABD"/>
    <w:rsid w:val="00A6241E"/>
    <w:rsid w:val="00A6260F"/>
    <w:rsid w:val="00A62CAD"/>
    <w:rsid w:val="00A62D04"/>
    <w:rsid w:val="00A633BE"/>
    <w:rsid w:val="00A64F4D"/>
    <w:rsid w:val="00A65032"/>
    <w:rsid w:val="00A6559B"/>
    <w:rsid w:val="00A659FE"/>
    <w:rsid w:val="00A71C98"/>
    <w:rsid w:val="00A724BB"/>
    <w:rsid w:val="00A72AE9"/>
    <w:rsid w:val="00A73532"/>
    <w:rsid w:val="00A740A6"/>
    <w:rsid w:val="00A750E1"/>
    <w:rsid w:val="00A76474"/>
    <w:rsid w:val="00A76577"/>
    <w:rsid w:val="00A76B75"/>
    <w:rsid w:val="00A76D7C"/>
    <w:rsid w:val="00A8000F"/>
    <w:rsid w:val="00A8016A"/>
    <w:rsid w:val="00A80304"/>
    <w:rsid w:val="00A80525"/>
    <w:rsid w:val="00A80540"/>
    <w:rsid w:val="00A80AB7"/>
    <w:rsid w:val="00A816B0"/>
    <w:rsid w:val="00A8353F"/>
    <w:rsid w:val="00A84123"/>
    <w:rsid w:val="00A84DFA"/>
    <w:rsid w:val="00A85D0C"/>
    <w:rsid w:val="00A8743F"/>
    <w:rsid w:val="00A87C0C"/>
    <w:rsid w:val="00A90EDB"/>
    <w:rsid w:val="00A90F76"/>
    <w:rsid w:val="00A91BA5"/>
    <w:rsid w:val="00A93177"/>
    <w:rsid w:val="00A93B5C"/>
    <w:rsid w:val="00A94451"/>
    <w:rsid w:val="00A944C1"/>
    <w:rsid w:val="00A95506"/>
    <w:rsid w:val="00A95F7C"/>
    <w:rsid w:val="00A966E7"/>
    <w:rsid w:val="00A96BDA"/>
    <w:rsid w:val="00A977B2"/>
    <w:rsid w:val="00AA0E6C"/>
    <w:rsid w:val="00AA1003"/>
    <w:rsid w:val="00AA1107"/>
    <w:rsid w:val="00AA162A"/>
    <w:rsid w:val="00AA1EB9"/>
    <w:rsid w:val="00AA2628"/>
    <w:rsid w:val="00AA2C6C"/>
    <w:rsid w:val="00AA4539"/>
    <w:rsid w:val="00AA4607"/>
    <w:rsid w:val="00AA5EC7"/>
    <w:rsid w:val="00AB0D6E"/>
    <w:rsid w:val="00AB11CA"/>
    <w:rsid w:val="00AB1E12"/>
    <w:rsid w:val="00AB2A70"/>
    <w:rsid w:val="00AB3168"/>
    <w:rsid w:val="00AB52BF"/>
    <w:rsid w:val="00AB58EB"/>
    <w:rsid w:val="00AB5BA6"/>
    <w:rsid w:val="00AB5CFB"/>
    <w:rsid w:val="00AC177E"/>
    <w:rsid w:val="00AC204F"/>
    <w:rsid w:val="00AC20A1"/>
    <w:rsid w:val="00AC2B6E"/>
    <w:rsid w:val="00AC4701"/>
    <w:rsid w:val="00AC5991"/>
    <w:rsid w:val="00AC70FD"/>
    <w:rsid w:val="00AD04C5"/>
    <w:rsid w:val="00AD0678"/>
    <w:rsid w:val="00AD0E8A"/>
    <w:rsid w:val="00AD1006"/>
    <w:rsid w:val="00AD2026"/>
    <w:rsid w:val="00AD2D94"/>
    <w:rsid w:val="00AD2F57"/>
    <w:rsid w:val="00AD31B8"/>
    <w:rsid w:val="00AD4C14"/>
    <w:rsid w:val="00AD58E9"/>
    <w:rsid w:val="00AD7F02"/>
    <w:rsid w:val="00AE0A31"/>
    <w:rsid w:val="00AE26AD"/>
    <w:rsid w:val="00AE2C72"/>
    <w:rsid w:val="00AE2E80"/>
    <w:rsid w:val="00AE30C6"/>
    <w:rsid w:val="00AE3531"/>
    <w:rsid w:val="00AE3649"/>
    <w:rsid w:val="00AE3702"/>
    <w:rsid w:val="00AE43CD"/>
    <w:rsid w:val="00AE4E5F"/>
    <w:rsid w:val="00AE50FC"/>
    <w:rsid w:val="00AE5B59"/>
    <w:rsid w:val="00AE6F31"/>
    <w:rsid w:val="00AE78A0"/>
    <w:rsid w:val="00AE7CE9"/>
    <w:rsid w:val="00AF0AE2"/>
    <w:rsid w:val="00AF0FD0"/>
    <w:rsid w:val="00AF111A"/>
    <w:rsid w:val="00AF2244"/>
    <w:rsid w:val="00AF25CC"/>
    <w:rsid w:val="00AF3529"/>
    <w:rsid w:val="00AF41B0"/>
    <w:rsid w:val="00AF4415"/>
    <w:rsid w:val="00AF53C0"/>
    <w:rsid w:val="00AF6B74"/>
    <w:rsid w:val="00AF7C63"/>
    <w:rsid w:val="00B0081C"/>
    <w:rsid w:val="00B00CBB"/>
    <w:rsid w:val="00B01D3A"/>
    <w:rsid w:val="00B02E18"/>
    <w:rsid w:val="00B03174"/>
    <w:rsid w:val="00B04012"/>
    <w:rsid w:val="00B04CD7"/>
    <w:rsid w:val="00B058FC"/>
    <w:rsid w:val="00B05DDA"/>
    <w:rsid w:val="00B0622E"/>
    <w:rsid w:val="00B066AA"/>
    <w:rsid w:val="00B0738D"/>
    <w:rsid w:val="00B07F20"/>
    <w:rsid w:val="00B1031A"/>
    <w:rsid w:val="00B10E70"/>
    <w:rsid w:val="00B10EFF"/>
    <w:rsid w:val="00B114D1"/>
    <w:rsid w:val="00B1195F"/>
    <w:rsid w:val="00B11AE6"/>
    <w:rsid w:val="00B12A4F"/>
    <w:rsid w:val="00B1378E"/>
    <w:rsid w:val="00B1491B"/>
    <w:rsid w:val="00B155E1"/>
    <w:rsid w:val="00B15B78"/>
    <w:rsid w:val="00B160CD"/>
    <w:rsid w:val="00B16533"/>
    <w:rsid w:val="00B20305"/>
    <w:rsid w:val="00B205FB"/>
    <w:rsid w:val="00B21145"/>
    <w:rsid w:val="00B21465"/>
    <w:rsid w:val="00B21DD7"/>
    <w:rsid w:val="00B223C4"/>
    <w:rsid w:val="00B22644"/>
    <w:rsid w:val="00B22764"/>
    <w:rsid w:val="00B236E2"/>
    <w:rsid w:val="00B23FCE"/>
    <w:rsid w:val="00B247D2"/>
    <w:rsid w:val="00B249DA"/>
    <w:rsid w:val="00B25993"/>
    <w:rsid w:val="00B262D3"/>
    <w:rsid w:val="00B26B2E"/>
    <w:rsid w:val="00B26F02"/>
    <w:rsid w:val="00B27D0F"/>
    <w:rsid w:val="00B27EB1"/>
    <w:rsid w:val="00B30C39"/>
    <w:rsid w:val="00B30D05"/>
    <w:rsid w:val="00B30D76"/>
    <w:rsid w:val="00B3147C"/>
    <w:rsid w:val="00B31AAC"/>
    <w:rsid w:val="00B32322"/>
    <w:rsid w:val="00B335CB"/>
    <w:rsid w:val="00B33726"/>
    <w:rsid w:val="00B342C5"/>
    <w:rsid w:val="00B349AF"/>
    <w:rsid w:val="00B36099"/>
    <w:rsid w:val="00B40169"/>
    <w:rsid w:val="00B410CC"/>
    <w:rsid w:val="00B428FC"/>
    <w:rsid w:val="00B42CB2"/>
    <w:rsid w:val="00B433FF"/>
    <w:rsid w:val="00B434E0"/>
    <w:rsid w:val="00B43895"/>
    <w:rsid w:val="00B44A16"/>
    <w:rsid w:val="00B4537F"/>
    <w:rsid w:val="00B46872"/>
    <w:rsid w:val="00B46E7C"/>
    <w:rsid w:val="00B524DA"/>
    <w:rsid w:val="00B54530"/>
    <w:rsid w:val="00B57187"/>
    <w:rsid w:val="00B605AF"/>
    <w:rsid w:val="00B60864"/>
    <w:rsid w:val="00B60C6B"/>
    <w:rsid w:val="00B6200E"/>
    <w:rsid w:val="00B62589"/>
    <w:rsid w:val="00B62648"/>
    <w:rsid w:val="00B6275D"/>
    <w:rsid w:val="00B62EFD"/>
    <w:rsid w:val="00B63CF2"/>
    <w:rsid w:val="00B64444"/>
    <w:rsid w:val="00B64805"/>
    <w:rsid w:val="00B649E4"/>
    <w:rsid w:val="00B652C0"/>
    <w:rsid w:val="00B65749"/>
    <w:rsid w:val="00B67A6C"/>
    <w:rsid w:val="00B70630"/>
    <w:rsid w:val="00B70F02"/>
    <w:rsid w:val="00B710F4"/>
    <w:rsid w:val="00B71D65"/>
    <w:rsid w:val="00B72256"/>
    <w:rsid w:val="00B739EF"/>
    <w:rsid w:val="00B74865"/>
    <w:rsid w:val="00B75D2E"/>
    <w:rsid w:val="00B76DE1"/>
    <w:rsid w:val="00B77078"/>
    <w:rsid w:val="00B77455"/>
    <w:rsid w:val="00B80BCF"/>
    <w:rsid w:val="00B80D99"/>
    <w:rsid w:val="00B81B3E"/>
    <w:rsid w:val="00B82D33"/>
    <w:rsid w:val="00B830F3"/>
    <w:rsid w:val="00B8313E"/>
    <w:rsid w:val="00B83DA3"/>
    <w:rsid w:val="00B8474B"/>
    <w:rsid w:val="00B849A6"/>
    <w:rsid w:val="00B8565A"/>
    <w:rsid w:val="00B85834"/>
    <w:rsid w:val="00B859A3"/>
    <w:rsid w:val="00B859BB"/>
    <w:rsid w:val="00B86C33"/>
    <w:rsid w:val="00B87836"/>
    <w:rsid w:val="00B9127E"/>
    <w:rsid w:val="00B927B7"/>
    <w:rsid w:val="00B9295B"/>
    <w:rsid w:val="00B929C4"/>
    <w:rsid w:val="00B92F8E"/>
    <w:rsid w:val="00B9537A"/>
    <w:rsid w:val="00B95A77"/>
    <w:rsid w:val="00B96131"/>
    <w:rsid w:val="00B96B35"/>
    <w:rsid w:val="00BA018D"/>
    <w:rsid w:val="00BA034B"/>
    <w:rsid w:val="00BA080D"/>
    <w:rsid w:val="00BA0FBE"/>
    <w:rsid w:val="00BA18B8"/>
    <w:rsid w:val="00BA35DA"/>
    <w:rsid w:val="00BA376B"/>
    <w:rsid w:val="00BA3892"/>
    <w:rsid w:val="00BA3B5C"/>
    <w:rsid w:val="00BA4274"/>
    <w:rsid w:val="00BA43B6"/>
    <w:rsid w:val="00BA494B"/>
    <w:rsid w:val="00BA593D"/>
    <w:rsid w:val="00BA6007"/>
    <w:rsid w:val="00BA6769"/>
    <w:rsid w:val="00BA6844"/>
    <w:rsid w:val="00BA79FB"/>
    <w:rsid w:val="00BA7B4D"/>
    <w:rsid w:val="00BA7D73"/>
    <w:rsid w:val="00BA7FCB"/>
    <w:rsid w:val="00BB12AF"/>
    <w:rsid w:val="00BB2054"/>
    <w:rsid w:val="00BB22A9"/>
    <w:rsid w:val="00BB38DA"/>
    <w:rsid w:val="00BB68D4"/>
    <w:rsid w:val="00BB6E7A"/>
    <w:rsid w:val="00BB6EBC"/>
    <w:rsid w:val="00BB7371"/>
    <w:rsid w:val="00BB7978"/>
    <w:rsid w:val="00BC11B9"/>
    <w:rsid w:val="00BC245E"/>
    <w:rsid w:val="00BC2467"/>
    <w:rsid w:val="00BC247D"/>
    <w:rsid w:val="00BC29BA"/>
    <w:rsid w:val="00BC29EC"/>
    <w:rsid w:val="00BC3F10"/>
    <w:rsid w:val="00BC71F2"/>
    <w:rsid w:val="00BD0566"/>
    <w:rsid w:val="00BD09F4"/>
    <w:rsid w:val="00BD148D"/>
    <w:rsid w:val="00BD28C5"/>
    <w:rsid w:val="00BD3AD6"/>
    <w:rsid w:val="00BD493A"/>
    <w:rsid w:val="00BD4E46"/>
    <w:rsid w:val="00BD66CA"/>
    <w:rsid w:val="00BD6719"/>
    <w:rsid w:val="00BD705D"/>
    <w:rsid w:val="00BE1AF7"/>
    <w:rsid w:val="00BE1EAB"/>
    <w:rsid w:val="00BE1F15"/>
    <w:rsid w:val="00BE1F59"/>
    <w:rsid w:val="00BE311A"/>
    <w:rsid w:val="00BE446A"/>
    <w:rsid w:val="00BE456C"/>
    <w:rsid w:val="00BE5A31"/>
    <w:rsid w:val="00BE6E13"/>
    <w:rsid w:val="00BF0EBE"/>
    <w:rsid w:val="00BF1A16"/>
    <w:rsid w:val="00BF2A63"/>
    <w:rsid w:val="00BF2EA3"/>
    <w:rsid w:val="00BF4058"/>
    <w:rsid w:val="00BF5DC4"/>
    <w:rsid w:val="00BF6A3A"/>
    <w:rsid w:val="00C004C8"/>
    <w:rsid w:val="00C01AF2"/>
    <w:rsid w:val="00C04BA5"/>
    <w:rsid w:val="00C0557A"/>
    <w:rsid w:val="00C07C1A"/>
    <w:rsid w:val="00C07D56"/>
    <w:rsid w:val="00C13314"/>
    <w:rsid w:val="00C136FB"/>
    <w:rsid w:val="00C139C7"/>
    <w:rsid w:val="00C13E81"/>
    <w:rsid w:val="00C15277"/>
    <w:rsid w:val="00C155FE"/>
    <w:rsid w:val="00C16213"/>
    <w:rsid w:val="00C16A7D"/>
    <w:rsid w:val="00C17C2E"/>
    <w:rsid w:val="00C17F72"/>
    <w:rsid w:val="00C2017E"/>
    <w:rsid w:val="00C201FF"/>
    <w:rsid w:val="00C202BE"/>
    <w:rsid w:val="00C2106C"/>
    <w:rsid w:val="00C210A2"/>
    <w:rsid w:val="00C21C33"/>
    <w:rsid w:val="00C22EBE"/>
    <w:rsid w:val="00C233E1"/>
    <w:rsid w:val="00C24903"/>
    <w:rsid w:val="00C2529F"/>
    <w:rsid w:val="00C267F4"/>
    <w:rsid w:val="00C3010B"/>
    <w:rsid w:val="00C3044E"/>
    <w:rsid w:val="00C30DD1"/>
    <w:rsid w:val="00C31657"/>
    <w:rsid w:val="00C31E11"/>
    <w:rsid w:val="00C3385D"/>
    <w:rsid w:val="00C34008"/>
    <w:rsid w:val="00C35D4D"/>
    <w:rsid w:val="00C3766D"/>
    <w:rsid w:val="00C377F4"/>
    <w:rsid w:val="00C4279B"/>
    <w:rsid w:val="00C42E65"/>
    <w:rsid w:val="00C43F53"/>
    <w:rsid w:val="00C441E6"/>
    <w:rsid w:val="00C44689"/>
    <w:rsid w:val="00C44FAA"/>
    <w:rsid w:val="00C45143"/>
    <w:rsid w:val="00C45D56"/>
    <w:rsid w:val="00C45D61"/>
    <w:rsid w:val="00C463EB"/>
    <w:rsid w:val="00C46624"/>
    <w:rsid w:val="00C468D8"/>
    <w:rsid w:val="00C47DE4"/>
    <w:rsid w:val="00C508EB"/>
    <w:rsid w:val="00C510E9"/>
    <w:rsid w:val="00C5137B"/>
    <w:rsid w:val="00C51FA8"/>
    <w:rsid w:val="00C52FE6"/>
    <w:rsid w:val="00C5454B"/>
    <w:rsid w:val="00C54BEC"/>
    <w:rsid w:val="00C54EE1"/>
    <w:rsid w:val="00C55543"/>
    <w:rsid w:val="00C5637D"/>
    <w:rsid w:val="00C56D0B"/>
    <w:rsid w:val="00C60114"/>
    <w:rsid w:val="00C60E8E"/>
    <w:rsid w:val="00C60EB5"/>
    <w:rsid w:val="00C61E4B"/>
    <w:rsid w:val="00C62415"/>
    <w:rsid w:val="00C62FB6"/>
    <w:rsid w:val="00C63F2E"/>
    <w:rsid w:val="00C643F5"/>
    <w:rsid w:val="00C64BDE"/>
    <w:rsid w:val="00C65DAF"/>
    <w:rsid w:val="00C66FD3"/>
    <w:rsid w:val="00C70F3D"/>
    <w:rsid w:val="00C70F42"/>
    <w:rsid w:val="00C72CC0"/>
    <w:rsid w:val="00C73073"/>
    <w:rsid w:val="00C73525"/>
    <w:rsid w:val="00C74669"/>
    <w:rsid w:val="00C80302"/>
    <w:rsid w:val="00C806BC"/>
    <w:rsid w:val="00C81B63"/>
    <w:rsid w:val="00C81C66"/>
    <w:rsid w:val="00C8438D"/>
    <w:rsid w:val="00C85A4E"/>
    <w:rsid w:val="00C8647D"/>
    <w:rsid w:val="00C86594"/>
    <w:rsid w:val="00C86C78"/>
    <w:rsid w:val="00C86C94"/>
    <w:rsid w:val="00C87575"/>
    <w:rsid w:val="00C87644"/>
    <w:rsid w:val="00C908AB"/>
    <w:rsid w:val="00C90A3E"/>
    <w:rsid w:val="00C915A7"/>
    <w:rsid w:val="00C9179B"/>
    <w:rsid w:val="00C91AB6"/>
    <w:rsid w:val="00C92D1A"/>
    <w:rsid w:val="00C92E77"/>
    <w:rsid w:val="00C93CA5"/>
    <w:rsid w:val="00C941A3"/>
    <w:rsid w:val="00C953A0"/>
    <w:rsid w:val="00C9596F"/>
    <w:rsid w:val="00C96950"/>
    <w:rsid w:val="00C97064"/>
    <w:rsid w:val="00C9754F"/>
    <w:rsid w:val="00C97F3C"/>
    <w:rsid w:val="00CA1794"/>
    <w:rsid w:val="00CA348A"/>
    <w:rsid w:val="00CA3CEE"/>
    <w:rsid w:val="00CA49B4"/>
    <w:rsid w:val="00CA5361"/>
    <w:rsid w:val="00CA54D0"/>
    <w:rsid w:val="00CA5532"/>
    <w:rsid w:val="00CA5FB8"/>
    <w:rsid w:val="00CA6086"/>
    <w:rsid w:val="00CA66EA"/>
    <w:rsid w:val="00CA69D9"/>
    <w:rsid w:val="00CA6B57"/>
    <w:rsid w:val="00CA6EF6"/>
    <w:rsid w:val="00CA76E2"/>
    <w:rsid w:val="00CA7A76"/>
    <w:rsid w:val="00CA7B57"/>
    <w:rsid w:val="00CB0648"/>
    <w:rsid w:val="00CB0842"/>
    <w:rsid w:val="00CB165C"/>
    <w:rsid w:val="00CB184A"/>
    <w:rsid w:val="00CB1854"/>
    <w:rsid w:val="00CB2B14"/>
    <w:rsid w:val="00CB37FE"/>
    <w:rsid w:val="00CB4E9A"/>
    <w:rsid w:val="00CB4F7C"/>
    <w:rsid w:val="00CB563D"/>
    <w:rsid w:val="00CB58BC"/>
    <w:rsid w:val="00CB5AA7"/>
    <w:rsid w:val="00CB5F18"/>
    <w:rsid w:val="00CB7076"/>
    <w:rsid w:val="00CB766E"/>
    <w:rsid w:val="00CC019F"/>
    <w:rsid w:val="00CC0984"/>
    <w:rsid w:val="00CC2880"/>
    <w:rsid w:val="00CC54A5"/>
    <w:rsid w:val="00CC62EF"/>
    <w:rsid w:val="00CC64C9"/>
    <w:rsid w:val="00CC678A"/>
    <w:rsid w:val="00CC6B7F"/>
    <w:rsid w:val="00CC7237"/>
    <w:rsid w:val="00CC72C3"/>
    <w:rsid w:val="00CC7704"/>
    <w:rsid w:val="00CC7B1A"/>
    <w:rsid w:val="00CD0029"/>
    <w:rsid w:val="00CD1C44"/>
    <w:rsid w:val="00CD1E94"/>
    <w:rsid w:val="00CD20CD"/>
    <w:rsid w:val="00CD25BB"/>
    <w:rsid w:val="00CD301E"/>
    <w:rsid w:val="00CD30A1"/>
    <w:rsid w:val="00CD32B8"/>
    <w:rsid w:val="00CD458A"/>
    <w:rsid w:val="00CD4671"/>
    <w:rsid w:val="00CD51A9"/>
    <w:rsid w:val="00CE0DA4"/>
    <w:rsid w:val="00CE0FC0"/>
    <w:rsid w:val="00CE1AFE"/>
    <w:rsid w:val="00CE37E5"/>
    <w:rsid w:val="00CE4B13"/>
    <w:rsid w:val="00CE4FB2"/>
    <w:rsid w:val="00CE56F0"/>
    <w:rsid w:val="00CE5871"/>
    <w:rsid w:val="00CE5E04"/>
    <w:rsid w:val="00CE5FA6"/>
    <w:rsid w:val="00CE79D3"/>
    <w:rsid w:val="00CE7D46"/>
    <w:rsid w:val="00CF0398"/>
    <w:rsid w:val="00CF1448"/>
    <w:rsid w:val="00CF1978"/>
    <w:rsid w:val="00CF201A"/>
    <w:rsid w:val="00CF31F2"/>
    <w:rsid w:val="00CF4411"/>
    <w:rsid w:val="00CF5847"/>
    <w:rsid w:val="00CF5C50"/>
    <w:rsid w:val="00CF6E5B"/>
    <w:rsid w:val="00CF7E29"/>
    <w:rsid w:val="00D00294"/>
    <w:rsid w:val="00D0041C"/>
    <w:rsid w:val="00D0273E"/>
    <w:rsid w:val="00D028FC"/>
    <w:rsid w:val="00D03605"/>
    <w:rsid w:val="00D05157"/>
    <w:rsid w:val="00D05587"/>
    <w:rsid w:val="00D05FEE"/>
    <w:rsid w:val="00D068A1"/>
    <w:rsid w:val="00D10131"/>
    <w:rsid w:val="00D10207"/>
    <w:rsid w:val="00D106F1"/>
    <w:rsid w:val="00D107CB"/>
    <w:rsid w:val="00D1094A"/>
    <w:rsid w:val="00D11EBD"/>
    <w:rsid w:val="00D13E44"/>
    <w:rsid w:val="00D13E60"/>
    <w:rsid w:val="00D14576"/>
    <w:rsid w:val="00D149B6"/>
    <w:rsid w:val="00D14AA0"/>
    <w:rsid w:val="00D1673F"/>
    <w:rsid w:val="00D16FB5"/>
    <w:rsid w:val="00D171A8"/>
    <w:rsid w:val="00D17C9F"/>
    <w:rsid w:val="00D205AD"/>
    <w:rsid w:val="00D22E13"/>
    <w:rsid w:val="00D22F6D"/>
    <w:rsid w:val="00D2488E"/>
    <w:rsid w:val="00D265BE"/>
    <w:rsid w:val="00D273BD"/>
    <w:rsid w:val="00D27B87"/>
    <w:rsid w:val="00D30AB3"/>
    <w:rsid w:val="00D315BD"/>
    <w:rsid w:val="00D32DEE"/>
    <w:rsid w:val="00D33FDD"/>
    <w:rsid w:val="00D35BAF"/>
    <w:rsid w:val="00D35D57"/>
    <w:rsid w:val="00D35F1C"/>
    <w:rsid w:val="00D36881"/>
    <w:rsid w:val="00D40127"/>
    <w:rsid w:val="00D403D1"/>
    <w:rsid w:val="00D414F8"/>
    <w:rsid w:val="00D42654"/>
    <w:rsid w:val="00D4363A"/>
    <w:rsid w:val="00D44101"/>
    <w:rsid w:val="00D44245"/>
    <w:rsid w:val="00D44A06"/>
    <w:rsid w:val="00D469F2"/>
    <w:rsid w:val="00D47999"/>
    <w:rsid w:val="00D47EBD"/>
    <w:rsid w:val="00D51723"/>
    <w:rsid w:val="00D51B13"/>
    <w:rsid w:val="00D53F1C"/>
    <w:rsid w:val="00D5480B"/>
    <w:rsid w:val="00D54AD0"/>
    <w:rsid w:val="00D5552B"/>
    <w:rsid w:val="00D55FAF"/>
    <w:rsid w:val="00D56D8F"/>
    <w:rsid w:val="00D5791F"/>
    <w:rsid w:val="00D57D53"/>
    <w:rsid w:val="00D6031B"/>
    <w:rsid w:val="00D61596"/>
    <w:rsid w:val="00D62BB3"/>
    <w:rsid w:val="00D63429"/>
    <w:rsid w:val="00D63B32"/>
    <w:rsid w:val="00D652C8"/>
    <w:rsid w:val="00D65615"/>
    <w:rsid w:val="00D65BC6"/>
    <w:rsid w:val="00D65BF8"/>
    <w:rsid w:val="00D65D46"/>
    <w:rsid w:val="00D66F59"/>
    <w:rsid w:val="00D67999"/>
    <w:rsid w:val="00D70306"/>
    <w:rsid w:val="00D707DA"/>
    <w:rsid w:val="00D7082E"/>
    <w:rsid w:val="00D70876"/>
    <w:rsid w:val="00D71002"/>
    <w:rsid w:val="00D71014"/>
    <w:rsid w:val="00D72E69"/>
    <w:rsid w:val="00D73888"/>
    <w:rsid w:val="00D73CE9"/>
    <w:rsid w:val="00D74DD1"/>
    <w:rsid w:val="00D74E8D"/>
    <w:rsid w:val="00D75A3D"/>
    <w:rsid w:val="00D767FC"/>
    <w:rsid w:val="00D7680E"/>
    <w:rsid w:val="00D77031"/>
    <w:rsid w:val="00D776BA"/>
    <w:rsid w:val="00D81762"/>
    <w:rsid w:val="00D83543"/>
    <w:rsid w:val="00D835F4"/>
    <w:rsid w:val="00D837D6"/>
    <w:rsid w:val="00D83902"/>
    <w:rsid w:val="00D83D73"/>
    <w:rsid w:val="00D84C05"/>
    <w:rsid w:val="00D86A51"/>
    <w:rsid w:val="00D876D6"/>
    <w:rsid w:val="00D87A87"/>
    <w:rsid w:val="00D901A5"/>
    <w:rsid w:val="00D90C66"/>
    <w:rsid w:val="00D92247"/>
    <w:rsid w:val="00D9234F"/>
    <w:rsid w:val="00D92D71"/>
    <w:rsid w:val="00D92EEE"/>
    <w:rsid w:val="00D93C59"/>
    <w:rsid w:val="00D93E1E"/>
    <w:rsid w:val="00D94D76"/>
    <w:rsid w:val="00D9516F"/>
    <w:rsid w:val="00D957EE"/>
    <w:rsid w:val="00D95A00"/>
    <w:rsid w:val="00D95A97"/>
    <w:rsid w:val="00D95D41"/>
    <w:rsid w:val="00D97B3B"/>
    <w:rsid w:val="00D97CEE"/>
    <w:rsid w:val="00DA2CCE"/>
    <w:rsid w:val="00DA38C9"/>
    <w:rsid w:val="00DA6139"/>
    <w:rsid w:val="00DA783E"/>
    <w:rsid w:val="00DA7AC8"/>
    <w:rsid w:val="00DA7B8E"/>
    <w:rsid w:val="00DA7E83"/>
    <w:rsid w:val="00DB007A"/>
    <w:rsid w:val="00DB0D3C"/>
    <w:rsid w:val="00DB0FE7"/>
    <w:rsid w:val="00DB165A"/>
    <w:rsid w:val="00DB21CB"/>
    <w:rsid w:val="00DB2F2D"/>
    <w:rsid w:val="00DB3C97"/>
    <w:rsid w:val="00DB4E9E"/>
    <w:rsid w:val="00DB577D"/>
    <w:rsid w:val="00DB60CD"/>
    <w:rsid w:val="00DB69D8"/>
    <w:rsid w:val="00DB76D0"/>
    <w:rsid w:val="00DB7EDB"/>
    <w:rsid w:val="00DC1A9D"/>
    <w:rsid w:val="00DC25BB"/>
    <w:rsid w:val="00DC3E96"/>
    <w:rsid w:val="00DC510F"/>
    <w:rsid w:val="00DC52B5"/>
    <w:rsid w:val="00DC5D96"/>
    <w:rsid w:val="00DC617C"/>
    <w:rsid w:val="00DC6320"/>
    <w:rsid w:val="00DC69FB"/>
    <w:rsid w:val="00DC7662"/>
    <w:rsid w:val="00DD34B6"/>
    <w:rsid w:val="00DD37D7"/>
    <w:rsid w:val="00DD6043"/>
    <w:rsid w:val="00DD7B50"/>
    <w:rsid w:val="00DE31ED"/>
    <w:rsid w:val="00DE4CC3"/>
    <w:rsid w:val="00DE540B"/>
    <w:rsid w:val="00DE555A"/>
    <w:rsid w:val="00DE62F0"/>
    <w:rsid w:val="00DE71E2"/>
    <w:rsid w:val="00DE75A3"/>
    <w:rsid w:val="00DF053B"/>
    <w:rsid w:val="00DF102E"/>
    <w:rsid w:val="00DF151A"/>
    <w:rsid w:val="00DF153E"/>
    <w:rsid w:val="00DF1795"/>
    <w:rsid w:val="00DF179D"/>
    <w:rsid w:val="00DF1F0D"/>
    <w:rsid w:val="00DF2B4C"/>
    <w:rsid w:val="00DF36EA"/>
    <w:rsid w:val="00DF57AA"/>
    <w:rsid w:val="00DF5A3F"/>
    <w:rsid w:val="00DF6181"/>
    <w:rsid w:val="00DF6430"/>
    <w:rsid w:val="00DF7D69"/>
    <w:rsid w:val="00E00207"/>
    <w:rsid w:val="00E01934"/>
    <w:rsid w:val="00E01D6D"/>
    <w:rsid w:val="00E0319B"/>
    <w:rsid w:val="00E0365B"/>
    <w:rsid w:val="00E0457A"/>
    <w:rsid w:val="00E047A7"/>
    <w:rsid w:val="00E05081"/>
    <w:rsid w:val="00E0675B"/>
    <w:rsid w:val="00E07C8A"/>
    <w:rsid w:val="00E10891"/>
    <w:rsid w:val="00E10A99"/>
    <w:rsid w:val="00E11C09"/>
    <w:rsid w:val="00E11DB2"/>
    <w:rsid w:val="00E11F2D"/>
    <w:rsid w:val="00E120AA"/>
    <w:rsid w:val="00E1360B"/>
    <w:rsid w:val="00E139C5"/>
    <w:rsid w:val="00E13AF8"/>
    <w:rsid w:val="00E144A0"/>
    <w:rsid w:val="00E1574B"/>
    <w:rsid w:val="00E16D81"/>
    <w:rsid w:val="00E176FB"/>
    <w:rsid w:val="00E20B0D"/>
    <w:rsid w:val="00E2174B"/>
    <w:rsid w:val="00E21DCD"/>
    <w:rsid w:val="00E21ED0"/>
    <w:rsid w:val="00E23539"/>
    <w:rsid w:val="00E2470D"/>
    <w:rsid w:val="00E2484A"/>
    <w:rsid w:val="00E24E46"/>
    <w:rsid w:val="00E24FD9"/>
    <w:rsid w:val="00E25531"/>
    <w:rsid w:val="00E26DB2"/>
    <w:rsid w:val="00E2702A"/>
    <w:rsid w:val="00E27DB9"/>
    <w:rsid w:val="00E306B2"/>
    <w:rsid w:val="00E30703"/>
    <w:rsid w:val="00E30919"/>
    <w:rsid w:val="00E30A53"/>
    <w:rsid w:val="00E310E6"/>
    <w:rsid w:val="00E31E1D"/>
    <w:rsid w:val="00E339B7"/>
    <w:rsid w:val="00E33CA9"/>
    <w:rsid w:val="00E33F2C"/>
    <w:rsid w:val="00E344ED"/>
    <w:rsid w:val="00E3581E"/>
    <w:rsid w:val="00E35AD0"/>
    <w:rsid w:val="00E35D6A"/>
    <w:rsid w:val="00E36674"/>
    <w:rsid w:val="00E367B6"/>
    <w:rsid w:val="00E373C3"/>
    <w:rsid w:val="00E37B3D"/>
    <w:rsid w:val="00E417DE"/>
    <w:rsid w:val="00E431F0"/>
    <w:rsid w:val="00E431FC"/>
    <w:rsid w:val="00E44F99"/>
    <w:rsid w:val="00E450DC"/>
    <w:rsid w:val="00E459E5"/>
    <w:rsid w:val="00E45BB9"/>
    <w:rsid w:val="00E46AE2"/>
    <w:rsid w:val="00E47321"/>
    <w:rsid w:val="00E52B3E"/>
    <w:rsid w:val="00E536E5"/>
    <w:rsid w:val="00E5383E"/>
    <w:rsid w:val="00E54952"/>
    <w:rsid w:val="00E5531C"/>
    <w:rsid w:val="00E61124"/>
    <w:rsid w:val="00E61FF8"/>
    <w:rsid w:val="00E63253"/>
    <w:rsid w:val="00E65E96"/>
    <w:rsid w:val="00E66629"/>
    <w:rsid w:val="00E66DB5"/>
    <w:rsid w:val="00E679D7"/>
    <w:rsid w:val="00E71EB9"/>
    <w:rsid w:val="00E75CC4"/>
    <w:rsid w:val="00E76382"/>
    <w:rsid w:val="00E76812"/>
    <w:rsid w:val="00E77041"/>
    <w:rsid w:val="00E770B8"/>
    <w:rsid w:val="00E8149C"/>
    <w:rsid w:val="00E8303C"/>
    <w:rsid w:val="00E83848"/>
    <w:rsid w:val="00E849E6"/>
    <w:rsid w:val="00E85772"/>
    <w:rsid w:val="00E85898"/>
    <w:rsid w:val="00E87049"/>
    <w:rsid w:val="00E8775C"/>
    <w:rsid w:val="00E916B2"/>
    <w:rsid w:val="00E92439"/>
    <w:rsid w:val="00E92D64"/>
    <w:rsid w:val="00E93806"/>
    <w:rsid w:val="00E9417B"/>
    <w:rsid w:val="00E94D24"/>
    <w:rsid w:val="00E94FE9"/>
    <w:rsid w:val="00E958EC"/>
    <w:rsid w:val="00E979B7"/>
    <w:rsid w:val="00E97FE0"/>
    <w:rsid w:val="00EA0DCF"/>
    <w:rsid w:val="00EA0F19"/>
    <w:rsid w:val="00EA1153"/>
    <w:rsid w:val="00EA1383"/>
    <w:rsid w:val="00EA191C"/>
    <w:rsid w:val="00EA1ED3"/>
    <w:rsid w:val="00EA33F0"/>
    <w:rsid w:val="00EA36E4"/>
    <w:rsid w:val="00EA3819"/>
    <w:rsid w:val="00EA3D97"/>
    <w:rsid w:val="00EA42DF"/>
    <w:rsid w:val="00EA4653"/>
    <w:rsid w:val="00EA550E"/>
    <w:rsid w:val="00EA556B"/>
    <w:rsid w:val="00EB0310"/>
    <w:rsid w:val="00EB1912"/>
    <w:rsid w:val="00EB2712"/>
    <w:rsid w:val="00EB2ABE"/>
    <w:rsid w:val="00EB30D8"/>
    <w:rsid w:val="00EB4B64"/>
    <w:rsid w:val="00EB5624"/>
    <w:rsid w:val="00EB632C"/>
    <w:rsid w:val="00EB65C8"/>
    <w:rsid w:val="00EB7F59"/>
    <w:rsid w:val="00EC0137"/>
    <w:rsid w:val="00EC288E"/>
    <w:rsid w:val="00EC28C7"/>
    <w:rsid w:val="00EC41FA"/>
    <w:rsid w:val="00EC49DC"/>
    <w:rsid w:val="00EC548E"/>
    <w:rsid w:val="00EC7B56"/>
    <w:rsid w:val="00ED013D"/>
    <w:rsid w:val="00ED3129"/>
    <w:rsid w:val="00ED3538"/>
    <w:rsid w:val="00ED52A0"/>
    <w:rsid w:val="00ED569E"/>
    <w:rsid w:val="00ED587B"/>
    <w:rsid w:val="00ED5900"/>
    <w:rsid w:val="00ED5C9B"/>
    <w:rsid w:val="00ED7126"/>
    <w:rsid w:val="00ED7F9E"/>
    <w:rsid w:val="00EE01B0"/>
    <w:rsid w:val="00EE08DE"/>
    <w:rsid w:val="00EE08ED"/>
    <w:rsid w:val="00EE1C89"/>
    <w:rsid w:val="00EE4829"/>
    <w:rsid w:val="00EE5DFD"/>
    <w:rsid w:val="00EE5FD3"/>
    <w:rsid w:val="00EE6792"/>
    <w:rsid w:val="00EE7021"/>
    <w:rsid w:val="00EF058D"/>
    <w:rsid w:val="00EF0C12"/>
    <w:rsid w:val="00EF427E"/>
    <w:rsid w:val="00EF4B19"/>
    <w:rsid w:val="00EF5FA7"/>
    <w:rsid w:val="00EF67E9"/>
    <w:rsid w:val="00EF7051"/>
    <w:rsid w:val="00EF7221"/>
    <w:rsid w:val="00EF7DD7"/>
    <w:rsid w:val="00F00407"/>
    <w:rsid w:val="00F00856"/>
    <w:rsid w:val="00F02B7B"/>
    <w:rsid w:val="00F0309B"/>
    <w:rsid w:val="00F03B48"/>
    <w:rsid w:val="00F05725"/>
    <w:rsid w:val="00F05899"/>
    <w:rsid w:val="00F06F4E"/>
    <w:rsid w:val="00F1070D"/>
    <w:rsid w:val="00F11D2F"/>
    <w:rsid w:val="00F12D3E"/>
    <w:rsid w:val="00F13C6F"/>
    <w:rsid w:val="00F15331"/>
    <w:rsid w:val="00F1540C"/>
    <w:rsid w:val="00F15F11"/>
    <w:rsid w:val="00F1658A"/>
    <w:rsid w:val="00F16BCA"/>
    <w:rsid w:val="00F179B7"/>
    <w:rsid w:val="00F17D2F"/>
    <w:rsid w:val="00F216BE"/>
    <w:rsid w:val="00F2189A"/>
    <w:rsid w:val="00F21A8D"/>
    <w:rsid w:val="00F22D47"/>
    <w:rsid w:val="00F22F05"/>
    <w:rsid w:val="00F23330"/>
    <w:rsid w:val="00F2478D"/>
    <w:rsid w:val="00F24BDD"/>
    <w:rsid w:val="00F3033D"/>
    <w:rsid w:val="00F3047F"/>
    <w:rsid w:val="00F30E82"/>
    <w:rsid w:val="00F31CFD"/>
    <w:rsid w:val="00F31EB0"/>
    <w:rsid w:val="00F32020"/>
    <w:rsid w:val="00F3237B"/>
    <w:rsid w:val="00F33441"/>
    <w:rsid w:val="00F33A44"/>
    <w:rsid w:val="00F34399"/>
    <w:rsid w:val="00F3447B"/>
    <w:rsid w:val="00F372EE"/>
    <w:rsid w:val="00F40649"/>
    <w:rsid w:val="00F40ED8"/>
    <w:rsid w:val="00F42AB4"/>
    <w:rsid w:val="00F44CC3"/>
    <w:rsid w:val="00F52851"/>
    <w:rsid w:val="00F54380"/>
    <w:rsid w:val="00F554E9"/>
    <w:rsid w:val="00F55DBB"/>
    <w:rsid w:val="00F564C5"/>
    <w:rsid w:val="00F609AF"/>
    <w:rsid w:val="00F60EBA"/>
    <w:rsid w:val="00F6101B"/>
    <w:rsid w:val="00F6162A"/>
    <w:rsid w:val="00F629BA"/>
    <w:rsid w:val="00F62C38"/>
    <w:rsid w:val="00F63D32"/>
    <w:rsid w:val="00F63FE3"/>
    <w:rsid w:val="00F6444D"/>
    <w:rsid w:val="00F648A8"/>
    <w:rsid w:val="00F65006"/>
    <w:rsid w:val="00F6526B"/>
    <w:rsid w:val="00F654C3"/>
    <w:rsid w:val="00F65CE4"/>
    <w:rsid w:val="00F66346"/>
    <w:rsid w:val="00F66A6C"/>
    <w:rsid w:val="00F66A75"/>
    <w:rsid w:val="00F72311"/>
    <w:rsid w:val="00F72808"/>
    <w:rsid w:val="00F738C1"/>
    <w:rsid w:val="00F73983"/>
    <w:rsid w:val="00F75998"/>
    <w:rsid w:val="00F76EB8"/>
    <w:rsid w:val="00F77582"/>
    <w:rsid w:val="00F81282"/>
    <w:rsid w:val="00F817E1"/>
    <w:rsid w:val="00F82CC2"/>
    <w:rsid w:val="00F833A3"/>
    <w:rsid w:val="00F83893"/>
    <w:rsid w:val="00F841E7"/>
    <w:rsid w:val="00F85CEC"/>
    <w:rsid w:val="00F8631A"/>
    <w:rsid w:val="00F90914"/>
    <w:rsid w:val="00F90B7C"/>
    <w:rsid w:val="00F90EEC"/>
    <w:rsid w:val="00F91CFD"/>
    <w:rsid w:val="00F9250A"/>
    <w:rsid w:val="00F9266C"/>
    <w:rsid w:val="00F942BF"/>
    <w:rsid w:val="00F9449D"/>
    <w:rsid w:val="00F95200"/>
    <w:rsid w:val="00F955FD"/>
    <w:rsid w:val="00F95601"/>
    <w:rsid w:val="00F95A1B"/>
    <w:rsid w:val="00F97A0D"/>
    <w:rsid w:val="00F97B6A"/>
    <w:rsid w:val="00FA008A"/>
    <w:rsid w:val="00FA0391"/>
    <w:rsid w:val="00FA1EC1"/>
    <w:rsid w:val="00FA22C6"/>
    <w:rsid w:val="00FA3DCF"/>
    <w:rsid w:val="00FA4AF3"/>
    <w:rsid w:val="00FA57B7"/>
    <w:rsid w:val="00FA71CB"/>
    <w:rsid w:val="00FB09D0"/>
    <w:rsid w:val="00FB0F41"/>
    <w:rsid w:val="00FB1B6D"/>
    <w:rsid w:val="00FB1DA8"/>
    <w:rsid w:val="00FB406B"/>
    <w:rsid w:val="00FB4A93"/>
    <w:rsid w:val="00FB5F9A"/>
    <w:rsid w:val="00FB71B8"/>
    <w:rsid w:val="00FB7C07"/>
    <w:rsid w:val="00FC0BB2"/>
    <w:rsid w:val="00FC11E9"/>
    <w:rsid w:val="00FC1F73"/>
    <w:rsid w:val="00FC24ED"/>
    <w:rsid w:val="00FC26D3"/>
    <w:rsid w:val="00FC30B5"/>
    <w:rsid w:val="00FC56B0"/>
    <w:rsid w:val="00FC58E9"/>
    <w:rsid w:val="00FC7477"/>
    <w:rsid w:val="00FC797B"/>
    <w:rsid w:val="00FD0AA4"/>
    <w:rsid w:val="00FD189D"/>
    <w:rsid w:val="00FD2137"/>
    <w:rsid w:val="00FD454C"/>
    <w:rsid w:val="00FD488C"/>
    <w:rsid w:val="00FD4D07"/>
    <w:rsid w:val="00FD5C37"/>
    <w:rsid w:val="00FD61F4"/>
    <w:rsid w:val="00FD64BF"/>
    <w:rsid w:val="00FD7F6B"/>
    <w:rsid w:val="00FE0CC7"/>
    <w:rsid w:val="00FE21CE"/>
    <w:rsid w:val="00FE360C"/>
    <w:rsid w:val="00FE4814"/>
    <w:rsid w:val="00FE5182"/>
    <w:rsid w:val="00FE6443"/>
    <w:rsid w:val="00FE6746"/>
    <w:rsid w:val="00FE7535"/>
    <w:rsid w:val="00FE77CE"/>
    <w:rsid w:val="00FF0198"/>
    <w:rsid w:val="00FF159B"/>
    <w:rsid w:val="00FF1D7D"/>
    <w:rsid w:val="00FF2D1B"/>
    <w:rsid w:val="00FF2EE1"/>
    <w:rsid w:val="00FF3565"/>
    <w:rsid w:val="00FF417B"/>
    <w:rsid w:val="00FF41DB"/>
    <w:rsid w:val="00FF44E4"/>
    <w:rsid w:val="00FF5386"/>
    <w:rsid w:val="00FF557F"/>
    <w:rsid w:val="00FF5625"/>
    <w:rsid w:val="00FF5D4B"/>
    <w:rsid w:val="00FF5EC1"/>
    <w:rsid w:val="00FF6E0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1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nhideWhenUsed="1"/>
    <w:lsdException w:name="index heading" w:semiHidden="1" w:uiPriority="1" w:unhideWhenUsed="1"/>
    <w:lsdException w:name="caption" w:semiHidden="1" w:uiPriority="2" w:unhideWhenUsed="1"/>
    <w:lsdException w:name="table of figures" w:semiHidden="1" w:uiPriority="39"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iPriority="0"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0E1055"/>
    <w:pPr>
      <w:spacing w:line="240" w:lineRule="atLeast"/>
    </w:pPr>
    <w:rPr>
      <w:rFonts w:ascii="Calibri" w:hAnsi="Calibri"/>
      <w:color w:val="1E1E1E"/>
      <w:sz w:val="24"/>
    </w:rPr>
  </w:style>
  <w:style w:type="paragraph" w:styleId="Heading1">
    <w:name w:val="heading 1"/>
    <w:basedOn w:val="Normalcolour"/>
    <w:next w:val="BodyText"/>
    <w:link w:val="Heading1Char"/>
    <w:uiPriority w:val="1"/>
    <w:qFormat/>
    <w:rsid w:val="000E1055"/>
    <w:pPr>
      <w:keepNext/>
      <w:keepLines/>
      <w:pageBreakBefore/>
      <w:spacing w:line="540" w:lineRule="atLeast"/>
      <w:ind w:right="284"/>
      <w:outlineLvl w:val="0"/>
    </w:pPr>
    <w:rPr>
      <w:rFonts w:eastAsiaTheme="majorEastAsia" w:cstheme="majorBidi"/>
      <w:bCs/>
      <w:sz w:val="48"/>
      <w:szCs w:val="28"/>
    </w:rPr>
  </w:style>
  <w:style w:type="paragraph" w:styleId="Heading2">
    <w:name w:val="heading 2"/>
    <w:basedOn w:val="Normalcolour"/>
    <w:next w:val="BodyText"/>
    <w:link w:val="Heading2Char"/>
    <w:uiPriority w:val="1"/>
    <w:qFormat/>
    <w:rsid w:val="000E1055"/>
    <w:pPr>
      <w:keepNext/>
      <w:keepLines/>
      <w:pBdr>
        <w:bottom w:val="single" w:sz="2" w:space="5" w:color="2BB673"/>
      </w:pBdr>
      <w:spacing w:before="600" w:after="140" w:line="360" w:lineRule="atLeast"/>
      <w:ind w:right="284"/>
      <w:outlineLvl w:val="1"/>
    </w:pPr>
    <w:rPr>
      <w:rFonts w:eastAsiaTheme="majorEastAsia" w:cstheme="majorBidi"/>
      <w:bCs/>
      <w:sz w:val="36"/>
      <w:szCs w:val="26"/>
    </w:rPr>
  </w:style>
  <w:style w:type="paragraph" w:styleId="Heading3">
    <w:name w:val="heading 3"/>
    <w:basedOn w:val="Normalcolour"/>
    <w:next w:val="BodyText"/>
    <w:link w:val="Heading3Char"/>
    <w:uiPriority w:val="1"/>
    <w:qFormat/>
    <w:rsid w:val="000E1055"/>
    <w:pPr>
      <w:keepNext/>
      <w:keepLines/>
      <w:spacing w:before="480" w:after="60" w:line="320" w:lineRule="atLeast"/>
      <w:ind w:right="284"/>
      <w:outlineLvl w:val="2"/>
    </w:pPr>
    <w:rPr>
      <w:rFonts w:eastAsiaTheme="majorEastAsia" w:cstheme="majorBidi"/>
      <w:bCs/>
      <w:sz w:val="32"/>
    </w:rPr>
  </w:style>
  <w:style w:type="paragraph" w:styleId="Heading4">
    <w:name w:val="heading 4"/>
    <w:basedOn w:val="Normal"/>
    <w:next w:val="BodyText"/>
    <w:link w:val="Heading4Char"/>
    <w:uiPriority w:val="1"/>
    <w:qFormat/>
    <w:rsid w:val="000E1055"/>
    <w:pPr>
      <w:keepNext/>
      <w:keepLines/>
      <w:spacing w:before="360" w:after="60" w:line="260" w:lineRule="atLeast"/>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0E1055"/>
    <w:pPr>
      <w:keepNext/>
      <w:keepLines/>
      <w:spacing w:before="32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0E10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0E10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0E105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0E10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0E1055"/>
    <w:rPr>
      <w:vertAlign w:val="superscript"/>
    </w:rPr>
  </w:style>
  <w:style w:type="paragraph" w:styleId="ListBullet">
    <w:name w:val="List Bullet"/>
    <w:basedOn w:val="Normal"/>
    <w:uiPriority w:val="3"/>
    <w:rsid w:val="000E1055"/>
    <w:pPr>
      <w:numPr>
        <w:numId w:val="3"/>
      </w:numPr>
    </w:pPr>
  </w:style>
  <w:style w:type="paragraph" w:styleId="ListNumber">
    <w:name w:val="List Number"/>
    <w:basedOn w:val="Normal"/>
    <w:uiPriority w:val="5"/>
    <w:rsid w:val="000E1055"/>
    <w:pPr>
      <w:numPr>
        <w:numId w:val="4"/>
      </w:numPr>
    </w:pPr>
  </w:style>
  <w:style w:type="paragraph" w:styleId="BalloonText">
    <w:name w:val="Balloon Text"/>
    <w:basedOn w:val="Normal"/>
    <w:link w:val="BalloonTextChar"/>
    <w:uiPriority w:val="98"/>
    <w:rsid w:val="000E1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rsid w:val="000E1055"/>
    <w:rPr>
      <w:rFonts w:ascii="Tahoma" w:hAnsi="Tahoma" w:cs="Tahoma"/>
      <w:color w:val="1E1E1E"/>
      <w:sz w:val="16"/>
      <w:szCs w:val="16"/>
    </w:rPr>
  </w:style>
  <w:style w:type="character" w:customStyle="1" w:styleId="Heading1Char">
    <w:name w:val="Heading 1 Char"/>
    <w:basedOn w:val="DefaultParagraphFont"/>
    <w:link w:val="Heading1"/>
    <w:uiPriority w:val="1"/>
    <w:rsid w:val="000E1055"/>
    <w:rPr>
      <w:rFonts w:ascii="Calibri" w:eastAsiaTheme="majorEastAsia" w:hAnsi="Calibri" w:cstheme="majorBidi"/>
      <w:bCs/>
      <w:color w:val="2BB673"/>
      <w:sz w:val="48"/>
      <w:szCs w:val="28"/>
    </w:rPr>
  </w:style>
  <w:style w:type="character" w:customStyle="1" w:styleId="Heading2Char">
    <w:name w:val="Heading 2 Char"/>
    <w:basedOn w:val="DefaultParagraphFont"/>
    <w:link w:val="Heading2"/>
    <w:uiPriority w:val="1"/>
    <w:rsid w:val="000E1055"/>
    <w:rPr>
      <w:rFonts w:ascii="Calibri" w:eastAsiaTheme="majorEastAsia" w:hAnsi="Calibri" w:cstheme="majorBidi"/>
      <w:bCs/>
      <w:color w:val="2BB673"/>
      <w:sz w:val="36"/>
      <w:szCs w:val="26"/>
    </w:rPr>
  </w:style>
  <w:style w:type="character" w:customStyle="1" w:styleId="Heading3Char">
    <w:name w:val="Heading 3 Char"/>
    <w:basedOn w:val="DefaultParagraphFont"/>
    <w:link w:val="Heading3"/>
    <w:uiPriority w:val="1"/>
    <w:rsid w:val="000E1055"/>
    <w:rPr>
      <w:rFonts w:ascii="Calibri" w:eastAsiaTheme="majorEastAsia" w:hAnsi="Calibri" w:cstheme="majorBidi"/>
      <w:bCs/>
      <w:color w:val="2BB673"/>
      <w:sz w:val="32"/>
    </w:rPr>
  </w:style>
  <w:style w:type="paragraph" w:styleId="Title">
    <w:name w:val="Title"/>
    <w:basedOn w:val="Normalcolour"/>
    <w:next w:val="BodyText"/>
    <w:link w:val="TitleChar"/>
    <w:uiPriority w:val="1"/>
    <w:rsid w:val="000E1055"/>
    <w:pPr>
      <w:spacing w:after="0" w:line="720" w:lineRule="exact"/>
      <w:ind w:right="284"/>
      <w:contextualSpacing/>
    </w:pPr>
    <w:rPr>
      <w:rFonts w:eastAsiaTheme="majorEastAsia" w:cstheme="majorBidi"/>
      <w:spacing w:val="5"/>
      <w:kern w:val="28"/>
      <w:sz w:val="72"/>
      <w:szCs w:val="52"/>
    </w:rPr>
  </w:style>
  <w:style w:type="character" w:customStyle="1" w:styleId="TitleChar">
    <w:name w:val="Title Char"/>
    <w:basedOn w:val="DefaultParagraphFont"/>
    <w:link w:val="Title"/>
    <w:uiPriority w:val="1"/>
    <w:rsid w:val="000E1055"/>
    <w:rPr>
      <w:rFonts w:ascii="Calibri" w:eastAsiaTheme="majorEastAsia" w:hAnsi="Calibri" w:cstheme="majorBidi"/>
      <w:color w:val="2BB673"/>
      <w:spacing w:val="5"/>
      <w:kern w:val="28"/>
      <w:sz w:val="72"/>
      <w:szCs w:val="52"/>
    </w:rPr>
  </w:style>
  <w:style w:type="character" w:customStyle="1" w:styleId="Heading4Char">
    <w:name w:val="Heading 4 Char"/>
    <w:basedOn w:val="DefaultParagraphFont"/>
    <w:link w:val="Heading4"/>
    <w:uiPriority w:val="1"/>
    <w:rsid w:val="000E1055"/>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0E1055"/>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0E105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0E105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0E10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E105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rsid w:val="000E1055"/>
    <w:pPr>
      <w:keepNext/>
      <w:spacing w:before="200" w:after="140"/>
    </w:pPr>
    <w:rPr>
      <w:b/>
      <w:bCs/>
      <w:szCs w:val="18"/>
    </w:rPr>
  </w:style>
  <w:style w:type="paragraph" w:styleId="Bibliography">
    <w:name w:val="Bibliography"/>
    <w:basedOn w:val="Normal"/>
    <w:next w:val="BodyText"/>
    <w:uiPriority w:val="7"/>
    <w:rsid w:val="000E1055"/>
  </w:style>
  <w:style w:type="paragraph" w:styleId="TOC1">
    <w:name w:val="toc 1"/>
    <w:basedOn w:val="Normal"/>
    <w:next w:val="Normal"/>
    <w:uiPriority w:val="39"/>
    <w:rsid w:val="000E1055"/>
    <w:pPr>
      <w:tabs>
        <w:tab w:val="right" w:leader="dot" w:pos="9299"/>
      </w:tabs>
      <w:spacing w:before="200" w:after="0"/>
      <w:ind w:right="425"/>
    </w:pPr>
    <w:rPr>
      <w:b/>
    </w:rPr>
  </w:style>
  <w:style w:type="paragraph" w:styleId="TOC2">
    <w:name w:val="toc 2"/>
    <w:basedOn w:val="Normal"/>
    <w:next w:val="Normal"/>
    <w:uiPriority w:val="39"/>
    <w:rsid w:val="000E1055"/>
    <w:pPr>
      <w:tabs>
        <w:tab w:val="right" w:leader="dot" w:pos="9299"/>
      </w:tabs>
      <w:spacing w:after="0"/>
      <w:ind w:right="425"/>
    </w:pPr>
  </w:style>
  <w:style w:type="paragraph" w:styleId="TOC3">
    <w:name w:val="toc 3"/>
    <w:basedOn w:val="Normal"/>
    <w:next w:val="Normal"/>
    <w:uiPriority w:val="39"/>
    <w:rsid w:val="000E1055"/>
    <w:pPr>
      <w:tabs>
        <w:tab w:val="right" w:leader="dot" w:pos="9299"/>
      </w:tabs>
      <w:spacing w:after="0"/>
      <w:ind w:left="284" w:right="425"/>
    </w:pPr>
  </w:style>
  <w:style w:type="paragraph" w:styleId="TOC4">
    <w:name w:val="toc 4"/>
    <w:basedOn w:val="Normal"/>
    <w:next w:val="Normal"/>
    <w:uiPriority w:val="39"/>
    <w:rsid w:val="000E1055"/>
    <w:pPr>
      <w:tabs>
        <w:tab w:val="right" w:leader="dot" w:pos="9299"/>
      </w:tabs>
      <w:spacing w:after="0"/>
      <w:ind w:left="567" w:right="425"/>
    </w:pPr>
    <w:rPr>
      <w:color w:val="4D4D4D"/>
    </w:rPr>
  </w:style>
  <w:style w:type="paragraph" w:styleId="TOC5">
    <w:name w:val="toc 5"/>
    <w:basedOn w:val="Normal"/>
    <w:next w:val="Normal"/>
    <w:uiPriority w:val="39"/>
    <w:rsid w:val="000E1055"/>
    <w:pPr>
      <w:tabs>
        <w:tab w:val="right" w:leader="dot" w:pos="9299"/>
      </w:tabs>
      <w:spacing w:after="0" w:line="260" w:lineRule="atLeast"/>
      <w:ind w:left="851" w:right="425"/>
    </w:pPr>
  </w:style>
  <w:style w:type="paragraph" w:styleId="TOC6">
    <w:name w:val="toc 6"/>
    <w:basedOn w:val="Normal"/>
    <w:next w:val="Normal"/>
    <w:autoRedefine/>
    <w:uiPriority w:val="39"/>
    <w:rsid w:val="000E1055"/>
    <w:pPr>
      <w:spacing w:after="100"/>
      <w:ind w:left="1100"/>
    </w:pPr>
  </w:style>
  <w:style w:type="paragraph" w:styleId="TOC7">
    <w:name w:val="toc 7"/>
    <w:basedOn w:val="Normal"/>
    <w:next w:val="Normal"/>
    <w:autoRedefine/>
    <w:uiPriority w:val="39"/>
    <w:rsid w:val="000E1055"/>
    <w:pPr>
      <w:spacing w:after="100"/>
      <w:ind w:left="1320"/>
    </w:pPr>
  </w:style>
  <w:style w:type="paragraph" w:styleId="TOC8">
    <w:name w:val="toc 8"/>
    <w:basedOn w:val="Normal"/>
    <w:next w:val="Normal"/>
    <w:autoRedefine/>
    <w:uiPriority w:val="39"/>
    <w:rsid w:val="000E1055"/>
    <w:pPr>
      <w:spacing w:after="100"/>
      <w:ind w:left="1540"/>
    </w:pPr>
  </w:style>
  <w:style w:type="paragraph" w:styleId="TOC9">
    <w:name w:val="toc 9"/>
    <w:basedOn w:val="Normal"/>
    <w:next w:val="Normal"/>
    <w:autoRedefine/>
    <w:uiPriority w:val="39"/>
    <w:rsid w:val="000E1055"/>
    <w:pPr>
      <w:spacing w:after="100"/>
      <w:ind w:left="1760"/>
    </w:pPr>
  </w:style>
  <w:style w:type="paragraph" w:styleId="TOCHeading">
    <w:name w:val="TOC Heading"/>
    <w:basedOn w:val="Normalcolour"/>
    <w:next w:val="BodyText"/>
    <w:uiPriority w:val="39"/>
    <w:qFormat/>
    <w:rsid w:val="000E1055"/>
    <w:pPr>
      <w:keepNext/>
      <w:spacing w:after="720" w:line="540" w:lineRule="atLeast"/>
      <w:ind w:right="284"/>
    </w:pPr>
    <w:rPr>
      <w:sz w:val="48"/>
    </w:rPr>
  </w:style>
  <w:style w:type="paragraph" w:styleId="BodyText">
    <w:name w:val="Body Text"/>
    <w:basedOn w:val="Normal"/>
    <w:link w:val="BodyTextChar"/>
    <w:uiPriority w:val="2"/>
    <w:rsid w:val="000E1055"/>
  </w:style>
  <w:style w:type="character" w:customStyle="1" w:styleId="BodyTextChar">
    <w:name w:val="Body Text Char"/>
    <w:basedOn w:val="DefaultParagraphFont"/>
    <w:link w:val="BodyText"/>
    <w:uiPriority w:val="2"/>
    <w:rsid w:val="000E1055"/>
    <w:rPr>
      <w:rFonts w:ascii="Calibri" w:hAnsi="Calibri"/>
      <w:color w:val="1E1E1E"/>
      <w:sz w:val="24"/>
    </w:rPr>
  </w:style>
  <w:style w:type="paragraph" w:styleId="CommentText">
    <w:name w:val="annotation text"/>
    <w:basedOn w:val="Normal"/>
    <w:link w:val="CommentTextChar"/>
    <w:uiPriority w:val="98"/>
    <w:rsid w:val="000E1055"/>
    <w:pPr>
      <w:spacing w:line="240" w:lineRule="auto"/>
    </w:pPr>
    <w:rPr>
      <w:sz w:val="22"/>
      <w:szCs w:val="20"/>
    </w:rPr>
  </w:style>
  <w:style w:type="character" w:customStyle="1" w:styleId="CommentTextChar">
    <w:name w:val="Comment Text Char"/>
    <w:basedOn w:val="DefaultParagraphFont"/>
    <w:link w:val="CommentText"/>
    <w:uiPriority w:val="98"/>
    <w:rsid w:val="000E1055"/>
    <w:rPr>
      <w:rFonts w:ascii="Calibri" w:hAnsi="Calibri"/>
      <w:color w:val="1E1E1E"/>
      <w:szCs w:val="20"/>
    </w:rPr>
  </w:style>
  <w:style w:type="paragraph" w:styleId="CommentSubject">
    <w:name w:val="annotation subject"/>
    <w:basedOn w:val="CommentText"/>
    <w:next w:val="CommentText"/>
    <w:link w:val="CommentSubjectChar"/>
    <w:uiPriority w:val="98"/>
    <w:rsid w:val="000E1055"/>
    <w:rPr>
      <w:b/>
      <w:bCs/>
    </w:rPr>
  </w:style>
  <w:style w:type="character" w:customStyle="1" w:styleId="CommentSubjectChar">
    <w:name w:val="Comment Subject Char"/>
    <w:basedOn w:val="CommentTextChar"/>
    <w:link w:val="CommentSubject"/>
    <w:uiPriority w:val="98"/>
    <w:rsid w:val="000E1055"/>
    <w:rPr>
      <w:rFonts w:ascii="Calibri" w:hAnsi="Calibri"/>
      <w:b/>
      <w:bCs/>
      <w:color w:val="1E1E1E"/>
      <w:szCs w:val="20"/>
    </w:rPr>
  </w:style>
  <w:style w:type="paragraph" w:styleId="Date">
    <w:name w:val="Date"/>
    <w:basedOn w:val="Normal"/>
    <w:next w:val="Normal"/>
    <w:link w:val="DateChar"/>
    <w:uiPriority w:val="99"/>
    <w:semiHidden/>
    <w:rsid w:val="000E1055"/>
  </w:style>
  <w:style w:type="character" w:customStyle="1" w:styleId="DateChar">
    <w:name w:val="Date Char"/>
    <w:basedOn w:val="DefaultParagraphFont"/>
    <w:link w:val="Date"/>
    <w:uiPriority w:val="99"/>
    <w:semiHidden/>
    <w:rsid w:val="000E1055"/>
    <w:rPr>
      <w:rFonts w:ascii="Calibri" w:hAnsi="Calibri"/>
      <w:color w:val="1E1E1E"/>
      <w:sz w:val="24"/>
    </w:rPr>
  </w:style>
  <w:style w:type="paragraph" w:styleId="E-mailSignature">
    <w:name w:val="E-mail Signature"/>
    <w:basedOn w:val="Normal"/>
    <w:link w:val="E-mailSignatureChar"/>
    <w:uiPriority w:val="99"/>
    <w:rsid w:val="000E1055"/>
    <w:pPr>
      <w:spacing w:after="0" w:line="240" w:lineRule="auto"/>
    </w:pPr>
  </w:style>
  <w:style w:type="character" w:customStyle="1" w:styleId="E-mailSignatureChar">
    <w:name w:val="E-mail Signature Char"/>
    <w:basedOn w:val="DefaultParagraphFont"/>
    <w:link w:val="E-mailSignature"/>
    <w:uiPriority w:val="99"/>
    <w:rsid w:val="000E1055"/>
    <w:rPr>
      <w:rFonts w:ascii="Calibri" w:hAnsi="Calibri"/>
      <w:color w:val="1E1E1E"/>
      <w:sz w:val="24"/>
    </w:rPr>
  </w:style>
  <w:style w:type="paragraph" w:styleId="EndnoteText">
    <w:name w:val="endnote text"/>
    <w:basedOn w:val="Normal"/>
    <w:link w:val="EndnoteTextChar"/>
    <w:uiPriority w:val="7"/>
    <w:rsid w:val="000E1055"/>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0E1055"/>
    <w:rPr>
      <w:rFonts w:ascii="Calibri" w:hAnsi="Calibri"/>
      <w:color w:val="4D4D4D"/>
      <w:sz w:val="20"/>
      <w:szCs w:val="20"/>
    </w:rPr>
  </w:style>
  <w:style w:type="paragraph" w:styleId="EnvelopeAddress">
    <w:name w:val="envelope address"/>
    <w:basedOn w:val="Normal"/>
    <w:uiPriority w:val="99"/>
    <w:rsid w:val="000E1055"/>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rsid w:val="000E1055"/>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rsid w:val="000E1055"/>
    <w:pPr>
      <w:tabs>
        <w:tab w:val="right" w:pos="9299"/>
      </w:tabs>
      <w:spacing w:after="0" w:line="240" w:lineRule="auto"/>
    </w:pPr>
    <w:rPr>
      <w:color w:val="696969"/>
      <w:sz w:val="20"/>
    </w:rPr>
  </w:style>
  <w:style w:type="character" w:customStyle="1" w:styleId="FooterChar">
    <w:name w:val="Footer Char"/>
    <w:basedOn w:val="DefaultParagraphFont"/>
    <w:link w:val="Footer"/>
    <w:uiPriority w:val="99"/>
    <w:rsid w:val="000E1055"/>
    <w:rPr>
      <w:rFonts w:ascii="Calibri" w:hAnsi="Calibri"/>
      <w:color w:val="696969"/>
      <w:sz w:val="20"/>
    </w:rPr>
  </w:style>
  <w:style w:type="paragraph" w:styleId="FootnoteText">
    <w:name w:val="footnote text"/>
    <w:basedOn w:val="Normal"/>
    <w:link w:val="FootnoteTextChar"/>
    <w:uiPriority w:val="7"/>
    <w:rsid w:val="000E1055"/>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0E1055"/>
    <w:rPr>
      <w:rFonts w:ascii="Calibri" w:hAnsi="Calibri"/>
      <w:color w:val="4D4D4D"/>
      <w:sz w:val="20"/>
      <w:szCs w:val="20"/>
    </w:rPr>
  </w:style>
  <w:style w:type="paragraph" w:styleId="Header">
    <w:name w:val="header"/>
    <w:basedOn w:val="Normal"/>
    <w:link w:val="HeaderChar"/>
    <w:rsid w:val="000E1055"/>
    <w:pPr>
      <w:tabs>
        <w:tab w:val="right" w:pos="9299"/>
      </w:tabs>
      <w:spacing w:after="0" w:line="240" w:lineRule="auto"/>
    </w:pPr>
    <w:rPr>
      <w:color w:val="696969"/>
      <w:sz w:val="20"/>
    </w:rPr>
  </w:style>
  <w:style w:type="character" w:customStyle="1" w:styleId="HeaderChar">
    <w:name w:val="Header Char"/>
    <w:basedOn w:val="DefaultParagraphFont"/>
    <w:link w:val="Header"/>
    <w:rsid w:val="000E1055"/>
    <w:rPr>
      <w:rFonts w:ascii="Calibri" w:hAnsi="Calibri"/>
      <w:color w:val="696969"/>
      <w:sz w:val="20"/>
    </w:rPr>
  </w:style>
  <w:style w:type="paragraph" w:styleId="HTMLAddress">
    <w:name w:val="HTML Address"/>
    <w:basedOn w:val="Normal"/>
    <w:link w:val="HTMLAddressChar"/>
    <w:uiPriority w:val="99"/>
    <w:rsid w:val="000E1055"/>
    <w:pPr>
      <w:spacing w:after="0" w:line="240" w:lineRule="auto"/>
    </w:pPr>
    <w:rPr>
      <w:i/>
      <w:iCs/>
    </w:rPr>
  </w:style>
  <w:style w:type="character" w:customStyle="1" w:styleId="HTMLAddressChar">
    <w:name w:val="HTML Address Char"/>
    <w:basedOn w:val="DefaultParagraphFont"/>
    <w:link w:val="HTMLAddress"/>
    <w:uiPriority w:val="99"/>
    <w:rsid w:val="000E1055"/>
    <w:rPr>
      <w:rFonts w:ascii="Calibri" w:hAnsi="Calibri"/>
      <w:i/>
      <w:iCs/>
      <w:color w:val="1E1E1E"/>
      <w:sz w:val="24"/>
    </w:rPr>
  </w:style>
  <w:style w:type="paragraph" w:styleId="HTMLPreformatted">
    <w:name w:val="HTML Preformatted"/>
    <w:basedOn w:val="Normal"/>
    <w:link w:val="HTMLPreformattedChar"/>
    <w:uiPriority w:val="99"/>
    <w:unhideWhenUsed/>
    <w:rsid w:val="000E105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E1055"/>
    <w:rPr>
      <w:rFonts w:ascii="Consolas" w:hAnsi="Consolas"/>
      <w:color w:val="1E1E1E"/>
      <w:sz w:val="20"/>
      <w:szCs w:val="20"/>
    </w:rPr>
  </w:style>
  <w:style w:type="paragraph" w:styleId="Index1">
    <w:name w:val="index 1"/>
    <w:basedOn w:val="Normal"/>
    <w:uiPriority w:val="99"/>
    <w:rsid w:val="000E1055"/>
    <w:pPr>
      <w:spacing w:after="0" w:line="300" w:lineRule="atLeast"/>
      <w:ind w:left="220" w:hanging="220"/>
    </w:pPr>
    <w:rPr>
      <w:szCs w:val="18"/>
    </w:rPr>
  </w:style>
  <w:style w:type="paragraph" w:styleId="Index2">
    <w:name w:val="index 2"/>
    <w:basedOn w:val="Normal"/>
    <w:uiPriority w:val="99"/>
    <w:rsid w:val="000E1055"/>
    <w:pPr>
      <w:spacing w:after="0" w:line="300" w:lineRule="atLeast"/>
      <w:ind w:left="440" w:hanging="220"/>
    </w:pPr>
    <w:rPr>
      <w:szCs w:val="18"/>
    </w:rPr>
  </w:style>
  <w:style w:type="paragraph" w:styleId="Index3">
    <w:name w:val="index 3"/>
    <w:basedOn w:val="Normal"/>
    <w:uiPriority w:val="99"/>
    <w:rsid w:val="000E1055"/>
    <w:pPr>
      <w:spacing w:after="0" w:line="300" w:lineRule="atLeast"/>
      <w:ind w:left="660" w:hanging="220"/>
    </w:pPr>
    <w:rPr>
      <w:szCs w:val="18"/>
    </w:rPr>
  </w:style>
  <w:style w:type="paragraph" w:styleId="Index4">
    <w:name w:val="index 4"/>
    <w:basedOn w:val="Normal"/>
    <w:uiPriority w:val="99"/>
    <w:rsid w:val="000E1055"/>
    <w:pPr>
      <w:spacing w:after="0" w:line="300" w:lineRule="atLeast"/>
      <w:ind w:left="880" w:hanging="220"/>
    </w:pPr>
    <w:rPr>
      <w:szCs w:val="18"/>
    </w:rPr>
  </w:style>
  <w:style w:type="paragraph" w:styleId="Index5">
    <w:name w:val="index 5"/>
    <w:basedOn w:val="Normal"/>
    <w:uiPriority w:val="99"/>
    <w:rsid w:val="000E1055"/>
    <w:pPr>
      <w:spacing w:after="0" w:line="300" w:lineRule="atLeast"/>
      <w:ind w:left="1100" w:hanging="220"/>
    </w:pPr>
    <w:rPr>
      <w:szCs w:val="18"/>
    </w:rPr>
  </w:style>
  <w:style w:type="paragraph" w:styleId="Index6">
    <w:name w:val="index 6"/>
    <w:basedOn w:val="Normal"/>
    <w:uiPriority w:val="99"/>
    <w:rsid w:val="000E1055"/>
    <w:pPr>
      <w:spacing w:after="0" w:line="300" w:lineRule="atLeast"/>
      <w:ind w:left="1320" w:hanging="220"/>
    </w:pPr>
    <w:rPr>
      <w:szCs w:val="18"/>
    </w:rPr>
  </w:style>
  <w:style w:type="paragraph" w:styleId="Index7">
    <w:name w:val="index 7"/>
    <w:basedOn w:val="Normal"/>
    <w:uiPriority w:val="99"/>
    <w:rsid w:val="000E1055"/>
    <w:pPr>
      <w:spacing w:after="0" w:line="300" w:lineRule="atLeast"/>
      <w:ind w:left="1540" w:hanging="220"/>
    </w:pPr>
    <w:rPr>
      <w:szCs w:val="18"/>
    </w:rPr>
  </w:style>
  <w:style w:type="paragraph" w:styleId="Index8">
    <w:name w:val="index 8"/>
    <w:basedOn w:val="Normal"/>
    <w:uiPriority w:val="99"/>
    <w:rsid w:val="000E1055"/>
    <w:pPr>
      <w:spacing w:after="0" w:line="300" w:lineRule="atLeast"/>
      <w:ind w:left="1760" w:hanging="220"/>
    </w:pPr>
    <w:rPr>
      <w:szCs w:val="18"/>
    </w:rPr>
  </w:style>
  <w:style w:type="paragraph" w:styleId="Index9">
    <w:name w:val="index 9"/>
    <w:basedOn w:val="Normal"/>
    <w:uiPriority w:val="99"/>
    <w:rsid w:val="000E1055"/>
    <w:pPr>
      <w:spacing w:after="0" w:line="300" w:lineRule="atLeast"/>
      <w:ind w:left="1980" w:hanging="220"/>
    </w:pPr>
    <w:rPr>
      <w:szCs w:val="18"/>
    </w:rPr>
  </w:style>
  <w:style w:type="paragraph" w:styleId="IndexHeading">
    <w:name w:val="index heading"/>
    <w:basedOn w:val="Normal"/>
    <w:next w:val="Index1"/>
    <w:uiPriority w:val="1"/>
    <w:rsid w:val="000E1055"/>
    <w:pPr>
      <w:pBdr>
        <w:bottom w:val="single" w:sz="8" w:space="1" w:color="2BB673"/>
      </w:pBdr>
      <w:spacing w:before="200" w:after="60" w:line="300" w:lineRule="atLeast"/>
    </w:pPr>
    <w:rPr>
      <w:rFonts w:eastAsiaTheme="majorEastAsia" w:cstheme="majorBidi"/>
      <w:b/>
      <w:bCs/>
      <w:color w:val="2BB673"/>
      <w:sz w:val="26"/>
    </w:rPr>
  </w:style>
  <w:style w:type="paragraph" w:styleId="ListBullet2">
    <w:name w:val="List Bullet 2"/>
    <w:basedOn w:val="Normal"/>
    <w:uiPriority w:val="3"/>
    <w:rsid w:val="000E1055"/>
    <w:pPr>
      <w:numPr>
        <w:ilvl w:val="1"/>
        <w:numId w:val="3"/>
      </w:numPr>
    </w:pPr>
  </w:style>
  <w:style w:type="paragraph" w:styleId="ListBullet3">
    <w:name w:val="List Bullet 3"/>
    <w:basedOn w:val="Normal"/>
    <w:uiPriority w:val="3"/>
    <w:rsid w:val="000E1055"/>
    <w:pPr>
      <w:numPr>
        <w:ilvl w:val="2"/>
        <w:numId w:val="3"/>
      </w:numPr>
    </w:pPr>
  </w:style>
  <w:style w:type="paragraph" w:styleId="ListBullet4">
    <w:name w:val="List Bullet 4"/>
    <w:basedOn w:val="Normal"/>
    <w:uiPriority w:val="3"/>
    <w:rsid w:val="000E1055"/>
    <w:pPr>
      <w:numPr>
        <w:ilvl w:val="3"/>
        <w:numId w:val="3"/>
      </w:numPr>
    </w:pPr>
  </w:style>
  <w:style w:type="paragraph" w:styleId="ListContinue">
    <w:name w:val="List Continue"/>
    <w:basedOn w:val="Normal"/>
    <w:uiPriority w:val="4"/>
    <w:rsid w:val="000E1055"/>
    <w:pPr>
      <w:ind w:left="567"/>
    </w:pPr>
  </w:style>
  <w:style w:type="paragraph" w:styleId="ListContinue2">
    <w:name w:val="List Continue 2"/>
    <w:basedOn w:val="Normal"/>
    <w:uiPriority w:val="4"/>
    <w:rsid w:val="000E1055"/>
    <w:pPr>
      <w:ind w:left="1134"/>
    </w:pPr>
  </w:style>
  <w:style w:type="paragraph" w:styleId="ListContinue3">
    <w:name w:val="List Continue 3"/>
    <w:basedOn w:val="Normal"/>
    <w:uiPriority w:val="4"/>
    <w:rsid w:val="000E1055"/>
    <w:pPr>
      <w:ind w:left="1701"/>
    </w:pPr>
  </w:style>
  <w:style w:type="paragraph" w:styleId="ListContinue4">
    <w:name w:val="List Continue 4"/>
    <w:basedOn w:val="Normal"/>
    <w:uiPriority w:val="4"/>
    <w:rsid w:val="000E1055"/>
    <w:pPr>
      <w:ind w:left="2268"/>
    </w:pPr>
  </w:style>
  <w:style w:type="paragraph" w:styleId="ListContinue5">
    <w:name w:val="List Continue 5"/>
    <w:basedOn w:val="Normal"/>
    <w:uiPriority w:val="99"/>
    <w:rsid w:val="000E1055"/>
    <w:pPr>
      <w:spacing w:after="120"/>
      <w:ind w:left="1415"/>
      <w:contextualSpacing/>
    </w:pPr>
  </w:style>
  <w:style w:type="paragraph" w:styleId="ListNumber2">
    <w:name w:val="List Number 2"/>
    <w:basedOn w:val="Normal"/>
    <w:uiPriority w:val="5"/>
    <w:rsid w:val="000E1055"/>
    <w:pPr>
      <w:numPr>
        <w:ilvl w:val="1"/>
        <w:numId w:val="4"/>
      </w:numPr>
    </w:pPr>
  </w:style>
  <w:style w:type="paragraph" w:styleId="ListNumber3">
    <w:name w:val="List Number 3"/>
    <w:basedOn w:val="Normal"/>
    <w:uiPriority w:val="5"/>
    <w:rsid w:val="000E1055"/>
    <w:pPr>
      <w:numPr>
        <w:ilvl w:val="2"/>
        <w:numId w:val="4"/>
      </w:numPr>
    </w:pPr>
  </w:style>
  <w:style w:type="paragraph" w:styleId="NormalWeb">
    <w:name w:val="Normal (Web)"/>
    <w:basedOn w:val="Normal"/>
    <w:uiPriority w:val="99"/>
    <w:rsid w:val="000E1055"/>
    <w:rPr>
      <w:rFonts w:ascii="Times New Roman" w:hAnsi="Times New Roman" w:cs="Times New Roman"/>
      <w:szCs w:val="24"/>
    </w:rPr>
  </w:style>
  <w:style w:type="paragraph" w:styleId="TableofAuthorities">
    <w:name w:val="table of authorities"/>
    <w:basedOn w:val="Normal"/>
    <w:next w:val="BodyText"/>
    <w:uiPriority w:val="9"/>
    <w:rsid w:val="000E1055"/>
    <w:pPr>
      <w:spacing w:after="0"/>
      <w:ind w:left="220" w:hanging="220"/>
    </w:pPr>
  </w:style>
  <w:style w:type="paragraph" w:styleId="TableofFigures">
    <w:name w:val="table of figures"/>
    <w:basedOn w:val="Normal"/>
    <w:next w:val="BodyText"/>
    <w:uiPriority w:val="39"/>
    <w:rsid w:val="000E1055"/>
    <w:pPr>
      <w:tabs>
        <w:tab w:val="right" w:leader="underscore" w:pos="9299"/>
      </w:tabs>
      <w:spacing w:after="0" w:line="300" w:lineRule="atLeast"/>
      <w:ind w:right="425"/>
    </w:pPr>
  </w:style>
  <w:style w:type="paragraph" w:styleId="TOAHeading">
    <w:name w:val="toa heading"/>
    <w:basedOn w:val="Normal"/>
    <w:next w:val="Normal"/>
    <w:uiPriority w:val="9"/>
    <w:rsid w:val="000E1055"/>
    <w:pPr>
      <w:spacing w:before="120"/>
    </w:pPr>
    <w:rPr>
      <w:rFonts w:eastAsiaTheme="majorEastAsia" w:cstheme="majorBidi"/>
      <w:b/>
      <w:bCs/>
      <w:szCs w:val="24"/>
    </w:rPr>
  </w:style>
  <w:style w:type="paragraph" w:customStyle="1" w:styleId="Normalcolour">
    <w:name w:val="Normal colour"/>
    <w:basedOn w:val="Normal"/>
    <w:uiPriority w:val="98"/>
    <w:semiHidden/>
    <w:rsid w:val="000E1055"/>
    <w:rPr>
      <w:color w:val="2BB673"/>
    </w:rPr>
  </w:style>
  <w:style w:type="character" w:styleId="PageNumber">
    <w:name w:val="page number"/>
    <w:basedOn w:val="DefaultParagraphFont"/>
    <w:rsid w:val="000E1055"/>
    <w:rPr>
      <w:b/>
      <w:color w:val="000000"/>
      <w:sz w:val="20"/>
    </w:rPr>
  </w:style>
  <w:style w:type="paragraph" w:customStyle="1" w:styleId="Heading1line">
    <w:name w:val="Heading 1 line"/>
    <w:basedOn w:val="Normal"/>
    <w:next w:val="BodyText"/>
    <w:uiPriority w:val="1"/>
    <w:rsid w:val="000E1055"/>
    <w:pPr>
      <w:pBdr>
        <w:bottom w:val="single" w:sz="4" w:space="1" w:color="696969"/>
      </w:pBdr>
      <w:spacing w:before="1500" w:line="240" w:lineRule="auto"/>
    </w:pPr>
    <w:rPr>
      <w:color w:val="696969"/>
    </w:rPr>
  </w:style>
  <w:style w:type="paragraph" w:customStyle="1" w:styleId="Tableheadingrow1">
    <w:name w:val="Table heading row 1"/>
    <w:basedOn w:val="Normal"/>
    <w:uiPriority w:val="1"/>
    <w:qFormat/>
    <w:rsid w:val="000E1055"/>
    <w:pPr>
      <w:keepNext/>
      <w:spacing w:before="60" w:after="60" w:line="240" w:lineRule="auto"/>
    </w:pPr>
    <w:rPr>
      <w:color w:val="FFFFFF" w:themeColor="background1"/>
    </w:rPr>
  </w:style>
  <w:style w:type="paragraph" w:customStyle="1" w:styleId="Listoutline1-1">
    <w:name w:val="List outline 1 - 1."/>
    <w:basedOn w:val="BodyText"/>
    <w:uiPriority w:val="5"/>
    <w:rsid w:val="000E1055"/>
    <w:pPr>
      <w:numPr>
        <w:numId w:val="5"/>
      </w:numPr>
    </w:pPr>
  </w:style>
  <w:style w:type="paragraph" w:customStyle="1" w:styleId="Listoutline2-11">
    <w:name w:val="List outline 2 - 1.1"/>
    <w:basedOn w:val="Normal"/>
    <w:uiPriority w:val="5"/>
    <w:rsid w:val="000E1055"/>
    <w:pPr>
      <w:numPr>
        <w:ilvl w:val="1"/>
        <w:numId w:val="5"/>
      </w:numPr>
    </w:pPr>
  </w:style>
  <w:style w:type="paragraph" w:customStyle="1" w:styleId="Listoutline3-111">
    <w:name w:val="List outline 3 - 1.1.1"/>
    <w:basedOn w:val="Normal"/>
    <w:uiPriority w:val="5"/>
    <w:rsid w:val="000E1055"/>
    <w:pPr>
      <w:numPr>
        <w:ilvl w:val="2"/>
        <w:numId w:val="5"/>
      </w:numPr>
    </w:pPr>
  </w:style>
  <w:style w:type="character" w:styleId="Hyperlink">
    <w:name w:val="Hyperlink"/>
    <w:basedOn w:val="DefaultParagraphFont"/>
    <w:uiPriority w:val="99"/>
    <w:rsid w:val="000E1055"/>
    <w:rPr>
      <w:color w:val="0D6AB8"/>
      <w:u w:val="single"/>
    </w:rPr>
  </w:style>
  <w:style w:type="character" w:styleId="Emphasis">
    <w:name w:val="Emphasis"/>
    <w:uiPriority w:val="20"/>
    <w:qFormat/>
    <w:rsid w:val="000E1055"/>
    <w:rPr>
      <w:rFonts w:ascii="Calibri" w:hAnsi="Calibri"/>
      <w:b/>
      <w:bCs/>
      <w:iCs/>
      <w:spacing w:val="0"/>
      <w:lang w:val="en-NZ"/>
    </w:rPr>
  </w:style>
  <w:style w:type="paragraph" w:customStyle="1" w:styleId="Listcheckbox">
    <w:name w:val="List check box"/>
    <w:basedOn w:val="BodyText"/>
    <w:uiPriority w:val="3"/>
    <w:rsid w:val="000E1055"/>
  </w:style>
  <w:style w:type="character" w:styleId="EndnoteReference">
    <w:name w:val="endnote reference"/>
    <w:basedOn w:val="DefaultParagraphFont"/>
    <w:uiPriority w:val="7"/>
    <w:rsid w:val="000E1055"/>
    <w:rPr>
      <w:vertAlign w:val="superscript"/>
    </w:rPr>
  </w:style>
  <w:style w:type="paragraph" w:customStyle="1" w:styleId="Boxsmalltext">
    <w:name w:val="Box small text"/>
    <w:basedOn w:val="Normalcolour"/>
    <w:uiPriority w:val="2"/>
    <w:rsid w:val="000E1055"/>
    <w:rPr>
      <w:color w:val="1E1E1E"/>
      <w:sz w:val="22"/>
    </w:rPr>
  </w:style>
  <w:style w:type="paragraph" w:customStyle="1" w:styleId="Boxlargetext">
    <w:name w:val="Box large text"/>
    <w:basedOn w:val="Boxsmalltext"/>
    <w:uiPriority w:val="2"/>
    <w:rsid w:val="000E1055"/>
    <w:rPr>
      <w:sz w:val="28"/>
    </w:rPr>
  </w:style>
  <w:style w:type="paragraph" w:customStyle="1" w:styleId="Listoutline4-a">
    <w:name w:val="List outline 4 - a."/>
    <w:basedOn w:val="Normal"/>
    <w:uiPriority w:val="5"/>
    <w:rsid w:val="000E1055"/>
    <w:pPr>
      <w:numPr>
        <w:ilvl w:val="3"/>
        <w:numId w:val="5"/>
      </w:numPr>
    </w:pPr>
  </w:style>
  <w:style w:type="paragraph" w:customStyle="1" w:styleId="Listoutline5-i">
    <w:name w:val="List outline 5 - i."/>
    <w:basedOn w:val="Normal"/>
    <w:uiPriority w:val="5"/>
    <w:rsid w:val="000E1055"/>
    <w:pPr>
      <w:numPr>
        <w:ilvl w:val="4"/>
        <w:numId w:val="5"/>
      </w:numPr>
    </w:pPr>
  </w:style>
  <w:style w:type="paragraph" w:customStyle="1" w:styleId="Quotationparagraphbefore">
    <w:name w:val="Quotation (paragraph before)"/>
    <w:basedOn w:val="Normal"/>
    <w:next w:val="Quotationseparateparagraph"/>
    <w:uiPriority w:val="6"/>
    <w:rsid w:val="000E1055"/>
    <w:pPr>
      <w:spacing w:after="120" w:line="300" w:lineRule="atLeast"/>
    </w:pPr>
  </w:style>
  <w:style w:type="paragraph" w:customStyle="1" w:styleId="Quotationseparateparagraph">
    <w:name w:val="Quotation (separate paragraph)"/>
    <w:basedOn w:val="Normal"/>
    <w:uiPriority w:val="6"/>
    <w:rsid w:val="000E1055"/>
    <w:pPr>
      <w:spacing w:after="160" w:line="300" w:lineRule="atLeast"/>
      <w:ind w:left="567" w:right="567"/>
    </w:pPr>
    <w:rPr>
      <w:i/>
      <w:color w:val="4D4D4D"/>
    </w:rPr>
  </w:style>
  <w:style w:type="character" w:customStyle="1" w:styleId="Quotationwithinthesentence">
    <w:name w:val="Quotation (within the sentence)"/>
    <w:basedOn w:val="DefaultParagraphFont"/>
    <w:uiPriority w:val="6"/>
    <w:rsid w:val="000E1055"/>
    <w:rPr>
      <w:i/>
    </w:rPr>
  </w:style>
  <w:style w:type="paragraph" w:customStyle="1" w:styleId="Tablebodytext">
    <w:name w:val="Table body text"/>
    <w:basedOn w:val="BodyText"/>
    <w:uiPriority w:val="2"/>
    <w:rsid w:val="000E1055"/>
    <w:pPr>
      <w:spacing w:before="120" w:after="120"/>
    </w:pPr>
    <w:rPr>
      <w:sz w:val="22"/>
    </w:rPr>
  </w:style>
  <w:style w:type="paragraph" w:customStyle="1" w:styleId="Tablebodytextnospaceafter">
    <w:name w:val="Table body text (no space after)"/>
    <w:basedOn w:val="BodyText"/>
    <w:uiPriority w:val="2"/>
    <w:rsid w:val="000E1055"/>
    <w:pPr>
      <w:spacing w:before="40" w:after="40"/>
    </w:pPr>
    <w:rPr>
      <w:sz w:val="22"/>
    </w:rPr>
  </w:style>
  <w:style w:type="table" w:customStyle="1" w:styleId="TableBox">
    <w:name w:val="Table Box"/>
    <w:basedOn w:val="TableNormal"/>
    <w:uiPriority w:val="99"/>
    <w:rsid w:val="000E1055"/>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0E1055"/>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0E1055"/>
    <w:pPr>
      <w:spacing w:after="0" w:line="240" w:lineRule="auto"/>
    </w:pPr>
    <w:rPr>
      <w:sz w:val="16"/>
    </w:rPr>
  </w:style>
  <w:style w:type="paragraph" w:customStyle="1" w:styleId="Singlespacedparagraph">
    <w:name w:val="Single spaced paragraph"/>
    <w:basedOn w:val="BodyText"/>
    <w:uiPriority w:val="2"/>
    <w:rsid w:val="000E1055"/>
    <w:pPr>
      <w:spacing w:after="0"/>
    </w:pPr>
  </w:style>
  <w:style w:type="paragraph" w:customStyle="1" w:styleId="Headingboxtextinbody">
    <w:name w:val="Heading box text (in body)"/>
    <w:basedOn w:val="Normalcolour"/>
    <w:uiPriority w:val="1"/>
    <w:rsid w:val="000E1055"/>
    <w:pPr>
      <w:spacing w:before="360" w:after="60" w:line="320" w:lineRule="atLeast"/>
    </w:pPr>
    <w:rPr>
      <w:b/>
      <w:sz w:val="28"/>
    </w:rPr>
  </w:style>
  <w:style w:type="paragraph" w:customStyle="1" w:styleId="Headingboxtexttop">
    <w:name w:val="Heading box text (top)"/>
    <w:basedOn w:val="Normalcolour"/>
    <w:uiPriority w:val="1"/>
    <w:rsid w:val="000E1055"/>
    <w:pPr>
      <w:spacing w:after="60" w:line="320" w:lineRule="atLeast"/>
      <w:contextualSpacing/>
    </w:pPr>
    <w:rPr>
      <w:b/>
      <w:sz w:val="28"/>
    </w:rPr>
  </w:style>
  <w:style w:type="character" w:styleId="FollowedHyperlink">
    <w:name w:val="FollowedHyperlink"/>
    <w:basedOn w:val="DefaultParagraphFont"/>
    <w:uiPriority w:val="2"/>
    <w:rsid w:val="000E1055"/>
    <w:rPr>
      <w:color w:val="3C98E7"/>
      <w:u w:val="single"/>
    </w:rPr>
  </w:style>
  <w:style w:type="paragraph" w:customStyle="1" w:styleId="Heading1-Sub">
    <w:name w:val="Heading 1 - Sub"/>
    <w:basedOn w:val="Normal"/>
    <w:uiPriority w:val="1"/>
    <w:rsid w:val="000E1055"/>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0E1055"/>
    <w:rPr>
      <w:b/>
    </w:rPr>
  </w:style>
  <w:style w:type="paragraph" w:customStyle="1" w:styleId="Heading2-Start">
    <w:name w:val="Heading 2 - Start"/>
    <w:basedOn w:val="Heading2"/>
    <w:next w:val="BodyText"/>
    <w:uiPriority w:val="1"/>
    <w:semiHidden/>
    <w:qFormat/>
    <w:rsid w:val="000E1055"/>
    <w:pPr>
      <w:spacing w:before="200"/>
    </w:pPr>
  </w:style>
  <w:style w:type="paragraph" w:customStyle="1" w:styleId="HeadingAppendix">
    <w:name w:val="Heading Appendix"/>
    <w:basedOn w:val="Normalcolour"/>
    <w:next w:val="Heading1line"/>
    <w:uiPriority w:val="1"/>
    <w:rsid w:val="000E1055"/>
    <w:pPr>
      <w:keepNext/>
      <w:pageBreakBefore/>
      <w:numPr>
        <w:numId w:val="1"/>
      </w:numPr>
      <w:spacing w:line="560" w:lineRule="atLeast"/>
      <w:ind w:right="284"/>
      <w:outlineLvl w:val="0"/>
    </w:pPr>
    <w:rPr>
      <w:sz w:val="48"/>
    </w:rPr>
  </w:style>
  <w:style w:type="paragraph" w:customStyle="1" w:styleId="DL-addresslines">
    <w:name w:val="DL - address lines"/>
    <w:basedOn w:val="Singlespacedparagraph"/>
    <w:uiPriority w:val="12"/>
    <w:qFormat/>
    <w:rsid w:val="000E1055"/>
  </w:style>
  <w:style w:type="paragraph" w:customStyle="1" w:styleId="DL-closing">
    <w:name w:val="DL - closing"/>
    <w:basedOn w:val="Singlespacedparagraph"/>
    <w:uiPriority w:val="12"/>
    <w:qFormat/>
    <w:rsid w:val="000E1055"/>
    <w:pPr>
      <w:spacing w:before="600"/>
    </w:pPr>
  </w:style>
  <w:style w:type="paragraph" w:customStyle="1" w:styleId="DL-closingname">
    <w:name w:val="DL - closing name"/>
    <w:basedOn w:val="Singlespacedparagraph"/>
    <w:uiPriority w:val="12"/>
    <w:qFormat/>
    <w:rsid w:val="000E1055"/>
  </w:style>
  <w:style w:type="paragraph" w:customStyle="1" w:styleId="DL-closingposition">
    <w:name w:val="DL - closing position"/>
    <w:basedOn w:val="Singlespacedparagraph"/>
    <w:uiPriority w:val="12"/>
    <w:qFormat/>
    <w:rsid w:val="000E1055"/>
    <w:pPr>
      <w:spacing w:after="240"/>
    </w:pPr>
  </w:style>
  <w:style w:type="paragraph" w:customStyle="1" w:styleId="DL-date">
    <w:name w:val="DL - date"/>
    <w:basedOn w:val="Singlespacedparagraph"/>
    <w:next w:val="DL-addresslines"/>
    <w:uiPriority w:val="12"/>
    <w:qFormat/>
    <w:rsid w:val="000E1055"/>
    <w:pPr>
      <w:spacing w:before="300" w:after="600"/>
    </w:pPr>
  </w:style>
  <w:style w:type="paragraph" w:customStyle="1" w:styleId="DL-enclosure">
    <w:name w:val="DL - enclosure"/>
    <w:basedOn w:val="Singlespacedparagraph"/>
    <w:uiPriority w:val="12"/>
    <w:qFormat/>
    <w:rsid w:val="000E1055"/>
    <w:pPr>
      <w:tabs>
        <w:tab w:val="left" w:pos="709"/>
      </w:tabs>
    </w:pPr>
  </w:style>
  <w:style w:type="paragraph" w:customStyle="1" w:styleId="DL-freephonetextline">
    <w:name w:val="DL - freephone text line"/>
    <w:basedOn w:val="Singlespacedparagraph"/>
    <w:uiPriority w:val="12"/>
    <w:rsid w:val="000E1055"/>
    <w:pPr>
      <w:spacing w:before="340" w:after="600"/>
      <w:jc w:val="right"/>
    </w:pPr>
    <w:rPr>
      <w:sz w:val="17"/>
    </w:rPr>
  </w:style>
  <w:style w:type="paragraph" w:customStyle="1" w:styleId="DL-ourref">
    <w:name w:val="DL - our ref"/>
    <w:basedOn w:val="Singlespacedparagraph"/>
    <w:next w:val="DL-date"/>
    <w:uiPriority w:val="12"/>
    <w:qFormat/>
    <w:rsid w:val="000E1055"/>
    <w:pPr>
      <w:spacing w:after="300"/>
    </w:pPr>
  </w:style>
  <w:style w:type="paragraph" w:customStyle="1" w:styleId="DL-salutation">
    <w:name w:val="DL - salutation"/>
    <w:basedOn w:val="Singlespacedparagraph"/>
    <w:next w:val="Heading1"/>
    <w:uiPriority w:val="12"/>
    <w:qFormat/>
    <w:rsid w:val="000E1055"/>
    <w:pPr>
      <w:spacing w:before="600"/>
    </w:pPr>
  </w:style>
  <w:style w:type="paragraph" w:customStyle="1" w:styleId="Footerline">
    <w:name w:val="Footer line"/>
    <w:basedOn w:val="Footer"/>
    <w:next w:val="Footer"/>
    <w:uiPriority w:val="10"/>
    <w:rsid w:val="000E1055"/>
    <w:pPr>
      <w:pBdr>
        <w:top w:val="single" w:sz="4" w:space="5" w:color="696969"/>
      </w:pBdr>
      <w:ind w:left="23" w:right="23"/>
    </w:pPr>
    <w:rPr>
      <w:sz w:val="2"/>
    </w:rPr>
  </w:style>
  <w:style w:type="paragraph" w:customStyle="1" w:styleId="Headerline">
    <w:name w:val="Header line"/>
    <w:basedOn w:val="Header"/>
    <w:rsid w:val="000E1055"/>
    <w:pPr>
      <w:pBdr>
        <w:bottom w:val="single" w:sz="4" w:space="5" w:color="696969"/>
      </w:pBdr>
      <w:ind w:left="23" w:right="23"/>
    </w:pPr>
    <w:rPr>
      <w:sz w:val="2"/>
    </w:rPr>
  </w:style>
  <w:style w:type="paragraph" w:customStyle="1" w:styleId="Tableoffiguresheading">
    <w:name w:val="Table of figures heading"/>
    <w:basedOn w:val="Heading4"/>
    <w:uiPriority w:val="1"/>
    <w:rsid w:val="000E1055"/>
  </w:style>
  <w:style w:type="paragraph" w:customStyle="1" w:styleId="Legindent1">
    <w:name w:val="Leg indent 1"/>
    <w:basedOn w:val="Normal"/>
    <w:uiPriority w:val="9"/>
    <w:rsid w:val="000E1055"/>
    <w:pPr>
      <w:spacing w:after="160" w:line="300" w:lineRule="atLeast"/>
      <w:ind w:left="851"/>
    </w:pPr>
  </w:style>
  <w:style w:type="paragraph" w:customStyle="1" w:styleId="Legindent2">
    <w:name w:val="Leg indent 2"/>
    <w:basedOn w:val="Normal"/>
    <w:uiPriority w:val="9"/>
    <w:rsid w:val="000E1055"/>
    <w:pPr>
      <w:spacing w:after="160" w:line="300" w:lineRule="atLeast"/>
      <w:ind w:left="1559"/>
    </w:pPr>
  </w:style>
  <w:style w:type="paragraph" w:customStyle="1" w:styleId="Legindent3">
    <w:name w:val="Leg indent 3"/>
    <w:basedOn w:val="Normal"/>
    <w:uiPriority w:val="9"/>
    <w:rsid w:val="000E1055"/>
    <w:pPr>
      <w:spacing w:after="160" w:line="300" w:lineRule="atLeast"/>
      <w:ind w:left="2268"/>
    </w:pPr>
  </w:style>
  <w:style w:type="paragraph" w:customStyle="1" w:styleId="Legstyle-1">
    <w:name w:val="Leg style - (1)"/>
    <w:basedOn w:val="Normal"/>
    <w:uiPriority w:val="9"/>
    <w:rsid w:val="000E1055"/>
    <w:pPr>
      <w:tabs>
        <w:tab w:val="left" w:pos="851"/>
      </w:tabs>
      <w:spacing w:after="160" w:line="300" w:lineRule="atLeast"/>
      <w:ind w:left="851" w:hanging="851"/>
    </w:pPr>
  </w:style>
  <w:style w:type="paragraph" w:customStyle="1" w:styleId="Legstyle-a">
    <w:name w:val="Leg style - (a)"/>
    <w:basedOn w:val="Normal"/>
    <w:uiPriority w:val="9"/>
    <w:rsid w:val="000E1055"/>
    <w:pPr>
      <w:tabs>
        <w:tab w:val="left" w:pos="1559"/>
      </w:tabs>
      <w:spacing w:after="160" w:line="300" w:lineRule="atLeast"/>
      <w:ind w:left="1560" w:hanging="709"/>
    </w:pPr>
  </w:style>
  <w:style w:type="paragraph" w:customStyle="1" w:styleId="Legstyle-i">
    <w:name w:val="Leg style - (i)"/>
    <w:basedOn w:val="Normal"/>
    <w:uiPriority w:val="9"/>
    <w:rsid w:val="000E1055"/>
    <w:pPr>
      <w:tabs>
        <w:tab w:val="left" w:pos="2268"/>
      </w:tabs>
      <w:spacing w:after="160" w:line="300" w:lineRule="atLeast"/>
      <w:ind w:left="2268" w:hanging="709"/>
    </w:pPr>
  </w:style>
  <w:style w:type="paragraph" w:customStyle="1" w:styleId="Legstyle-10">
    <w:name w:val="Leg style - 1"/>
    <w:basedOn w:val="Normal"/>
    <w:uiPriority w:val="9"/>
    <w:rsid w:val="000E1055"/>
    <w:pPr>
      <w:tabs>
        <w:tab w:val="left" w:pos="851"/>
      </w:tabs>
      <w:spacing w:after="160" w:line="300" w:lineRule="atLeast"/>
      <w:ind w:left="851" w:hanging="851"/>
    </w:pPr>
    <w:rPr>
      <w:b/>
    </w:rPr>
  </w:style>
  <w:style w:type="paragraph" w:customStyle="1" w:styleId="QLegindent1">
    <w:name w:val="QLeg indent 1"/>
    <w:basedOn w:val="Normal"/>
    <w:uiPriority w:val="2"/>
    <w:rsid w:val="000E1055"/>
    <w:pPr>
      <w:spacing w:after="160" w:line="300" w:lineRule="atLeast"/>
      <w:ind w:left="1985" w:right="567"/>
    </w:pPr>
    <w:rPr>
      <w:i/>
      <w:color w:val="4D4D4D"/>
    </w:rPr>
  </w:style>
  <w:style w:type="paragraph" w:customStyle="1" w:styleId="QLegindent2">
    <w:name w:val="QLeg indent 2"/>
    <w:basedOn w:val="Normal"/>
    <w:uiPriority w:val="2"/>
    <w:rsid w:val="000E1055"/>
    <w:pPr>
      <w:spacing w:after="160" w:line="300" w:lineRule="atLeast"/>
      <w:ind w:left="2693" w:right="567"/>
    </w:pPr>
    <w:rPr>
      <w:i/>
      <w:color w:val="4D4D4D"/>
    </w:rPr>
  </w:style>
  <w:style w:type="paragraph" w:customStyle="1" w:styleId="QLegindent3">
    <w:name w:val="QLeg indent 3"/>
    <w:basedOn w:val="Normal"/>
    <w:uiPriority w:val="2"/>
    <w:rsid w:val="000E1055"/>
    <w:pPr>
      <w:spacing w:after="160" w:line="300" w:lineRule="atLeast"/>
      <w:ind w:left="3402" w:right="567"/>
    </w:pPr>
    <w:rPr>
      <w:i/>
      <w:color w:val="4D4D4D"/>
    </w:rPr>
  </w:style>
  <w:style w:type="paragraph" w:customStyle="1" w:styleId="QLegstyle-1">
    <w:name w:val="QLeg style - (1)"/>
    <w:basedOn w:val="Normal"/>
    <w:uiPriority w:val="2"/>
    <w:rsid w:val="000E1055"/>
    <w:pPr>
      <w:tabs>
        <w:tab w:val="left" w:pos="1985"/>
      </w:tabs>
      <w:spacing w:after="160" w:line="300" w:lineRule="atLeast"/>
      <w:ind w:left="1985" w:right="567" w:hanging="851"/>
    </w:pPr>
    <w:rPr>
      <w:i/>
      <w:color w:val="4D4D4D"/>
    </w:rPr>
  </w:style>
  <w:style w:type="paragraph" w:customStyle="1" w:styleId="QLegstyle-a">
    <w:name w:val="QLeg style - (a)"/>
    <w:basedOn w:val="Normal"/>
    <w:uiPriority w:val="2"/>
    <w:rsid w:val="000E1055"/>
    <w:pPr>
      <w:tabs>
        <w:tab w:val="left" w:pos="2693"/>
      </w:tabs>
      <w:spacing w:after="160" w:line="300" w:lineRule="atLeast"/>
      <w:ind w:left="2694" w:right="567" w:hanging="709"/>
    </w:pPr>
    <w:rPr>
      <w:i/>
      <w:color w:val="4D4D4D"/>
    </w:rPr>
  </w:style>
  <w:style w:type="paragraph" w:customStyle="1" w:styleId="QLegstyle-i">
    <w:name w:val="QLeg style - (i)"/>
    <w:basedOn w:val="Normal"/>
    <w:uiPriority w:val="2"/>
    <w:rsid w:val="000E1055"/>
    <w:pPr>
      <w:tabs>
        <w:tab w:val="left" w:pos="3402"/>
      </w:tabs>
      <w:spacing w:after="160" w:line="300" w:lineRule="atLeast"/>
      <w:ind w:left="3402" w:right="567" w:hanging="709"/>
    </w:pPr>
    <w:rPr>
      <w:i/>
      <w:color w:val="4D4D4D"/>
    </w:rPr>
  </w:style>
  <w:style w:type="paragraph" w:customStyle="1" w:styleId="QLegstyle-10">
    <w:name w:val="QLeg style - 1"/>
    <w:basedOn w:val="Normal"/>
    <w:uiPriority w:val="2"/>
    <w:rsid w:val="000E1055"/>
    <w:pPr>
      <w:tabs>
        <w:tab w:val="left" w:pos="1985"/>
      </w:tabs>
      <w:spacing w:after="160" w:line="300" w:lineRule="atLeast"/>
      <w:ind w:left="1985" w:right="567" w:hanging="851"/>
    </w:pPr>
    <w:rPr>
      <w:b/>
      <w:i/>
      <w:color w:val="4D4D4D"/>
    </w:rPr>
  </w:style>
  <w:style w:type="paragraph" w:customStyle="1" w:styleId="Heading1-Start">
    <w:name w:val="Heading 1 - Start"/>
    <w:basedOn w:val="Heading1"/>
    <w:next w:val="BodyText"/>
    <w:uiPriority w:val="1"/>
    <w:rsid w:val="000E1055"/>
  </w:style>
  <w:style w:type="paragraph" w:customStyle="1" w:styleId="Guidelines">
    <w:name w:val="Guidelines"/>
    <w:basedOn w:val="Normal"/>
    <w:next w:val="BodyText"/>
    <w:uiPriority w:val="2"/>
    <w:rsid w:val="000E1055"/>
    <w:pPr>
      <w:spacing w:after="160" w:line="300" w:lineRule="atLeast"/>
    </w:pPr>
    <w:rPr>
      <w:color w:val="00B050"/>
    </w:rPr>
  </w:style>
  <w:style w:type="paragraph" w:customStyle="1" w:styleId="TOCChaptercontents">
    <w:name w:val="TOC Chapter contents"/>
    <w:basedOn w:val="BodyText"/>
    <w:uiPriority w:val="1"/>
    <w:rsid w:val="000E1055"/>
    <w:pPr>
      <w:pBdr>
        <w:top w:val="single" w:sz="2" w:space="3" w:color="696969"/>
      </w:pBdr>
      <w:tabs>
        <w:tab w:val="right" w:pos="9299"/>
      </w:tabs>
      <w:spacing w:after="0"/>
    </w:pPr>
    <w:rPr>
      <w:sz w:val="25"/>
    </w:rPr>
  </w:style>
  <w:style w:type="table" w:customStyle="1" w:styleId="TableGridAnnualReport">
    <w:name w:val="Table Grid (Annual Report)"/>
    <w:basedOn w:val="TableNormal"/>
    <w:uiPriority w:val="99"/>
    <w:rsid w:val="000E1055"/>
    <w:pPr>
      <w:spacing w:after="0" w:line="240" w:lineRule="auto"/>
    </w:pPr>
    <w:tblPr>
      <w:tblStyleRowBandSize w:val="1"/>
      <w:tblStyleColBandSize w:val="1"/>
    </w:tblPr>
    <w:tblStylePr w:type="firstRow">
      <w:rPr>
        <w:sz w:val="22"/>
      </w:rPr>
      <w:tblPr/>
      <w:trPr>
        <w:tblHeader/>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paragraph" w:customStyle="1" w:styleId="TOCContents">
    <w:name w:val="TOC Contents"/>
    <w:basedOn w:val="BodyText"/>
    <w:next w:val="BodyText"/>
    <w:uiPriority w:val="1"/>
    <w:rsid w:val="000E1055"/>
    <w:pPr>
      <w:pBdr>
        <w:bottom w:val="single" w:sz="2" w:space="6" w:color="2BB673"/>
      </w:pBdr>
      <w:tabs>
        <w:tab w:val="right" w:pos="9299"/>
      </w:tabs>
      <w:spacing w:after="360"/>
    </w:pPr>
    <w:rPr>
      <w:color w:val="2BB673"/>
      <w:sz w:val="36"/>
    </w:rPr>
  </w:style>
  <w:style w:type="paragraph" w:customStyle="1" w:styleId="HeadingPart">
    <w:name w:val="Heading Part"/>
    <w:basedOn w:val="BodyText"/>
    <w:uiPriority w:val="1"/>
    <w:rsid w:val="000E1055"/>
    <w:pPr>
      <w:pBdr>
        <w:top w:val="single" w:sz="2" w:space="6" w:color="696969"/>
      </w:pBdr>
      <w:spacing w:line="540" w:lineRule="atLeast"/>
    </w:pPr>
    <w:rPr>
      <w:sz w:val="48"/>
    </w:rPr>
  </w:style>
  <w:style w:type="paragraph" w:customStyle="1" w:styleId="QIndent1">
    <w:name w:val="QIndent 1"/>
    <w:basedOn w:val="Normal"/>
    <w:uiPriority w:val="6"/>
    <w:rsid w:val="000E1055"/>
    <w:pPr>
      <w:spacing w:after="160" w:line="300" w:lineRule="atLeast"/>
      <w:ind w:left="1134" w:right="567"/>
    </w:pPr>
    <w:rPr>
      <w:i/>
      <w:color w:val="4D4D4D"/>
    </w:rPr>
  </w:style>
  <w:style w:type="paragraph" w:customStyle="1" w:styleId="QIndent2">
    <w:name w:val="QIndent 2"/>
    <w:basedOn w:val="Normal"/>
    <w:uiPriority w:val="6"/>
    <w:rsid w:val="000E1055"/>
    <w:pPr>
      <w:spacing w:after="160" w:line="300" w:lineRule="atLeast"/>
      <w:ind w:left="1701" w:right="567"/>
    </w:pPr>
    <w:rPr>
      <w:i/>
      <w:color w:val="4D4D4D"/>
    </w:rPr>
  </w:style>
  <w:style w:type="paragraph" w:customStyle="1" w:styleId="QIndent3">
    <w:name w:val="QIndent 3"/>
    <w:basedOn w:val="Normal"/>
    <w:uiPriority w:val="6"/>
    <w:rsid w:val="000E1055"/>
    <w:pPr>
      <w:spacing w:after="160" w:line="300" w:lineRule="atLeast"/>
      <w:ind w:left="2268" w:right="567"/>
    </w:pPr>
    <w:rPr>
      <w:i/>
      <w:color w:val="4D4D4D"/>
    </w:rPr>
  </w:style>
  <w:style w:type="paragraph" w:customStyle="1" w:styleId="QListalpha">
    <w:name w:val="QList alpha"/>
    <w:basedOn w:val="Normal"/>
    <w:uiPriority w:val="6"/>
    <w:rsid w:val="000E1055"/>
    <w:pPr>
      <w:numPr>
        <w:numId w:val="21"/>
      </w:numPr>
      <w:spacing w:after="160" w:line="300" w:lineRule="atLeast"/>
      <w:ind w:right="567"/>
    </w:pPr>
    <w:rPr>
      <w:i/>
      <w:color w:val="4D4D4D"/>
    </w:rPr>
  </w:style>
  <w:style w:type="paragraph" w:customStyle="1" w:styleId="QListbullet">
    <w:name w:val="QList bullet"/>
    <w:basedOn w:val="Normal"/>
    <w:uiPriority w:val="6"/>
    <w:rsid w:val="000E1055"/>
    <w:pPr>
      <w:numPr>
        <w:numId w:val="22"/>
      </w:numPr>
      <w:spacing w:after="160" w:line="300" w:lineRule="atLeast"/>
      <w:ind w:right="567"/>
    </w:pPr>
    <w:rPr>
      <w:i/>
      <w:color w:val="4D4D4D"/>
    </w:rPr>
  </w:style>
  <w:style w:type="paragraph" w:customStyle="1" w:styleId="QListnumber">
    <w:name w:val="QList number"/>
    <w:basedOn w:val="Normal"/>
    <w:uiPriority w:val="6"/>
    <w:rsid w:val="000E1055"/>
    <w:pPr>
      <w:numPr>
        <w:numId w:val="23"/>
      </w:numPr>
      <w:spacing w:after="160" w:line="300" w:lineRule="atLeast"/>
      <w:ind w:right="567"/>
    </w:pPr>
    <w:rPr>
      <w:i/>
      <w:color w:val="4D4D4D"/>
    </w:rPr>
  </w:style>
  <w:style w:type="paragraph" w:customStyle="1" w:styleId="QListroman">
    <w:name w:val="QList roman"/>
    <w:basedOn w:val="Normal"/>
    <w:uiPriority w:val="6"/>
    <w:rsid w:val="000E1055"/>
    <w:pPr>
      <w:numPr>
        <w:numId w:val="24"/>
      </w:numPr>
      <w:spacing w:after="160" w:line="300" w:lineRule="atLeast"/>
      <w:ind w:right="567"/>
    </w:pPr>
    <w:rPr>
      <w:rFonts w:eastAsia="Times New Roman" w:cs="Times New Roman"/>
      <w:i/>
      <w:color w:val="4D4D4D"/>
      <w:szCs w:val="20"/>
    </w:rPr>
  </w:style>
  <w:style w:type="paragraph" w:customStyle="1" w:styleId="Bullet1">
    <w:name w:val="Bullet 1"/>
    <w:basedOn w:val="Normal"/>
    <w:uiPriority w:val="2"/>
    <w:rsid w:val="000E1055"/>
    <w:pPr>
      <w:numPr>
        <w:numId w:val="11"/>
      </w:numPr>
      <w:spacing w:after="160" w:line="300" w:lineRule="atLeast"/>
    </w:pPr>
  </w:style>
  <w:style w:type="paragraph" w:customStyle="1" w:styleId="Bullet2">
    <w:name w:val="Bullet 2"/>
    <w:basedOn w:val="Normal"/>
    <w:uiPriority w:val="2"/>
    <w:rsid w:val="000E1055"/>
    <w:pPr>
      <w:numPr>
        <w:ilvl w:val="1"/>
        <w:numId w:val="11"/>
      </w:numPr>
      <w:spacing w:after="160" w:line="300" w:lineRule="atLeast"/>
    </w:pPr>
  </w:style>
  <w:style w:type="paragraph" w:customStyle="1" w:styleId="Bullet3">
    <w:name w:val="Bullet 3"/>
    <w:basedOn w:val="Normal"/>
    <w:uiPriority w:val="2"/>
    <w:rsid w:val="000E1055"/>
    <w:pPr>
      <w:numPr>
        <w:ilvl w:val="2"/>
        <w:numId w:val="11"/>
      </w:numPr>
      <w:spacing w:after="160" w:line="300" w:lineRule="atLeast"/>
    </w:pPr>
  </w:style>
  <w:style w:type="paragraph" w:customStyle="1" w:styleId="Bullet4">
    <w:name w:val="Bullet 4"/>
    <w:basedOn w:val="Normal"/>
    <w:uiPriority w:val="2"/>
    <w:rsid w:val="000E1055"/>
    <w:pPr>
      <w:numPr>
        <w:ilvl w:val="3"/>
        <w:numId w:val="11"/>
      </w:numPr>
      <w:spacing w:after="160" w:line="300" w:lineRule="atLeast"/>
    </w:pPr>
  </w:style>
  <w:style w:type="paragraph" w:customStyle="1" w:styleId="Indent1">
    <w:name w:val="Indent 1"/>
    <w:basedOn w:val="Normal"/>
    <w:uiPriority w:val="4"/>
    <w:rsid w:val="000E1055"/>
    <w:pPr>
      <w:ind w:left="567"/>
    </w:pPr>
  </w:style>
  <w:style w:type="paragraph" w:customStyle="1" w:styleId="Indent2">
    <w:name w:val="Indent 2"/>
    <w:basedOn w:val="Normal"/>
    <w:uiPriority w:val="4"/>
    <w:rsid w:val="000E1055"/>
    <w:pPr>
      <w:ind w:left="1134"/>
    </w:pPr>
  </w:style>
  <w:style w:type="paragraph" w:customStyle="1" w:styleId="Indent3">
    <w:name w:val="Indent 3"/>
    <w:basedOn w:val="Normal"/>
    <w:uiPriority w:val="4"/>
    <w:rsid w:val="000E1055"/>
    <w:pPr>
      <w:ind w:left="1701"/>
    </w:pPr>
  </w:style>
  <w:style w:type="paragraph" w:customStyle="1" w:styleId="Indent4">
    <w:name w:val="Indent 4"/>
    <w:basedOn w:val="Normal"/>
    <w:uiPriority w:val="4"/>
    <w:rsid w:val="000E1055"/>
    <w:pPr>
      <w:ind w:left="2268"/>
    </w:pPr>
  </w:style>
  <w:style w:type="paragraph" w:customStyle="1" w:styleId="Number-1">
    <w:name w:val="Number - 1."/>
    <w:basedOn w:val="BodyText"/>
    <w:uiPriority w:val="5"/>
    <w:rsid w:val="000E1055"/>
    <w:pPr>
      <w:numPr>
        <w:numId w:val="15"/>
      </w:numPr>
      <w:spacing w:after="160" w:line="300" w:lineRule="atLeast"/>
    </w:pPr>
  </w:style>
  <w:style w:type="paragraph" w:customStyle="1" w:styleId="Number-11">
    <w:name w:val="Number - 1.1"/>
    <w:basedOn w:val="Normal"/>
    <w:uiPriority w:val="5"/>
    <w:rsid w:val="000E1055"/>
    <w:pPr>
      <w:numPr>
        <w:ilvl w:val="1"/>
        <w:numId w:val="15"/>
      </w:numPr>
      <w:spacing w:after="160" w:line="300" w:lineRule="atLeast"/>
    </w:pPr>
  </w:style>
  <w:style w:type="paragraph" w:customStyle="1" w:styleId="Number-111">
    <w:name w:val="Number - 1.1.1"/>
    <w:basedOn w:val="Normal"/>
    <w:uiPriority w:val="5"/>
    <w:rsid w:val="000E1055"/>
    <w:pPr>
      <w:numPr>
        <w:ilvl w:val="2"/>
        <w:numId w:val="15"/>
      </w:numPr>
      <w:spacing w:after="160" w:line="300" w:lineRule="atLeast"/>
    </w:pPr>
  </w:style>
  <w:style w:type="paragraph" w:customStyle="1" w:styleId="Number-a">
    <w:name w:val="Number - a."/>
    <w:basedOn w:val="Normal"/>
    <w:uiPriority w:val="5"/>
    <w:rsid w:val="000E1055"/>
    <w:pPr>
      <w:numPr>
        <w:numId w:val="16"/>
      </w:numPr>
      <w:spacing w:after="160" w:line="300" w:lineRule="atLeast"/>
    </w:pPr>
  </w:style>
  <w:style w:type="paragraph" w:customStyle="1" w:styleId="Number-i">
    <w:name w:val="Number - i."/>
    <w:basedOn w:val="Normal"/>
    <w:uiPriority w:val="5"/>
    <w:rsid w:val="000E1055"/>
    <w:pPr>
      <w:numPr>
        <w:ilvl w:val="1"/>
        <w:numId w:val="16"/>
      </w:numPr>
      <w:spacing w:after="160" w:line="300" w:lineRule="atLeast"/>
    </w:pPr>
  </w:style>
  <w:style w:type="paragraph" w:customStyle="1" w:styleId="Number1">
    <w:name w:val="Number 1"/>
    <w:basedOn w:val="Normal"/>
    <w:uiPriority w:val="5"/>
    <w:rsid w:val="000E1055"/>
    <w:pPr>
      <w:numPr>
        <w:numId w:val="17"/>
      </w:numPr>
      <w:spacing w:after="160" w:line="300" w:lineRule="atLeast"/>
    </w:pPr>
  </w:style>
  <w:style w:type="paragraph" w:customStyle="1" w:styleId="Number2">
    <w:name w:val="Number 2"/>
    <w:basedOn w:val="Normal"/>
    <w:uiPriority w:val="5"/>
    <w:rsid w:val="000E1055"/>
    <w:pPr>
      <w:numPr>
        <w:ilvl w:val="1"/>
        <w:numId w:val="17"/>
      </w:numPr>
      <w:spacing w:after="160" w:line="300" w:lineRule="atLeast"/>
    </w:pPr>
  </w:style>
  <w:style w:type="paragraph" w:customStyle="1" w:styleId="Number3">
    <w:name w:val="Number 3"/>
    <w:basedOn w:val="Normal"/>
    <w:uiPriority w:val="5"/>
    <w:rsid w:val="000E1055"/>
    <w:pPr>
      <w:numPr>
        <w:ilvl w:val="2"/>
        <w:numId w:val="17"/>
      </w:numPr>
      <w:spacing w:after="160" w:line="300" w:lineRule="atLeast"/>
    </w:pPr>
  </w:style>
  <w:style w:type="paragraph" w:customStyle="1" w:styleId="TableBullet1">
    <w:name w:val="Table Bullet 1"/>
    <w:basedOn w:val="Normal"/>
    <w:uiPriority w:val="2"/>
    <w:rsid w:val="000E1055"/>
    <w:pPr>
      <w:numPr>
        <w:numId w:val="18"/>
      </w:numPr>
      <w:spacing w:before="120" w:after="120" w:line="300" w:lineRule="atLeast"/>
    </w:pPr>
    <w:rPr>
      <w:sz w:val="22"/>
    </w:rPr>
  </w:style>
  <w:style w:type="paragraph" w:customStyle="1" w:styleId="TableBullet2">
    <w:name w:val="Table Bullet 2"/>
    <w:basedOn w:val="Normal"/>
    <w:uiPriority w:val="2"/>
    <w:rsid w:val="000E1055"/>
    <w:pPr>
      <w:numPr>
        <w:ilvl w:val="1"/>
        <w:numId w:val="18"/>
      </w:numPr>
      <w:spacing w:before="120" w:after="120" w:line="300" w:lineRule="atLeast"/>
    </w:pPr>
    <w:rPr>
      <w:sz w:val="22"/>
    </w:rPr>
  </w:style>
  <w:style w:type="paragraph" w:customStyle="1" w:styleId="TableBullet3">
    <w:name w:val="Table Bullet 3"/>
    <w:basedOn w:val="Normal"/>
    <w:uiPriority w:val="2"/>
    <w:rsid w:val="000E1055"/>
    <w:pPr>
      <w:numPr>
        <w:ilvl w:val="2"/>
        <w:numId w:val="18"/>
      </w:numPr>
      <w:spacing w:before="120" w:after="120" w:line="300" w:lineRule="atLeast"/>
    </w:pPr>
    <w:rPr>
      <w:sz w:val="22"/>
    </w:rPr>
  </w:style>
  <w:style w:type="paragraph" w:customStyle="1" w:styleId="Tableheading">
    <w:name w:val="Table heading"/>
    <w:basedOn w:val="Tablebodytext"/>
    <w:next w:val="Tablebodytext"/>
    <w:uiPriority w:val="2"/>
    <w:rsid w:val="000E1055"/>
    <w:pPr>
      <w:keepNext/>
      <w:spacing w:after="60"/>
    </w:pPr>
    <w:rPr>
      <w:b/>
    </w:rPr>
  </w:style>
  <w:style w:type="paragraph" w:customStyle="1" w:styleId="TableIndent1">
    <w:name w:val="Table Indent 1"/>
    <w:basedOn w:val="Tablebodytext"/>
    <w:uiPriority w:val="2"/>
    <w:rsid w:val="000E1055"/>
    <w:pPr>
      <w:ind w:left="357"/>
    </w:pPr>
  </w:style>
  <w:style w:type="paragraph" w:customStyle="1" w:styleId="TableIndent2">
    <w:name w:val="Table Indent 2"/>
    <w:basedOn w:val="Tablebodytext"/>
    <w:uiPriority w:val="2"/>
    <w:rsid w:val="000E1055"/>
    <w:pPr>
      <w:ind w:left="714"/>
    </w:pPr>
  </w:style>
  <w:style w:type="paragraph" w:customStyle="1" w:styleId="TableIndent3">
    <w:name w:val="Table Indent 3"/>
    <w:basedOn w:val="Tablebodytext"/>
    <w:uiPriority w:val="2"/>
    <w:rsid w:val="000E1055"/>
    <w:pPr>
      <w:ind w:left="1072"/>
    </w:pPr>
  </w:style>
  <w:style w:type="paragraph" w:customStyle="1" w:styleId="TableNumber1">
    <w:name w:val="Table Number 1."/>
    <w:basedOn w:val="Normal"/>
    <w:uiPriority w:val="2"/>
    <w:rsid w:val="000E1055"/>
    <w:pPr>
      <w:numPr>
        <w:numId w:val="20"/>
      </w:numPr>
      <w:spacing w:before="120" w:after="120" w:line="300" w:lineRule="atLeast"/>
    </w:pPr>
    <w:rPr>
      <w:sz w:val="22"/>
    </w:rPr>
  </w:style>
  <w:style w:type="paragraph" w:customStyle="1" w:styleId="TableNumbera">
    <w:name w:val="Table Number a."/>
    <w:basedOn w:val="Normal"/>
    <w:uiPriority w:val="2"/>
    <w:rsid w:val="000E1055"/>
    <w:pPr>
      <w:numPr>
        <w:ilvl w:val="1"/>
        <w:numId w:val="20"/>
      </w:numPr>
      <w:spacing w:before="120" w:after="120" w:line="300" w:lineRule="atLeast"/>
    </w:pPr>
    <w:rPr>
      <w:sz w:val="22"/>
    </w:rPr>
  </w:style>
  <w:style w:type="paragraph" w:customStyle="1" w:styleId="TableNumberi">
    <w:name w:val="Table Number i."/>
    <w:basedOn w:val="Normal"/>
    <w:uiPriority w:val="2"/>
    <w:rsid w:val="000E1055"/>
    <w:pPr>
      <w:numPr>
        <w:ilvl w:val="2"/>
        <w:numId w:val="20"/>
      </w:numPr>
      <w:spacing w:before="120" w:after="120" w:line="300" w:lineRule="atLeast"/>
    </w:pPr>
    <w:rPr>
      <w:sz w:val="22"/>
    </w:rPr>
  </w:style>
  <w:style w:type="paragraph" w:customStyle="1" w:styleId="TableQuotationseparateparagraph">
    <w:name w:val="Table Quotation (separate paragraph)"/>
    <w:basedOn w:val="Quotationseparateparagraph"/>
    <w:uiPriority w:val="2"/>
    <w:rsid w:val="000E1055"/>
    <w:pPr>
      <w:spacing w:after="120"/>
      <w:ind w:left="357" w:right="357"/>
    </w:pPr>
    <w:rPr>
      <w:sz w:val="22"/>
    </w:rPr>
  </w:style>
  <w:style w:type="paragraph" w:customStyle="1" w:styleId="Tablesinglespacedparagraph">
    <w:name w:val="Table single spaced paragraph"/>
    <w:basedOn w:val="BodyText"/>
    <w:uiPriority w:val="2"/>
    <w:rsid w:val="000E1055"/>
    <w:pPr>
      <w:spacing w:before="40" w:after="40"/>
    </w:pPr>
    <w:rPr>
      <w:sz w:val="22"/>
    </w:rPr>
  </w:style>
  <w:style w:type="paragraph" w:customStyle="1" w:styleId="Tablesinglespacedparagraphlast">
    <w:name w:val="Table single spaced paragraph (last)"/>
    <w:basedOn w:val="Tablesinglespacedparagraph"/>
    <w:uiPriority w:val="2"/>
    <w:rsid w:val="000E1055"/>
  </w:style>
  <w:style w:type="paragraph" w:customStyle="1" w:styleId="Headerlandscape">
    <w:name w:val="Header landscape"/>
    <w:basedOn w:val="Header"/>
    <w:rsid w:val="000E1055"/>
    <w:pPr>
      <w:tabs>
        <w:tab w:val="clear" w:pos="9299"/>
        <w:tab w:val="right" w:pos="14232"/>
      </w:tabs>
    </w:pPr>
  </w:style>
  <w:style w:type="paragraph" w:customStyle="1" w:styleId="Footerlandscape">
    <w:name w:val="Footer landscape"/>
    <w:basedOn w:val="Footer"/>
    <w:uiPriority w:val="10"/>
    <w:rsid w:val="000E1055"/>
    <w:pPr>
      <w:tabs>
        <w:tab w:val="clear" w:pos="9299"/>
        <w:tab w:val="right" w:pos="14232"/>
      </w:tabs>
    </w:pPr>
  </w:style>
  <w:style w:type="paragraph" w:customStyle="1" w:styleId="Tablecaption">
    <w:name w:val="Table caption"/>
    <w:basedOn w:val="Normal"/>
    <w:uiPriority w:val="2"/>
    <w:rsid w:val="000E1055"/>
    <w:pPr>
      <w:keepNext/>
      <w:spacing w:before="360" w:after="60" w:line="260" w:lineRule="atLeast"/>
    </w:pPr>
    <w:rPr>
      <w:b/>
      <w:sz w:val="26"/>
    </w:rPr>
  </w:style>
  <w:style w:type="paragraph" w:customStyle="1" w:styleId="FigureCaption">
    <w:name w:val="Figure Caption"/>
    <w:basedOn w:val="Normal"/>
    <w:next w:val="BodyText"/>
    <w:uiPriority w:val="2"/>
    <w:rsid w:val="000E1055"/>
    <w:pPr>
      <w:spacing w:line="240" w:lineRule="auto"/>
    </w:pPr>
    <w:rPr>
      <w:i/>
    </w:rPr>
  </w:style>
  <w:style w:type="character" w:customStyle="1" w:styleId="Buetext">
    <w:name w:val="Bue text"/>
    <w:basedOn w:val="DefaultParagraphFont"/>
    <w:uiPriority w:val="2"/>
    <w:rsid w:val="000E1055"/>
    <w:rPr>
      <w:color w:val="0070C0"/>
    </w:rPr>
  </w:style>
  <w:style w:type="paragraph" w:customStyle="1" w:styleId="FootnoteTextBullet">
    <w:name w:val="Footnote Text Bullet"/>
    <w:basedOn w:val="FootnoteText"/>
    <w:uiPriority w:val="2"/>
    <w:rsid w:val="000E1055"/>
    <w:pPr>
      <w:numPr>
        <w:numId w:val="2"/>
      </w:numPr>
    </w:pPr>
  </w:style>
  <w:style w:type="character" w:customStyle="1" w:styleId="Italics">
    <w:name w:val="Italics"/>
    <w:basedOn w:val="DefaultParagraphFont"/>
    <w:uiPriority w:val="2"/>
    <w:rsid w:val="000E1055"/>
    <w:rPr>
      <w:i/>
    </w:rPr>
  </w:style>
  <w:style w:type="character" w:customStyle="1" w:styleId="Bluetext">
    <w:name w:val="Blue text"/>
    <w:basedOn w:val="DefaultParagraphFont"/>
    <w:uiPriority w:val="2"/>
    <w:rsid w:val="000E1055"/>
    <w:rPr>
      <w:color w:val="0070C0"/>
    </w:rPr>
  </w:style>
  <w:style w:type="paragraph" w:customStyle="1" w:styleId="Boxsmallbullet1">
    <w:name w:val="Box small bullet 1"/>
    <w:basedOn w:val="Normal"/>
    <w:uiPriority w:val="2"/>
    <w:rsid w:val="000E1055"/>
    <w:pPr>
      <w:numPr>
        <w:numId w:val="9"/>
      </w:numPr>
      <w:spacing w:after="160" w:line="300" w:lineRule="atLeast"/>
    </w:pPr>
  </w:style>
  <w:style w:type="paragraph" w:customStyle="1" w:styleId="Boxsmallbullet2">
    <w:name w:val="Box small bullet 2"/>
    <w:basedOn w:val="Normal"/>
    <w:uiPriority w:val="2"/>
    <w:rsid w:val="000E1055"/>
    <w:pPr>
      <w:numPr>
        <w:ilvl w:val="1"/>
        <w:numId w:val="9"/>
      </w:numPr>
      <w:spacing w:after="160" w:line="300" w:lineRule="atLeast"/>
    </w:pPr>
  </w:style>
  <w:style w:type="character" w:customStyle="1" w:styleId="HyperlinkSourceTextReference">
    <w:name w:val="Hyperlink (Source Text Reference)"/>
    <w:basedOn w:val="Hyperlink"/>
    <w:uiPriority w:val="2"/>
    <w:rsid w:val="000E1055"/>
    <w:rPr>
      <w:color w:val="0D6AB8"/>
      <w:u w:val="single"/>
    </w:rPr>
  </w:style>
  <w:style w:type="numbering" w:styleId="111111">
    <w:name w:val="Outline List 2"/>
    <w:basedOn w:val="NoList"/>
    <w:uiPriority w:val="99"/>
    <w:semiHidden/>
    <w:unhideWhenUsed/>
    <w:rsid w:val="000E1055"/>
    <w:pPr>
      <w:numPr>
        <w:numId w:val="6"/>
      </w:numPr>
    </w:pPr>
  </w:style>
  <w:style w:type="numbering" w:styleId="1ai">
    <w:name w:val="Outline List 1"/>
    <w:basedOn w:val="NoList"/>
    <w:uiPriority w:val="99"/>
    <w:semiHidden/>
    <w:unhideWhenUsed/>
    <w:rsid w:val="000E1055"/>
    <w:pPr>
      <w:numPr>
        <w:numId w:val="7"/>
      </w:numPr>
    </w:pPr>
  </w:style>
  <w:style w:type="numbering" w:styleId="ArticleSection">
    <w:name w:val="Outline List 3"/>
    <w:basedOn w:val="NoList"/>
    <w:uiPriority w:val="99"/>
    <w:semiHidden/>
    <w:unhideWhenUsed/>
    <w:rsid w:val="000E1055"/>
    <w:pPr>
      <w:numPr>
        <w:numId w:val="8"/>
      </w:numPr>
    </w:pPr>
  </w:style>
  <w:style w:type="paragraph" w:customStyle="1" w:styleId="Boxsmallnumber-1">
    <w:name w:val="Box small number - 1."/>
    <w:basedOn w:val="Normal"/>
    <w:uiPriority w:val="2"/>
    <w:rsid w:val="000E1055"/>
    <w:pPr>
      <w:numPr>
        <w:numId w:val="10"/>
      </w:numPr>
      <w:spacing w:after="160" w:line="300" w:lineRule="atLeast"/>
    </w:pPr>
  </w:style>
  <w:style w:type="paragraph" w:customStyle="1" w:styleId="Boxsmallnumber-a">
    <w:name w:val="Box small number - a."/>
    <w:basedOn w:val="Normal"/>
    <w:uiPriority w:val="2"/>
    <w:rsid w:val="000E1055"/>
    <w:pPr>
      <w:numPr>
        <w:ilvl w:val="1"/>
        <w:numId w:val="10"/>
      </w:numPr>
      <w:spacing w:after="160" w:line="300" w:lineRule="atLeast"/>
    </w:pPr>
  </w:style>
  <w:style w:type="paragraph" w:customStyle="1" w:styleId="Boxsmallnumber-i">
    <w:name w:val="Box small number - i."/>
    <w:basedOn w:val="Normal"/>
    <w:uiPriority w:val="2"/>
    <w:rsid w:val="000E1055"/>
    <w:pPr>
      <w:numPr>
        <w:ilvl w:val="2"/>
        <w:numId w:val="10"/>
      </w:numPr>
      <w:spacing w:after="160" w:line="300" w:lineRule="atLeast"/>
    </w:pPr>
  </w:style>
  <w:style w:type="paragraph" w:customStyle="1" w:styleId="FootnoteBullet">
    <w:name w:val="Footnote Bullet"/>
    <w:basedOn w:val="FootnoteText"/>
    <w:uiPriority w:val="7"/>
    <w:rsid w:val="000E1055"/>
    <w:pPr>
      <w:numPr>
        <w:numId w:val="14"/>
      </w:numPr>
      <w:tabs>
        <w:tab w:val="clear" w:pos="284"/>
      </w:tabs>
    </w:pPr>
  </w:style>
  <w:style w:type="paragraph" w:customStyle="1" w:styleId="Introduction">
    <w:name w:val="Introduction"/>
    <w:basedOn w:val="Normal"/>
    <w:uiPriority w:val="2"/>
    <w:rsid w:val="000E1055"/>
    <w:pPr>
      <w:spacing w:after="160" w:line="300" w:lineRule="atLeast"/>
    </w:pPr>
    <w:rPr>
      <w:color w:val="4D4D4D"/>
      <w:sz w:val="28"/>
    </w:rPr>
  </w:style>
  <w:style w:type="paragraph" w:customStyle="1" w:styleId="Checkbox1">
    <w:name w:val="Check box 1"/>
    <w:basedOn w:val="BodyText"/>
    <w:uiPriority w:val="3"/>
    <w:rsid w:val="000E1055"/>
    <w:pPr>
      <w:numPr>
        <w:numId w:val="12"/>
      </w:numPr>
      <w:spacing w:after="160" w:line="300" w:lineRule="atLeast"/>
    </w:pPr>
  </w:style>
  <w:style w:type="paragraph" w:customStyle="1" w:styleId="Checkbox2">
    <w:name w:val="Check box 2"/>
    <w:basedOn w:val="Checkbox1"/>
    <w:uiPriority w:val="3"/>
    <w:rsid w:val="000E1055"/>
    <w:pPr>
      <w:numPr>
        <w:ilvl w:val="1"/>
      </w:numPr>
    </w:pPr>
  </w:style>
  <w:style w:type="paragraph" w:customStyle="1" w:styleId="Checkbox3">
    <w:name w:val="Check box 3"/>
    <w:basedOn w:val="Checkbox1"/>
    <w:uiPriority w:val="3"/>
    <w:rsid w:val="000E1055"/>
    <w:pPr>
      <w:numPr>
        <w:ilvl w:val="2"/>
      </w:numPr>
    </w:pPr>
  </w:style>
  <w:style w:type="paragraph" w:customStyle="1" w:styleId="Checkbox4">
    <w:name w:val="Check box 4"/>
    <w:basedOn w:val="Checkbox1"/>
    <w:uiPriority w:val="3"/>
    <w:rsid w:val="000E1055"/>
    <w:pPr>
      <w:numPr>
        <w:ilvl w:val="3"/>
      </w:numPr>
    </w:pPr>
  </w:style>
  <w:style w:type="paragraph" w:customStyle="1" w:styleId="Tablecheckbox1">
    <w:name w:val="Table check box 1"/>
    <w:basedOn w:val="Normal"/>
    <w:uiPriority w:val="2"/>
    <w:rsid w:val="000E1055"/>
    <w:pPr>
      <w:numPr>
        <w:numId w:val="19"/>
      </w:numPr>
      <w:spacing w:before="120" w:after="120" w:line="300" w:lineRule="atLeast"/>
    </w:pPr>
    <w:rPr>
      <w:sz w:val="22"/>
    </w:rPr>
  </w:style>
  <w:style w:type="paragraph" w:customStyle="1" w:styleId="Tablecheckbox2">
    <w:name w:val="Table check box 2"/>
    <w:basedOn w:val="Tablecheckbox1"/>
    <w:uiPriority w:val="2"/>
    <w:rsid w:val="000E1055"/>
    <w:pPr>
      <w:numPr>
        <w:ilvl w:val="1"/>
      </w:numPr>
    </w:pPr>
  </w:style>
  <w:style w:type="paragraph" w:customStyle="1" w:styleId="Tablecheckbox3">
    <w:name w:val="Table check box 3"/>
    <w:basedOn w:val="Tablecheckbox1"/>
    <w:uiPriority w:val="2"/>
    <w:rsid w:val="000E1055"/>
    <w:pPr>
      <w:numPr>
        <w:ilvl w:val="2"/>
      </w:numPr>
    </w:pPr>
  </w:style>
  <w:style w:type="paragraph" w:customStyle="1" w:styleId="EndnoteBullet">
    <w:name w:val="Endnote Bullet"/>
    <w:uiPriority w:val="7"/>
    <w:rsid w:val="000E1055"/>
    <w:pPr>
      <w:numPr>
        <w:numId w:val="1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0E1055"/>
    <w:pPr>
      <w:spacing w:after="160" w:line="300" w:lineRule="atLeast"/>
      <w:ind w:left="2268" w:right="567"/>
    </w:pPr>
    <w:rPr>
      <w:i/>
      <w:color w:val="4D4D4D"/>
    </w:rPr>
  </w:style>
  <w:style w:type="paragraph" w:customStyle="1" w:styleId="CQLegindent2">
    <w:name w:val="CQLeg indent 2"/>
    <w:basedOn w:val="Normal"/>
    <w:uiPriority w:val="6"/>
    <w:rsid w:val="000E1055"/>
    <w:pPr>
      <w:spacing w:after="160" w:line="300" w:lineRule="atLeast"/>
      <w:ind w:left="2977" w:right="567"/>
    </w:pPr>
    <w:rPr>
      <w:i/>
      <w:color w:val="4D4D4D"/>
    </w:rPr>
  </w:style>
  <w:style w:type="paragraph" w:customStyle="1" w:styleId="CQLegindent3">
    <w:name w:val="CQLeg indent 3"/>
    <w:basedOn w:val="Normal"/>
    <w:uiPriority w:val="6"/>
    <w:rsid w:val="000E1055"/>
    <w:pPr>
      <w:spacing w:after="160" w:line="300" w:lineRule="atLeast"/>
      <w:ind w:left="3686" w:right="567"/>
    </w:pPr>
    <w:rPr>
      <w:i/>
      <w:color w:val="4D4D4D"/>
    </w:rPr>
  </w:style>
  <w:style w:type="paragraph" w:customStyle="1" w:styleId="CQLegstyle-1">
    <w:name w:val="CQLeg style - (1)"/>
    <w:basedOn w:val="Normal"/>
    <w:uiPriority w:val="6"/>
    <w:rsid w:val="000E1055"/>
    <w:pPr>
      <w:tabs>
        <w:tab w:val="left" w:pos="2268"/>
      </w:tabs>
      <w:spacing w:after="160" w:line="300" w:lineRule="atLeast"/>
      <w:ind w:left="2269" w:right="567" w:hanging="851"/>
    </w:pPr>
    <w:rPr>
      <w:i/>
      <w:color w:val="4D4D4D"/>
    </w:rPr>
  </w:style>
  <w:style w:type="paragraph" w:customStyle="1" w:styleId="CQLegstyle-a">
    <w:name w:val="CQLeg style - (a)"/>
    <w:basedOn w:val="Normal"/>
    <w:uiPriority w:val="6"/>
    <w:rsid w:val="000E1055"/>
    <w:pPr>
      <w:tabs>
        <w:tab w:val="left" w:pos="2977"/>
      </w:tabs>
      <w:spacing w:after="160" w:line="300" w:lineRule="atLeast"/>
      <w:ind w:left="2977" w:right="567" w:hanging="709"/>
    </w:pPr>
    <w:rPr>
      <w:i/>
      <w:color w:val="4D4D4D"/>
    </w:rPr>
  </w:style>
  <w:style w:type="paragraph" w:customStyle="1" w:styleId="CQLegstyle-i">
    <w:name w:val="CQLeg style - (i)"/>
    <w:basedOn w:val="Normal"/>
    <w:uiPriority w:val="6"/>
    <w:rsid w:val="000E1055"/>
    <w:pPr>
      <w:tabs>
        <w:tab w:val="left" w:pos="3686"/>
      </w:tabs>
      <w:spacing w:after="160" w:line="300" w:lineRule="atLeast"/>
      <w:ind w:left="3686" w:right="567" w:hanging="709"/>
    </w:pPr>
    <w:rPr>
      <w:i/>
      <w:color w:val="4D4D4D"/>
    </w:rPr>
  </w:style>
  <w:style w:type="paragraph" w:customStyle="1" w:styleId="CQLegstyle-10">
    <w:name w:val="CQLeg style - 1"/>
    <w:basedOn w:val="Normal"/>
    <w:uiPriority w:val="6"/>
    <w:rsid w:val="000E1055"/>
    <w:pPr>
      <w:keepNext/>
      <w:tabs>
        <w:tab w:val="left" w:pos="2268"/>
      </w:tabs>
      <w:spacing w:after="160" w:line="300" w:lineRule="atLeast"/>
      <w:ind w:left="2269" w:right="567" w:hanging="851"/>
    </w:pPr>
    <w:rPr>
      <w:b/>
      <w:i/>
      <w:color w:val="4D4D4D"/>
    </w:rPr>
  </w:style>
  <w:style w:type="paragraph" w:customStyle="1" w:styleId="ALegindent1">
    <w:name w:val="ALeg indent 1"/>
    <w:basedOn w:val="Normal"/>
    <w:uiPriority w:val="6"/>
    <w:rsid w:val="000E1055"/>
    <w:pPr>
      <w:spacing w:after="160" w:line="300" w:lineRule="atLeast"/>
      <w:ind w:left="851"/>
    </w:pPr>
  </w:style>
  <w:style w:type="paragraph" w:customStyle="1" w:styleId="ALegindent2">
    <w:name w:val="ALeg indent 2"/>
    <w:basedOn w:val="Normal"/>
    <w:uiPriority w:val="6"/>
    <w:rsid w:val="000E1055"/>
    <w:pPr>
      <w:spacing w:after="160" w:line="300" w:lineRule="atLeast"/>
      <w:ind w:left="1559"/>
    </w:pPr>
  </w:style>
  <w:style w:type="paragraph" w:customStyle="1" w:styleId="ALegindent3">
    <w:name w:val="ALeg indent 3"/>
    <w:basedOn w:val="Normal"/>
    <w:uiPriority w:val="6"/>
    <w:rsid w:val="000E1055"/>
    <w:pPr>
      <w:spacing w:after="160" w:line="300" w:lineRule="atLeast"/>
      <w:ind w:left="2268"/>
    </w:pPr>
  </w:style>
  <w:style w:type="paragraph" w:customStyle="1" w:styleId="ALegstyle-1">
    <w:name w:val="ALeg style - (1)"/>
    <w:basedOn w:val="Normal"/>
    <w:uiPriority w:val="6"/>
    <w:rsid w:val="000E1055"/>
    <w:pPr>
      <w:tabs>
        <w:tab w:val="left" w:pos="851"/>
      </w:tabs>
      <w:spacing w:after="160" w:line="300" w:lineRule="atLeast"/>
      <w:ind w:left="851" w:hanging="851"/>
    </w:pPr>
  </w:style>
  <w:style w:type="paragraph" w:customStyle="1" w:styleId="ALegstyle-a">
    <w:name w:val="ALeg style - (a)"/>
    <w:basedOn w:val="Normal"/>
    <w:uiPriority w:val="6"/>
    <w:rsid w:val="000E1055"/>
    <w:pPr>
      <w:tabs>
        <w:tab w:val="left" w:pos="1559"/>
      </w:tabs>
      <w:spacing w:after="160" w:line="300" w:lineRule="atLeast"/>
      <w:ind w:left="1560" w:hanging="709"/>
    </w:pPr>
  </w:style>
  <w:style w:type="paragraph" w:customStyle="1" w:styleId="ALegstyle-i">
    <w:name w:val="ALeg style - (i)"/>
    <w:basedOn w:val="Normal"/>
    <w:uiPriority w:val="6"/>
    <w:rsid w:val="000E1055"/>
    <w:pPr>
      <w:tabs>
        <w:tab w:val="left" w:pos="2268"/>
      </w:tabs>
      <w:spacing w:after="160" w:line="300" w:lineRule="atLeast"/>
      <w:ind w:left="2268" w:hanging="709"/>
    </w:pPr>
  </w:style>
  <w:style w:type="paragraph" w:customStyle="1" w:styleId="ALegstyle-10">
    <w:name w:val="ALeg style - 1"/>
    <w:basedOn w:val="Normal"/>
    <w:uiPriority w:val="6"/>
    <w:rsid w:val="000E1055"/>
    <w:pPr>
      <w:keepNext/>
      <w:tabs>
        <w:tab w:val="left" w:pos="851"/>
      </w:tabs>
      <w:spacing w:after="160" w:line="300" w:lineRule="atLeast"/>
      <w:ind w:left="851" w:hanging="851"/>
    </w:pPr>
    <w:rPr>
      <w:b/>
    </w:rPr>
  </w:style>
  <w:style w:type="paragraph" w:customStyle="1" w:styleId="BQLegindent1">
    <w:name w:val="BQLeg indent 1"/>
    <w:basedOn w:val="Normal"/>
    <w:uiPriority w:val="6"/>
    <w:rsid w:val="000E1055"/>
    <w:pPr>
      <w:spacing w:after="160" w:line="300" w:lineRule="atLeast"/>
      <w:ind w:left="1418" w:right="567"/>
    </w:pPr>
    <w:rPr>
      <w:i/>
      <w:color w:val="4D4D4D"/>
    </w:rPr>
  </w:style>
  <w:style w:type="paragraph" w:customStyle="1" w:styleId="BQLegindent2">
    <w:name w:val="BQLeg indent 2"/>
    <w:basedOn w:val="Normal"/>
    <w:uiPriority w:val="6"/>
    <w:rsid w:val="000E1055"/>
    <w:pPr>
      <w:spacing w:after="160" w:line="300" w:lineRule="atLeast"/>
      <w:ind w:left="2126" w:right="567"/>
    </w:pPr>
    <w:rPr>
      <w:i/>
      <w:color w:val="4D4D4D"/>
    </w:rPr>
  </w:style>
  <w:style w:type="paragraph" w:customStyle="1" w:styleId="BQLegindent3">
    <w:name w:val="BQLeg indent 3"/>
    <w:basedOn w:val="Normal"/>
    <w:uiPriority w:val="6"/>
    <w:rsid w:val="000E1055"/>
    <w:pPr>
      <w:spacing w:after="160" w:line="300" w:lineRule="atLeast"/>
      <w:ind w:left="2835" w:right="567"/>
    </w:pPr>
    <w:rPr>
      <w:i/>
      <w:color w:val="4D4D4D"/>
    </w:rPr>
  </w:style>
  <w:style w:type="paragraph" w:customStyle="1" w:styleId="BQLegstyle-1">
    <w:name w:val="BQLeg style - (1)"/>
    <w:basedOn w:val="Normal"/>
    <w:uiPriority w:val="6"/>
    <w:rsid w:val="000E1055"/>
    <w:pPr>
      <w:tabs>
        <w:tab w:val="left" w:pos="1418"/>
      </w:tabs>
      <w:spacing w:after="160" w:line="300" w:lineRule="atLeast"/>
      <w:ind w:left="1418" w:right="567" w:hanging="851"/>
    </w:pPr>
    <w:rPr>
      <w:i/>
      <w:color w:val="4D4D4D"/>
    </w:rPr>
  </w:style>
  <w:style w:type="paragraph" w:customStyle="1" w:styleId="BQLegstyle-a">
    <w:name w:val="BQLeg style - (a)"/>
    <w:basedOn w:val="Normal"/>
    <w:uiPriority w:val="6"/>
    <w:rsid w:val="000E1055"/>
    <w:pPr>
      <w:tabs>
        <w:tab w:val="left" w:pos="2126"/>
      </w:tabs>
      <w:spacing w:after="160" w:line="300" w:lineRule="atLeast"/>
      <w:ind w:left="2127" w:right="567" w:hanging="709"/>
    </w:pPr>
    <w:rPr>
      <w:i/>
      <w:color w:val="4D4D4D"/>
    </w:rPr>
  </w:style>
  <w:style w:type="paragraph" w:customStyle="1" w:styleId="BQLegstyle-i">
    <w:name w:val="BQLeg style - (i)"/>
    <w:basedOn w:val="Normal"/>
    <w:uiPriority w:val="6"/>
    <w:rsid w:val="000E1055"/>
    <w:pPr>
      <w:tabs>
        <w:tab w:val="left" w:pos="2835"/>
      </w:tabs>
      <w:spacing w:after="160" w:line="300" w:lineRule="atLeast"/>
      <w:ind w:left="2835" w:right="567" w:hanging="709"/>
    </w:pPr>
    <w:rPr>
      <w:i/>
      <w:color w:val="4D4D4D"/>
    </w:rPr>
  </w:style>
  <w:style w:type="paragraph" w:customStyle="1" w:styleId="BQLegstyle-10">
    <w:name w:val="BQLeg style - 1"/>
    <w:basedOn w:val="Normal"/>
    <w:uiPriority w:val="6"/>
    <w:rsid w:val="000E1055"/>
    <w:pPr>
      <w:keepNext/>
      <w:tabs>
        <w:tab w:val="left" w:pos="1418"/>
      </w:tabs>
      <w:spacing w:after="160" w:line="300" w:lineRule="atLeast"/>
      <w:ind w:left="1418" w:right="567" w:hanging="851"/>
    </w:pPr>
    <w:rPr>
      <w:b/>
      <w:i/>
      <w:color w:val="4D4D4D"/>
    </w:rPr>
  </w:style>
  <w:style w:type="paragraph" w:customStyle="1" w:styleId="SQLegindent1">
    <w:name w:val="SQLeg indent 1"/>
    <w:basedOn w:val="Normal"/>
    <w:uiPriority w:val="6"/>
    <w:rsid w:val="000E1055"/>
    <w:pPr>
      <w:spacing w:after="160" w:line="300" w:lineRule="atLeast"/>
      <w:ind w:left="1985" w:right="567"/>
    </w:pPr>
    <w:rPr>
      <w:i/>
      <w:color w:val="4D4D4D"/>
    </w:rPr>
  </w:style>
  <w:style w:type="paragraph" w:customStyle="1" w:styleId="SQLegindent2">
    <w:name w:val="SQLeg indent 2"/>
    <w:basedOn w:val="Normal"/>
    <w:uiPriority w:val="6"/>
    <w:rsid w:val="000E1055"/>
    <w:pPr>
      <w:spacing w:after="160" w:line="300" w:lineRule="atLeast"/>
      <w:ind w:left="2693" w:right="567"/>
    </w:pPr>
    <w:rPr>
      <w:i/>
      <w:color w:val="4D4D4D"/>
    </w:rPr>
  </w:style>
  <w:style w:type="paragraph" w:customStyle="1" w:styleId="SQLegindent3">
    <w:name w:val="SQLeg indent 3"/>
    <w:basedOn w:val="Normal"/>
    <w:uiPriority w:val="6"/>
    <w:rsid w:val="000E1055"/>
    <w:pPr>
      <w:spacing w:after="160" w:line="300" w:lineRule="atLeast"/>
      <w:ind w:left="3402" w:right="567"/>
    </w:pPr>
    <w:rPr>
      <w:i/>
      <w:color w:val="4D4D4D"/>
    </w:rPr>
  </w:style>
  <w:style w:type="paragraph" w:customStyle="1" w:styleId="SQLegstyle-1">
    <w:name w:val="SQLeg style - (1)"/>
    <w:basedOn w:val="Normal"/>
    <w:uiPriority w:val="6"/>
    <w:rsid w:val="000E1055"/>
    <w:pPr>
      <w:tabs>
        <w:tab w:val="left" w:pos="1985"/>
      </w:tabs>
      <w:spacing w:after="160" w:line="300" w:lineRule="atLeast"/>
      <w:ind w:left="1985" w:right="567" w:hanging="851"/>
    </w:pPr>
    <w:rPr>
      <w:i/>
      <w:color w:val="4D4D4D"/>
    </w:rPr>
  </w:style>
  <w:style w:type="paragraph" w:customStyle="1" w:styleId="SQLegstyle-a">
    <w:name w:val="SQLeg style - (a)"/>
    <w:basedOn w:val="Normal"/>
    <w:uiPriority w:val="6"/>
    <w:rsid w:val="000E1055"/>
    <w:pPr>
      <w:tabs>
        <w:tab w:val="left" w:pos="2693"/>
      </w:tabs>
      <w:spacing w:after="160" w:line="300" w:lineRule="atLeast"/>
      <w:ind w:left="2694" w:right="567" w:hanging="709"/>
    </w:pPr>
    <w:rPr>
      <w:i/>
      <w:color w:val="4D4D4D"/>
    </w:rPr>
  </w:style>
  <w:style w:type="paragraph" w:customStyle="1" w:styleId="SQLegstyle-i">
    <w:name w:val="SQLeg style - (i)"/>
    <w:basedOn w:val="Normal"/>
    <w:uiPriority w:val="6"/>
    <w:rsid w:val="000E1055"/>
    <w:pPr>
      <w:tabs>
        <w:tab w:val="left" w:pos="3402"/>
      </w:tabs>
      <w:spacing w:after="160" w:line="300" w:lineRule="atLeast"/>
      <w:ind w:left="3402" w:right="567" w:hanging="709"/>
    </w:pPr>
    <w:rPr>
      <w:i/>
      <w:color w:val="4D4D4D"/>
    </w:rPr>
  </w:style>
  <w:style w:type="paragraph" w:customStyle="1" w:styleId="SQLegstyle-10">
    <w:name w:val="SQLeg style - 1"/>
    <w:basedOn w:val="Normal"/>
    <w:uiPriority w:val="6"/>
    <w:rsid w:val="000E1055"/>
    <w:pPr>
      <w:keepNext/>
      <w:tabs>
        <w:tab w:val="left" w:pos="1985"/>
      </w:tabs>
      <w:spacing w:after="160" w:line="300" w:lineRule="atLeast"/>
      <w:ind w:left="1985" w:right="567" w:hanging="851"/>
    </w:pPr>
    <w:rPr>
      <w:b/>
      <w:i/>
      <w:color w:val="4D4D4D"/>
    </w:rPr>
  </w:style>
  <w:style w:type="paragraph" w:styleId="BlockText">
    <w:name w:val="Block Text"/>
    <w:basedOn w:val="Normal"/>
    <w:uiPriority w:val="99"/>
    <w:semiHidden/>
    <w:unhideWhenUsed/>
    <w:rsid w:val="00A5669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A56698"/>
    <w:pPr>
      <w:spacing w:after="120" w:line="480" w:lineRule="auto"/>
    </w:pPr>
  </w:style>
  <w:style w:type="character" w:customStyle="1" w:styleId="BodyText2Char">
    <w:name w:val="Body Text 2 Char"/>
    <w:basedOn w:val="DefaultParagraphFont"/>
    <w:link w:val="BodyText2"/>
    <w:uiPriority w:val="99"/>
    <w:semiHidden/>
    <w:rsid w:val="00A56698"/>
    <w:rPr>
      <w:rFonts w:ascii="Calibri" w:hAnsi="Calibri"/>
      <w:color w:val="1E1E1E"/>
      <w:sz w:val="24"/>
    </w:rPr>
  </w:style>
  <w:style w:type="paragraph" w:styleId="BodyText3">
    <w:name w:val="Body Text 3"/>
    <w:basedOn w:val="Normal"/>
    <w:link w:val="BodyText3Char"/>
    <w:uiPriority w:val="99"/>
    <w:semiHidden/>
    <w:unhideWhenUsed/>
    <w:rsid w:val="00A56698"/>
    <w:pPr>
      <w:spacing w:after="120"/>
    </w:pPr>
    <w:rPr>
      <w:sz w:val="16"/>
      <w:szCs w:val="16"/>
    </w:rPr>
  </w:style>
  <w:style w:type="character" w:customStyle="1" w:styleId="BodyText3Char">
    <w:name w:val="Body Text 3 Char"/>
    <w:basedOn w:val="DefaultParagraphFont"/>
    <w:link w:val="BodyText3"/>
    <w:uiPriority w:val="99"/>
    <w:semiHidden/>
    <w:rsid w:val="00A56698"/>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A56698"/>
    <w:pPr>
      <w:ind w:firstLine="360"/>
    </w:pPr>
  </w:style>
  <w:style w:type="character" w:customStyle="1" w:styleId="BodyTextFirstIndentChar">
    <w:name w:val="Body Text First Indent Char"/>
    <w:basedOn w:val="BodyTextChar"/>
    <w:link w:val="BodyTextFirstIndent"/>
    <w:uiPriority w:val="99"/>
    <w:semiHidden/>
    <w:rsid w:val="00A56698"/>
    <w:rPr>
      <w:rFonts w:ascii="Calibri" w:hAnsi="Calibri"/>
      <w:color w:val="1E1E1E"/>
      <w:sz w:val="24"/>
    </w:rPr>
  </w:style>
  <w:style w:type="paragraph" w:styleId="BodyTextIndent">
    <w:name w:val="Body Text Indent"/>
    <w:basedOn w:val="Normal"/>
    <w:link w:val="BodyTextIndentChar"/>
    <w:unhideWhenUsed/>
    <w:rsid w:val="00A56698"/>
    <w:pPr>
      <w:spacing w:after="120"/>
      <w:ind w:left="283"/>
    </w:pPr>
  </w:style>
  <w:style w:type="character" w:customStyle="1" w:styleId="BodyTextIndentChar">
    <w:name w:val="Body Text Indent Char"/>
    <w:basedOn w:val="DefaultParagraphFont"/>
    <w:link w:val="BodyTextIndent"/>
    <w:rsid w:val="00A56698"/>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A56698"/>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56698"/>
    <w:rPr>
      <w:rFonts w:ascii="Calibri" w:hAnsi="Calibri"/>
      <w:color w:val="1E1E1E"/>
      <w:sz w:val="24"/>
    </w:rPr>
  </w:style>
  <w:style w:type="paragraph" w:styleId="BodyTextIndent2">
    <w:name w:val="Body Text Indent 2"/>
    <w:basedOn w:val="Normal"/>
    <w:link w:val="BodyTextIndent2Char"/>
    <w:uiPriority w:val="99"/>
    <w:semiHidden/>
    <w:unhideWhenUsed/>
    <w:rsid w:val="00A56698"/>
    <w:pPr>
      <w:spacing w:after="120" w:line="480" w:lineRule="auto"/>
      <w:ind w:left="283"/>
    </w:pPr>
  </w:style>
  <w:style w:type="character" w:customStyle="1" w:styleId="BodyTextIndent2Char">
    <w:name w:val="Body Text Indent 2 Char"/>
    <w:basedOn w:val="DefaultParagraphFont"/>
    <w:link w:val="BodyTextIndent2"/>
    <w:uiPriority w:val="99"/>
    <w:semiHidden/>
    <w:rsid w:val="00A56698"/>
    <w:rPr>
      <w:rFonts w:ascii="Calibri" w:hAnsi="Calibri"/>
      <w:color w:val="1E1E1E"/>
      <w:sz w:val="24"/>
    </w:rPr>
  </w:style>
  <w:style w:type="paragraph" w:styleId="BodyTextIndent3">
    <w:name w:val="Body Text Indent 3"/>
    <w:basedOn w:val="Normal"/>
    <w:link w:val="BodyTextIndent3Char"/>
    <w:uiPriority w:val="99"/>
    <w:semiHidden/>
    <w:unhideWhenUsed/>
    <w:rsid w:val="00A566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6698"/>
    <w:rPr>
      <w:rFonts w:ascii="Calibri" w:hAnsi="Calibri"/>
      <w:color w:val="1E1E1E"/>
      <w:sz w:val="16"/>
      <w:szCs w:val="16"/>
    </w:rPr>
  </w:style>
  <w:style w:type="character" w:styleId="BookTitle">
    <w:name w:val="Book Title"/>
    <w:basedOn w:val="DefaultParagraphFont"/>
    <w:uiPriority w:val="33"/>
    <w:semiHidden/>
    <w:rsid w:val="00A56698"/>
    <w:rPr>
      <w:b/>
      <w:bCs/>
      <w:smallCaps/>
      <w:spacing w:val="5"/>
    </w:rPr>
  </w:style>
  <w:style w:type="paragraph" w:styleId="Closing">
    <w:name w:val="Closing"/>
    <w:basedOn w:val="Normal"/>
    <w:link w:val="ClosingChar"/>
    <w:uiPriority w:val="99"/>
    <w:semiHidden/>
    <w:unhideWhenUsed/>
    <w:rsid w:val="00A56698"/>
    <w:pPr>
      <w:spacing w:after="0" w:line="240" w:lineRule="auto"/>
      <w:ind w:left="4252"/>
    </w:pPr>
  </w:style>
  <w:style w:type="character" w:customStyle="1" w:styleId="ClosingChar">
    <w:name w:val="Closing Char"/>
    <w:basedOn w:val="DefaultParagraphFont"/>
    <w:link w:val="Closing"/>
    <w:uiPriority w:val="99"/>
    <w:semiHidden/>
    <w:rsid w:val="00A56698"/>
    <w:rPr>
      <w:rFonts w:ascii="Calibri" w:hAnsi="Calibri"/>
      <w:color w:val="1E1E1E"/>
      <w:sz w:val="24"/>
    </w:rPr>
  </w:style>
  <w:style w:type="table" w:customStyle="1" w:styleId="ColorfulGrid1">
    <w:name w:val="Colorful Grid1"/>
    <w:basedOn w:val="TableNormal"/>
    <w:uiPriority w:val="73"/>
    <w:rsid w:val="00A566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566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566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566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566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566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566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A5669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5669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5669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5669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5669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5669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5669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A5669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5669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5669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5669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5669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5669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5669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A56698"/>
    <w:rPr>
      <w:sz w:val="16"/>
      <w:szCs w:val="16"/>
    </w:rPr>
  </w:style>
  <w:style w:type="table" w:customStyle="1" w:styleId="DarkList1">
    <w:name w:val="Dark List1"/>
    <w:basedOn w:val="TableNormal"/>
    <w:uiPriority w:val="70"/>
    <w:rsid w:val="00A5669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5669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5669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5669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5669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5669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5669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nhideWhenUsed/>
    <w:rsid w:val="00A5669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A56698"/>
    <w:rPr>
      <w:rFonts w:ascii="Tahoma" w:hAnsi="Tahoma" w:cs="Tahoma"/>
      <w:color w:val="1E1E1E"/>
      <w:sz w:val="16"/>
      <w:szCs w:val="16"/>
    </w:rPr>
  </w:style>
  <w:style w:type="character" w:styleId="HTMLAcronym">
    <w:name w:val="HTML Acronym"/>
    <w:basedOn w:val="DefaultParagraphFont"/>
    <w:uiPriority w:val="99"/>
    <w:semiHidden/>
    <w:unhideWhenUsed/>
    <w:rsid w:val="00A56698"/>
  </w:style>
  <w:style w:type="character" w:styleId="HTMLCite">
    <w:name w:val="HTML Cite"/>
    <w:basedOn w:val="DefaultParagraphFont"/>
    <w:uiPriority w:val="99"/>
    <w:semiHidden/>
    <w:unhideWhenUsed/>
    <w:rsid w:val="00A56698"/>
    <w:rPr>
      <w:i/>
      <w:iCs/>
    </w:rPr>
  </w:style>
  <w:style w:type="character" w:styleId="HTMLCode">
    <w:name w:val="HTML Code"/>
    <w:basedOn w:val="DefaultParagraphFont"/>
    <w:uiPriority w:val="99"/>
    <w:semiHidden/>
    <w:unhideWhenUsed/>
    <w:rsid w:val="00A56698"/>
    <w:rPr>
      <w:rFonts w:ascii="Consolas" w:hAnsi="Consolas" w:cs="Consolas"/>
      <w:sz w:val="20"/>
      <w:szCs w:val="20"/>
    </w:rPr>
  </w:style>
  <w:style w:type="character" w:styleId="HTMLDefinition">
    <w:name w:val="HTML Definition"/>
    <w:basedOn w:val="DefaultParagraphFont"/>
    <w:uiPriority w:val="99"/>
    <w:semiHidden/>
    <w:unhideWhenUsed/>
    <w:rsid w:val="00A56698"/>
    <w:rPr>
      <w:i/>
      <w:iCs/>
    </w:rPr>
  </w:style>
  <w:style w:type="character" w:styleId="HTMLKeyboard">
    <w:name w:val="HTML Keyboard"/>
    <w:basedOn w:val="DefaultParagraphFont"/>
    <w:uiPriority w:val="99"/>
    <w:semiHidden/>
    <w:unhideWhenUsed/>
    <w:rsid w:val="00A56698"/>
    <w:rPr>
      <w:rFonts w:ascii="Consolas" w:hAnsi="Consolas" w:cs="Consolas"/>
      <w:sz w:val="20"/>
      <w:szCs w:val="20"/>
    </w:rPr>
  </w:style>
  <w:style w:type="character" w:styleId="HTMLSample">
    <w:name w:val="HTML Sample"/>
    <w:basedOn w:val="DefaultParagraphFont"/>
    <w:uiPriority w:val="99"/>
    <w:semiHidden/>
    <w:unhideWhenUsed/>
    <w:rsid w:val="00A56698"/>
    <w:rPr>
      <w:rFonts w:ascii="Consolas" w:hAnsi="Consolas" w:cs="Consolas"/>
      <w:sz w:val="24"/>
      <w:szCs w:val="24"/>
    </w:rPr>
  </w:style>
  <w:style w:type="character" w:styleId="HTMLTypewriter">
    <w:name w:val="HTML Typewriter"/>
    <w:basedOn w:val="DefaultParagraphFont"/>
    <w:uiPriority w:val="99"/>
    <w:semiHidden/>
    <w:unhideWhenUsed/>
    <w:rsid w:val="00A56698"/>
    <w:rPr>
      <w:rFonts w:ascii="Consolas" w:hAnsi="Consolas" w:cs="Consolas"/>
      <w:sz w:val="20"/>
      <w:szCs w:val="20"/>
    </w:rPr>
  </w:style>
  <w:style w:type="character" w:styleId="HTMLVariable">
    <w:name w:val="HTML Variable"/>
    <w:basedOn w:val="DefaultParagraphFont"/>
    <w:uiPriority w:val="99"/>
    <w:semiHidden/>
    <w:unhideWhenUsed/>
    <w:rsid w:val="00A56698"/>
    <w:rPr>
      <w:i/>
      <w:iCs/>
    </w:rPr>
  </w:style>
  <w:style w:type="character" w:styleId="IntenseEmphasis">
    <w:name w:val="Intense Emphasis"/>
    <w:basedOn w:val="DefaultParagraphFont"/>
    <w:uiPriority w:val="21"/>
    <w:semiHidden/>
    <w:rsid w:val="00A56698"/>
    <w:rPr>
      <w:b/>
      <w:bCs/>
      <w:i/>
      <w:iCs/>
      <w:color w:val="4F81BD" w:themeColor="accent1"/>
    </w:rPr>
  </w:style>
  <w:style w:type="paragraph" w:styleId="IntenseQuote">
    <w:name w:val="Intense Quote"/>
    <w:basedOn w:val="Normal"/>
    <w:next w:val="Normal"/>
    <w:link w:val="IntenseQuoteChar"/>
    <w:uiPriority w:val="30"/>
    <w:semiHidden/>
    <w:rsid w:val="00A566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56698"/>
    <w:rPr>
      <w:rFonts w:ascii="Calibri" w:hAnsi="Calibri"/>
      <w:b/>
      <w:bCs/>
      <w:i/>
      <w:iCs/>
      <w:color w:val="4F81BD" w:themeColor="accent1"/>
      <w:sz w:val="24"/>
    </w:rPr>
  </w:style>
  <w:style w:type="character" w:styleId="IntenseReference">
    <w:name w:val="Intense Reference"/>
    <w:basedOn w:val="DefaultParagraphFont"/>
    <w:uiPriority w:val="32"/>
    <w:semiHidden/>
    <w:rsid w:val="00A56698"/>
    <w:rPr>
      <w:b/>
      <w:bCs/>
      <w:smallCaps/>
      <w:color w:val="C0504D" w:themeColor="accent2"/>
      <w:spacing w:val="5"/>
      <w:u w:val="single"/>
    </w:rPr>
  </w:style>
  <w:style w:type="table" w:customStyle="1" w:styleId="LightGrid1">
    <w:name w:val="Light Grid1"/>
    <w:basedOn w:val="TableNormal"/>
    <w:uiPriority w:val="62"/>
    <w:rsid w:val="00A566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5669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5669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5669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5669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566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566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A566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5669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5669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5669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5669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566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566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A566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566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5669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5669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5669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5669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5669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A56698"/>
  </w:style>
  <w:style w:type="paragraph" w:styleId="List">
    <w:name w:val="List"/>
    <w:basedOn w:val="Normal"/>
    <w:uiPriority w:val="99"/>
    <w:semiHidden/>
    <w:unhideWhenUsed/>
    <w:rsid w:val="00A56698"/>
    <w:pPr>
      <w:ind w:left="283" w:hanging="283"/>
      <w:contextualSpacing/>
    </w:pPr>
  </w:style>
  <w:style w:type="paragraph" w:styleId="List2">
    <w:name w:val="List 2"/>
    <w:basedOn w:val="Normal"/>
    <w:uiPriority w:val="99"/>
    <w:semiHidden/>
    <w:unhideWhenUsed/>
    <w:rsid w:val="00A56698"/>
    <w:pPr>
      <w:ind w:left="566" w:hanging="283"/>
      <w:contextualSpacing/>
    </w:pPr>
  </w:style>
  <w:style w:type="paragraph" w:styleId="List3">
    <w:name w:val="List 3"/>
    <w:basedOn w:val="Normal"/>
    <w:uiPriority w:val="99"/>
    <w:semiHidden/>
    <w:unhideWhenUsed/>
    <w:rsid w:val="00A56698"/>
    <w:pPr>
      <w:ind w:left="849" w:hanging="283"/>
      <w:contextualSpacing/>
    </w:pPr>
  </w:style>
  <w:style w:type="paragraph" w:styleId="List4">
    <w:name w:val="List 4"/>
    <w:basedOn w:val="Normal"/>
    <w:uiPriority w:val="99"/>
    <w:semiHidden/>
    <w:unhideWhenUsed/>
    <w:rsid w:val="00A56698"/>
    <w:pPr>
      <w:ind w:left="1132" w:hanging="283"/>
      <w:contextualSpacing/>
    </w:pPr>
  </w:style>
  <w:style w:type="paragraph" w:styleId="List5">
    <w:name w:val="List 5"/>
    <w:basedOn w:val="Normal"/>
    <w:uiPriority w:val="99"/>
    <w:semiHidden/>
    <w:unhideWhenUsed/>
    <w:rsid w:val="00A56698"/>
    <w:pPr>
      <w:ind w:left="1415" w:hanging="283"/>
      <w:contextualSpacing/>
    </w:pPr>
  </w:style>
  <w:style w:type="paragraph" w:styleId="ListBullet5">
    <w:name w:val="List Bullet 5"/>
    <w:basedOn w:val="Normal"/>
    <w:uiPriority w:val="99"/>
    <w:semiHidden/>
    <w:rsid w:val="00A56698"/>
    <w:pPr>
      <w:numPr>
        <w:numId w:val="25"/>
      </w:numPr>
      <w:contextualSpacing/>
    </w:pPr>
  </w:style>
  <w:style w:type="paragraph" w:styleId="ListNumber4">
    <w:name w:val="List Number 4"/>
    <w:basedOn w:val="Normal"/>
    <w:uiPriority w:val="97"/>
    <w:semiHidden/>
    <w:unhideWhenUsed/>
    <w:rsid w:val="00A56698"/>
    <w:pPr>
      <w:numPr>
        <w:numId w:val="26"/>
      </w:numPr>
      <w:contextualSpacing/>
    </w:pPr>
  </w:style>
  <w:style w:type="paragraph" w:styleId="ListNumber5">
    <w:name w:val="List Number 5"/>
    <w:basedOn w:val="Normal"/>
    <w:uiPriority w:val="99"/>
    <w:semiHidden/>
    <w:rsid w:val="00A56698"/>
    <w:pPr>
      <w:numPr>
        <w:numId w:val="27"/>
      </w:numPr>
      <w:contextualSpacing/>
    </w:pPr>
  </w:style>
  <w:style w:type="paragraph" w:styleId="ListParagraph">
    <w:name w:val="List Paragraph"/>
    <w:basedOn w:val="Normal"/>
    <w:uiPriority w:val="34"/>
    <w:qFormat/>
    <w:rsid w:val="000E1055"/>
    <w:pPr>
      <w:ind w:left="720"/>
      <w:contextualSpacing/>
    </w:pPr>
  </w:style>
  <w:style w:type="paragraph" w:styleId="MacroText">
    <w:name w:val="macro"/>
    <w:link w:val="MacroTextChar"/>
    <w:uiPriority w:val="99"/>
    <w:semiHidden/>
    <w:unhideWhenUsed/>
    <w:rsid w:val="00A56698"/>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A56698"/>
    <w:rPr>
      <w:rFonts w:ascii="Consolas" w:hAnsi="Consolas" w:cs="Consolas"/>
      <w:color w:val="1E1E1E"/>
      <w:sz w:val="20"/>
      <w:szCs w:val="20"/>
    </w:rPr>
  </w:style>
  <w:style w:type="table" w:customStyle="1" w:styleId="MediumGrid11">
    <w:name w:val="Medium Grid 11"/>
    <w:basedOn w:val="TableNormal"/>
    <w:uiPriority w:val="67"/>
    <w:rsid w:val="00A5669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5669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5669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5669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5669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5669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566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566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566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566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566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566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566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566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A5669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5669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5669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5669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5669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5669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5669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566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5669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5669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5669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5669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5669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5669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566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566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566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566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566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566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566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566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5669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56698"/>
    <w:rPr>
      <w:rFonts w:asciiTheme="majorHAnsi" w:eastAsiaTheme="majorEastAsia" w:hAnsiTheme="majorHAnsi" w:cstheme="majorBidi"/>
      <w:color w:val="1E1E1E"/>
      <w:sz w:val="24"/>
      <w:szCs w:val="24"/>
      <w:shd w:val="pct20" w:color="auto" w:fill="auto"/>
    </w:rPr>
  </w:style>
  <w:style w:type="paragraph" w:styleId="NoSpacing">
    <w:name w:val="No Spacing"/>
    <w:uiPriority w:val="1"/>
    <w:qFormat/>
    <w:rsid w:val="00A56698"/>
    <w:pPr>
      <w:spacing w:after="0" w:line="240" w:lineRule="auto"/>
    </w:pPr>
    <w:rPr>
      <w:rFonts w:ascii="Calibri" w:hAnsi="Calibri"/>
      <w:color w:val="1E1E1E"/>
      <w:sz w:val="24"/>
    </w:rPr>
  </w:style>
  <w:style w:type="paragraph" w:styleId="NormalIndent">
    <w:name w:val="Normal Indent"/>
    <w:basedOn w:val="Normal"/>
    <w:uiPriority w:val="99"/>
    <w:semiHidden/>
    <w:unhideWhenUsed/>
    <w:rsid w:val="00A56698"/>
    <w:pPr>
      <w:ind w:left="720"/>
    </w:pPr>
  </w:style>
  <w:style w:type="paragraph" w:customStyle="1" w:styleId="NoteHeading1">
    <w:name w:val="Note Heading1"/>
    <w:basedOn w:val="Normal"/>
    <w:next w:val="Normal"/>
    <w:link w:val="NoteHeadingChar"/>
    <w:uiPriority w:val="99"/>
    <w:semiHidden/>
    <w:unhideWhenUsed/>
    <w:rsid w:val="00A56698"/>
    <w:pPr>
      <w:spacing w:after="0" w:line="240" w:lineRule="auto"/>
    </w:pPr>
  </w:style>
  <w:style w:type="character" w:customStyle="1" w:styleId="NoteHeadingChar">
    <w:name w:val="Note Heading Char"/>
    <w:basedOn w:val="DefaultParagraphFont"/>
    <w:link w:val="NoteHeading1"/>
    <w:uiPriority w:val="99"/>
    <w:semiHidden/>
    <w:rsid w:val="00A56698"/>
    <w:rPr>
      <w:rFonts w:ascii="Calibri" w:hAnsi="Calibri"/>
      <w:color w:val="1E1E1E"/>
      <w:sz w:val="24"/>
    </w:rPr>
  </w:style>
  <w:style w:type="character" w:styleId="PlaceholderText">
    <w:name w:val="Placeholder Text"/>
    <w:basedOn w:val="DefaultParagraphFont"/>
    <w:uiPriority w:val="99"/>
    <w:semiHidden/>
    <w:rsid w:val="00A56698"/>
    <w:rPr>
      <w:color w:val="808080"/>
    </w:rPr>
  </w:style>
  <w:style w:type="paragraph" w:styleId="PlainText">
    <w:name w:val="Plain Text"/>
    <w:basedOn w:val="Normal"/>
    <w:link w:val="PlainTextChar"/>
    <w:uiPriority w:val="99"/>
    <w:unhideWhenUsed/>
    <w:rsid w:val="00A566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56698"/>
    <w:rPr>
      <w:rFonts w:ascii="Consolas" w:hAnsi="Consolas" w:cs="Consolas"/>
      <w:color w:val="1E1E1E"/>
      <w:sz w:val="21"/>
      <w:szCs w:val="21"/>
    </w:rPr>
  </w:style>
  <w:style w:type="paragraph" w:styleId="Quote">
    <w:name w:val="Quote"/>
    <w:basedOn w:val="Normal"/>
    <w:next w:val="Normal"/>
    <w:link w:val="QuoteChar"/>
    <w:uiPriority w:val="29"/>
    <w:semiHidden/>
    <w:rsid w:val="00A56698"/>
    <w:rPr>
      <w:i/>
      <w:iCs/>
      <w:color w:val="000000" w:themeColor="text1"/>
    </w:rPr>
  </w:style>
  <w:style w:type="character" w:customStyle="1" w:styleId="QuoteChar">
    <w:name w:val="Quote Char"/>
    <w:basedOn w:val="DefaultParagraphFont"/>
    <w:link w:val="Quote"/>
    <w:uiPriority w:val="29"/>
    <w:semiHidden/>
    <w:rsid w:val="00A56698"/>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A56698"/>
  </w:style>
  <w:style w:type="character" w:customStyle="1" w:styleId="SalutationChar">
    <w:name w:val="Salutation Char"/>
    <w:basedOn w:val="DefaultParagraphFont"/>
    <w:link w:val="Salutation"/>
    <w:uiPriority w:val="99"/>
    <w:semiHidden/>
    <w:rsid w:val="00A56698"/>
    <w:rPr>
      <w:rFonts w:ascii="Calibri" w:hAnsi="Calibri"/>
      <w:color w:val="1E1E1E"/>
      <w:sz w:val="24"/>
    </w:rPr>
  </w:style>
  <w:style w:type="paragraph" w:styleId="Signature">
    <w:name w:val="Signature"/>
    <w:basedOn w:val="Normal"/>
    <w:link w:val="SignatureChar"/>
    <w:uiPriority w:val="99"/>
    <w:semiHidden/>
    <w:unhideWhenUsed/>
    <w:rsid w:val="00A56698"/>
    <w:pPr>
      <w:spacing w:after="0" w:line="240" w:lineRule="auto"/>
      <w:ind w:left="4252"/>
    </w:pPr>
  </w:style>
  <w:style w:type="character" w:customStyle="1" w:styleId="SignatureChar">
    <w:name w:val="Signature Char"/>
    <w:basedOn w:val="DefaultParagraphFont"/>
    <w:link w:val="Signature"/>
    <w:uiPriority w:val="99"/>
    <w:semiHidden/>
    <w:rsid w:val="00A56698"/>
    <w:rPr>
      <w:rFonts w:ascii="Calibri" w:hAnsi="Calibri"/>
      <w:color w:val="1E1E1E"/>
      <w:sz w:val="24"/>
    </w:rPr>
  </w:style>
  <w:style w:type="character" w:styleId="Strong">
    <w:name w:val="Strong"/>
    <w:basedOn w:val="DefaultParagraphFont"/>
    <w:uiPriority w:val="22"/>
    <w:qFormat/>
    <w:rsid w:val="00A56698"/>
    <w:rPr>
      <w:b/>
      <w:bCs/>
    </w:rPr>
  </w:style>
  <w:style w:type="paragraph" w:styleId="Subtitle">
    <w:name w:val="Subtitle"/>
    <w:basedOn w:val="Normal"/>
    <w:next w:val="Normal"/>
    <w:link w:val="SubtitleChar"/>
    <w:uiPriority w:val="11"/>
    <w:semiHidden/>
    <w:rsid w:val="00A5669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semiHidden/>
    <w:rsid w:val="00A5669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A56698"/>
    <w:rPr>
      <w:i/>
      <w:iCs/>
      <w:color w:val="808080" w:themeColor="text1" w:themeTint="7F"/>
    </w:rPr>
  </w:style>
  <w:style w:type="character" w:styleId="SubtleReference">
    <w:name w:val="Subtle Reference"/>
    <w:basedOn w:val="DefaultParagraphFont"/>
    <w:uiPriority w:val="31"/>
    <w:semiHidden/>
    <w:rsid w:val="00A56698"/>
    <w:rPr>
      <w:smallCaps/>
      <w:color w:val="C0504D" w:themeColor="accent2"/>
      <w:u w:val="single"/>
    </w:rPr>
  </w:style>
  <w:style w:type="table" w:styleId="Table3Deffects1">
    <w:name w:val="Table 3D effects 1"/>
    <w:basedOn w:val="TableNormal"/>
    <w:uiPriority w:val="99"/>
    <w:semiHidden/>
    <w:unhideWhenUsed/>
    <w:rsid w:val="00A5669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5669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5669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5669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5669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5669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5669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5669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5669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5669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5669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5669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5669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5669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5669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5669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5669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5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5669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5669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5669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5669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5669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5669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5669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5669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5669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5669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5669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5669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5669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5669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5669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5669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A5669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5669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5669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5669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5669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5669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5669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5669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5669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5669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2">
    <w:name w:val="Colorful Grid2"/>
    <w:basedOn w:val="TableNormal"/>
    <w:uiPriority w:val="73"/>
    <w:rsid w:val="000D06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72"/>
    <w:rsid w:val="000D063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71"/>
    <w:rsid w:val="000D063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70"/>
    <w:rsid w:val="000D063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2">
    <w:name w:val="Light Grid2"/>
    <w:basedOn w:val="TableNormal"/>
    <w:uiPriority w:val="62"/>
    <w:rsid w:val="000D06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rsid w:val="000D0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
    <w:name w:val="Light List2"/>
    <w:basedOn w:val="TableNormal"/>
    <w:uiPriority w:val="61"/>
    <w:rsid w:val="000D06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61"/>
    <w:rsid w:val="000D0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
    <w:name w:val="Light Shading2"/>
    <w:basedOn w:val="TableNormal"/>
    <w:uiPriority w:val="60"/>
    <w:rsid w:val="000D06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0D063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
    <w:name w:val="Medium Grid 12"/>
    <w:basedOn w:val="TableNormal"/>
    <w:uiPriority w:val="67"/>
    <w:rsid w:val="000D06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68"/>
    <w:rsid w:val="000D06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0D06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65"/>
    <w:rsid w:val="000D063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65"/>
    <w:rsid w:val="000D063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
    <w:name w:val="Medium List 22"/>
    <w:basedOn w:val="TableNormal"/>
    <w:uiPriority w:val="66"/>
    <w:rsid w:val="000D06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0D06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0D063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0D06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0D06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3">
    <w:name w:val="Colorful Grid3"/>
    <w:basedOn w:val="TableNormal"/>
    <w:uiPriority w:val="73"/>
    <w:rsid w:val="00D77A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3">
    <w:name w:val="Colorful List3"/>
    <w:basedOn w:val="TableNormal"/>
    <w:uiPriority w:val="72"/>
    <w:rsid w:val="00D77A2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3">
    <w:name w:val="Colorful Shading3"/>
    <w:basedOn w:val="TableNormal"/>
    <w:uiPriority w:val="71"/>
    <w:rsid w:val="00D77A2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3">
    <w:name w:val="Dark List3"/>
    <w:basedOn w:val="TableNormal"/>
    <w:uiPriority w:val="70"/>
    <w:rsid w:val="00D77A2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3">
    <w:name w:val="Light Grid3"/>
    <w:basedOn w:val="TableNormal"/>
    <w:uiPriority w:val="62"/>
    <w:rsid w:val="00D77A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3">
    <w:name w:val="Light Grid - Accent 13"/>
    <w:basedOn w:val="TableNormal"/>
    <w:uiPriority w:val="62"/>
    <w:rsid w:val="00D77A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3">
    <w:name w:val="Light List3"/>
    <w:basedOn w:val="TableNormal"/>
    <w:uiPriority w:val="61"/>
    <w:rsid w:val="00D77A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3">
    <w:name w:val="Light List - Accent 13"/>
    <w:basedOn w:val="TableNormal"/>
    <w:uiPriority w:val="61"/>
    <w:rsid w:val="00D77A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3">
    <w:name w:val="Light Shading3"/>
    <w:basedOn w:val="TableNormal"/>
    <w:uiPriority w:val="60"/>
    <w:rsid w:val="00D77A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3">
    <w:name w:val="Light Shading - Accent 13"/>
    <w:basedOn w:val="TableNormal"/>
    <w:uiPriority w:val="60"/>
    <w:rsid w:val="00D77A2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3">
    <w:name w:val="Medium Grid 13"/>
    <w:basedOn w:val="TableNormal"/>
    <w:uiPriority w:val="67"/>
    <w:rsid w:val="00D77A2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3">
    <w:name w:val="Medium Grid 23"/>
    <w:basedOn w:val="TableNormal"/>
    <w:uiPriority w:val="68"/>
    <w:rsid w:val="00D77A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3">
    <w:name w:val="Medium Grid 33"/>
    <w:basedOn w:val="TableNormal"/>
    <w:uiPriority w:val="69"/>
    <w:rsid w:val="00D77A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3">
    <w:name w:val="Medium List 13"/>
    <w:basedOn w:val="TableNormal"/>
    <w:uiPriority w:val="65"/>
    <w:rsid w:val="00D77A2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3">
    <w:name w:val="Medium List 1 - Accent 13"/>
    <w:basedOn w:val="TableNormal"/>
    <w:uiPriority w:val="65"/>
    <w:rsid w:val="00D77A2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3">
    <w:name w:val="Medium List 23"/>
    <w:basedOn w:val="TableNormal"/>
    <w:uiPriority w:val="66"/>
    <w:rsid w:val="00D77A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3">
    <w:name w:val="Medium Shading 13"/>
    <w:basedOn w:val="TableNormal"/>
    <w:uiPriority w:val="63"/>
    <w:rsid w:val="00D77A2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rsid w:val="00D77A2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3">
    <w:name w:val="Medium Shading 23"/>
    <w:basedOn w:val="TableNormal"/>
    <w:uiPriority w:val="64"/>
    <w:rsid w:val="00D77A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uiPriority w:val="64"/>
    <w:rsid w:val="00D77A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1CMBULLET-LEVEL2">
    <w:name w:val="1CM BULLET - LEVEL 2"/>
    <w:basedOn w:val="Normal"/>
    <w:next w:val="Normal"/>
    <w:rsid w:val="00376327"/>
    <w:pPr>
      <w:numPr>
        <w:numId w:val="28"/>
      </w:numPr>
      <w:spacing w:before="60" w:after="60" w:line="260" w:lineRule="atLeast"/>
    </w:pPr>
    <w:rPr>
      <w:rFonts w:ascii="Tw Cen MT Mi" w:hAnsi="Tw Cen MT Mi"/>
      <w:sz w:val="20"/>
      <w:szCs w:val="20"/>
      <w:lang w:val="en-GB"/>
    </w:rPr>
  </w:style>
  <w:style w:type="table" w:customStyle="1" w:styleId="ColorfulGrid4">
    <w:name w:val="Colorful Grid4"/>
    <w:basedOn w:val="TableNormal"/>
    <w:uiPriority w:val="73"/>
    <w:rsid w:val="00112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4">
    <w:name w:val="Colorful List4"/>
    <w:basedOn w:val="TableNormal"/>
    <w:uiPriority w:val="72"/>
    <w:rsid w:val="001120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4">
    <w:name w:val="Colorful Shading4"/>
    <w:basedOn w:val="TableNormal"/>
    <w:uiPriority w:val="71"/>
    <w:rsid w:val="001120C5"/>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4">
    <w:name w:val="Dark List4"/>
    <w:basedOn w:val="TableNormal"/>
    <w:uiPriority w:val="70"/>
    <w:rsid w:val="001120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4">
    <w:name w:val="Light Grid4"/>
    <w:basedOn w:val="TableNormal"/>
    <w:uiPriority w:val="62"/>
    <w:rsid w:val="001120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4">
    <w:name w:val="Light Grid - Accent 14"/>
    <w:basedOn w:val="TableNormal"/>
    <w:uiPriority w:val="62"/>
    <w:rsid w:val="001120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4">
    <w:name w:val="Light List4"/>
    <w:basedOn w:val="TableNormal"/>
    <w:uiPriority w:val="61"/>
    <w:rsid w:val="001120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4">
    <w:name w:val="Light List - Accent 14"/>
    <w:basedOn w:val="TableNormal"/>
    <w:uiPriority w:val="61"/>
    <w:rsid w:val="001120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4">
    <w:name w:val="Light Shading4"/>
    <w:basedOn w:val="TableNormal"/>
    <w:uiPriority w:val="60"/>
    <w:rsid w:val="001120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4">
    <w:name w:val="Light Shading - Accent 14"/>
    <w:basedOn w:val="TableNormal"/>
    <w:uiPriority w:val="60"/>
    <w:rsid w:val="001120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4">
    <w:name w:val="Medium Grid 14"/>
    <w:basedOn w:val="TableNormal"/>
    <w:uiPriority w:val="67"/>
    <w:rsid w:val="001120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4">
    <w:name w:val="Medium Grid 24"/>
    <w:basedOn w:val="TableNormal"/>
    <w:uiPriority w:val="68"/>
    <w:rsid w:val="00112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4">
    <w:name w:val="Medium Grid 34"/>
    <w:basedOn w:val="TableNormal"/>
    <w:uiPriority w:val="69"/>
    <w:rsid w:val="00112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4">
    <w:name w:val="Medium List 14"/>
    <w:basedOn w:val="TableNormal"/>
    <w:uiPriority w:val="65"/>
    <w:rsid w:val="001120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4">
    <w:name w:val="Medium List 1 - Accent 14"/>
    <w:basedOn w:val="TableNormal"/>
    <w:uiPriority w:val="65"/>
    <w:rsid w:val="001120C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4">
    <w:name w:val="Medium List 24"/>
    <w:basedOn w:val="TableNormal"/>
    <w:uiPriority w:val="66"/>
    <w:rsid w:val="00112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4">
    <w:name w:val="Medium Shading 14"/>
    <w:basedOn w:val="TableNormal"/>
    <w:uiPriority w:val="63"/>
    <w:rsid w:val="001120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4">
    <w:name w:val="Medium Shading 1 - Accent 14"/>
    <w:basedOn w:val="TableNormal"/>
    <w:uiPriority w:val="63"/>
    <w:rsid w:val="001120C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4">
    <w:name w:val="Medium Shading 24"/>
    <w:basedOn w:val="TableNormal"/>
    <w:uiPriority w:val="64"/>
    <w:rsid w:val="00112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uiPriority w:val="64"/>
    <w:rsid w:val="00112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NZBodyText">
    <w:name w:val="ANZ Body Text"/>
    <w:basedOn w:val="Normal"/>
    <w:link w:val="ANZBodyTextChar"/>
    <w:qFormat/>
    <w:rsid w:val="00BA1E4F"/>
    <w:pPr>
      <w:spacing w:after="240" w:line="260" w:lineRule="atLeast"/>
    </w:pPr>
    <w:rPr>
      <w:rFonts w:ascii="Tw Cen MT Mi" w:hAnsi="Tw Cen MT Mi"/>
      <w:lang w:eastAsia="en-GB"/>
    </w:rPr>
  </w:style>
  <w:style w:type="character" w:customStyle="1" w:styleId="ANZBodyTextChar">
    <w:name w:val="ANZ Body Text Char"/>
    <w:basedOn w:val="DefaultParagraphFont"/>
    <w:link w:val="ANZBodyText"/>
    <w:rsid w:val="00BA1E4F"/>
    <w:rPr>
      <w:rFonts w:ascii="Tw Cen MT Mi" w:hAnsi="Tw Cen MT Mi"/>
      <w:color w:val="1E1E1E"/>
      <w:sz w:val="24"/>
      <w:lang w:eastAsia="en-GB"/>
    </w:rPr>
  </w:style>
  <w:style w:type="paragraph" w:customStyle="1" w:styleId="ANZBulletLevel1">
    <w:name w:val="ANZ Bullet Level 1"/>
    <w:basedOn w:val="ANZBodyText"/>
    <w:qFormat/>
    <w:rsid w:val="00BA1E4F"/>
    <w:pPr>
      <w:numPr>
        <w:numId w:val="29"/>
      </w:numPr>
    </w:pPr>
  </w:style>
  <w:style w:type="paragraph" w:customStyle="1" w:styleId="ANZBulletLevel2">
    <w:name w:val="ANZ Bullet Level 2"/>
    <w:basedOn w:val="ANZBulletLevel1"/>
    <w:qFormat/>
    <w:rsid w:val="00BA1E4F"/>
    <w:pPr>
      <w:numPr>
        <w:ilvl w:val="1"/>
      </w:numPr>
      <w:tabs>
        <w:tab w:val="num" w:pos="851"/>
      </w:tabs>
    </w:pPr>
  </w:style>
  <w:style w:type="paragraph" w:customStyle="1" w:styleId="ANZBulletLevel3">
    <w:name w:val="ANZ Bullet Level 3"/>
    <w:basedOn w:val="ANZBulletLevel1"/>
    <w:qFormat/>
    <w:rsid w:val="00BA1E4F"/>
    <w:pPr>
      <w:numPr>
        <w:ilvl w:val="2"/>
      </w:numPr>
      <w:tabs>
        <w:tab w:val="clear" w:pos="1701"/>
      </w:tabs>
    </w:pPr>
  </w:style>
  <w:style w:type="paragraph" w:customStyle="1" w:styleId="ANZHeading-L1">
    <w:name w:val="ANZ Heading - L1"/>
    <w:basedOn w:val="Normal"/>
    <w:next w:val="ANZBodyText"/>
    <w:qFormat/>
    <w:rsid w:val="00BA1E4F"/>
    <w:pPr>
      <w:keepNext/>
      <w:spacing w:after="240" w:line="260" w:lineRule="atLeast"/>
    </w:pPr>
    <w:rPr>
      <w:rFonts w:ascii="Tw Cen MT Mi" w:hAnsi="Tw Cen MT Mi"/>
      <w:b/>
      <w:kern w:val="28"/>
      <w:sz w:val="28"/>
      <w:szCs w:val="20"/>
    </w:rPr>
  </w:style>
  <w:style w:type="character" w:customStyle="1" w:styleId="ps341">
    <w:name w:val="ps341"/>
    <w:basedOn w:val="DefaultParagraphFont"/>
    <w:rsid w:val="00BA1E4F"/>
  </w:style>
  <w:style w:type="character" w:customStyle="1" w:styleId="FootnoteNumber">
    <w:name w:val="Footnote Number"/>
    <w:rsid w:val="00BA1E4F"/>
    <w:rPr>
      <w:position w:val="8"/>
      <w:sz w:val="14"/>
      <w:szCs w:val="14"/>
      <w:u w:val="none"/>
      <w:vertAlign w:val="baseline"/>
    </w:rPr>
  </w:style>
  <w:style w:type="character" w:customStyle="1" w:styleId="UnderlineDotted">
    <w:name w:val="Underline Dotted"/>
    <w:rsid w:val="00BA1E4F"/>
    <w:rPr>
      <w:u w:val="dashedHeavy" w:color="0035C4"/>
    </w:rPr>
  </w:style>
  <w:style w:type="character" w:customStyle="1" w:styleId="Underline">
    <w:name w:val="Underline"/>
    <w:rsid w:val="00BA1E4F"/>
    <w:rPr>
      <w:u w:val="thick"/>
    </w:rPr>
  </w:style>
  <w:style w:type="character" w:customStyle="1" w:styleId="DoubleUnderline">
    <w:name w:val="Double Underline"/>
    <w:basedOn w:val="Underline"/>
    <w:rsid w:val="00BA1E4F"/>
    <w:rPr>
      <w:strike/>
      <w:u w:val="thick" w:color="000000"/>
    </w:rPr>
  </w:style>
  <w:style w:type="paragraph" w:customStyle="1" w:styleId="Bullets">
    <w:name w:val="Bullets"/>
    <w:basedOn w:val="Normal"/>
    <w:rsid w:val="00BA1E4F"/>
    <w:pPr>
      <w:widowControl w:val="0"/>
      <w:numPr>
        <w:numId w:val="30"/>
      </w:numPr>
      <w:tabs>
        <w:tab w:val="left" w:pos="283"/>
        <w:tab w:val="left" w:pos="520"/>
        <w:tab w:val="left" w:pos="567"/>
        <w:tab w:val="left" w:pos="850"/>
        <w:tab w:val="left" w:pos="1134"/>
        <w:tab w:val="right" w:pos="6160"/>
        <w:tab w:val="right" w:pos="7360"/>
      </w:tabs>
      <w:suppressAutoHyphens/>
      <w:autoSpaceDE w:val="0"/>
      <w:autoSpaceDN w:val="0"/>
      <w:adjustRightInd w:val="0"/>
      <w:spacing w:after="57" w:line="260" w:lineRule="atLeast"/>
      <w:textAlignment w:val="center"/>
    </w:pPr>
    <w:rPr>
      <w:rFonts w:ascii="Arial" w:hAnsi="Arial" w:cs="MyriadPro-Light"/>
      <w:color w:val="000000"/>
      <w:sz w:val="20"/>
      <w:szCs w:val="20"/>
      <w:lang w:val="en-GB" w:bidi="en-US"/>
    </w:rPr>
  </w:style>
  <w:style w:type="paragraph" w:customStyle="1" w:styleId="Header1">
    <w:name w:val="Header 1"/>
    <w:basedOn w:val="Normal"/>
    <w:rsid w:val="00BA1E4F"/>
    <w:pPr>
      <w:widowControl w:val="0"/>
      <w:tabs>
        <w:tab w:val="left" w:pos="283"/>
        <w:tab w:val="left" w:pos="520"/>
        <w:tab w:val="left" w:pos="567"/>
        <w:tab w:val="left" w:pos="850"/>
        <w:tab w:val="left" w:pos="1134"/>
        <w:tab w:val="right" w:pos="6160"/>
        <w:tab w:val="right" w:pos="7360"/>
      </w:tabs>
      <w:suppressAutoHyphens/>
      <w:autoSpaceDE w:val="0"/>
      <w:autoSpaceDN w:val="0"/>
      <w:adjustRightInd w:val="0"/>
      <w:spacing w:before="200" w:after="100" w:line="288" w:lineRule="auto"/>
      <w:textAlignment w:val="center"/>
    </w:pPr>
    <w:rPr>
      <w:rFonts w:ascii="Arial" w:hAnsi="Arial" w:cs="MyriadPro-Regular"/>
      <w:color w:val="0035C4"/>
      <w:sz w:val="32"/>
      <w:szCs w:val="28"/>
      <w:lang w:val="en-GB" w:bidi="en-US"/>
    </w:rPr>
  </w:style>
  <w:style w:type="paragraph" w:customStyle="1" w:styleId="Header2">
    <w:name w:val="Header 2"/>
    <w:basedOn w:val="Normal"/>
    <w:rsid w:val="00BA1E4F"/>
    <w:pPr>
      <w:widowControl w:val="0"/>
      <w:tabs>
        <w:tab w:val="left" w:pos="283"/>
        <w:tab w:val="left" w:pos="520"/>
        <w:tab w:val="left" w:pos="567"/>
        <w:tab w:val="left" w:pos="850"/>
        <w:tab w:val="left" w:pos="1134"/>
        <w:tab w:val="right" w:pos="6160"/>
        <w:tab w:val="right" w:pos="7360"/>
      </w:tabs>
      <w:suppressAutoHyphens/>
      <w:autoSpaceDE w:val="0"/>
      <w:autoSpaceDN w:val="0"/>
      <w:adjustRightInd w:val="0"/>
      <w:spacing w:after="113" w:line="340" w:lineRule="atLeast"/>
      <w:textAlignment w:val="center"/>
    </w:pPr>
    <w:rPr>
      <w:rFonts w:ascii="Arial" w:hAnsi="Arial" w:cs="MyriadPro-Light"/>
      <w:color w:val="0035C4"/>
      <w:sz w:val="28"/>
      <w:szCs w:val="28"/>
      <w:lang w:val="en-GB" w:bidi="en-US"/>
    </w:rPr>
  </w:style>
  <w:style w:type="paragraph" w:customStyle="1" w:styleId="Header3">
    <w:name w:val="Header 3"/>
    <w:basedOn w:val="Normal"/>
    <w:rsid w:val="00BA1E4F"/>
    <w:pPr>
      <w:widowControl w:val="0"/>
      <w:suppressAutoHyphens/>
      <w:autoSpaceDE w:val="0"/>
      <w:autoSpaceDN w:val="0"/>
      <w:adjustRightInd w:val="0"/>
      <w:spacing w:after="113" w:line="340" w:lineRule="atLeast"/>
      <w:textAlignment w:val="center"/>
    </w:pPr>
    <w:rPr>
      <w:rFonts w:ascii="Arial" w:hAnsi="Arial" w:cs="MyriadPro-Regular"/>
      <w:color w:val="0035C4"/>
      <w:sz w:val="22"/>
      <w:szCs w:val="20"/>
      <w:lang w:val="en-GB" w:bidi="en-US"/>
    </w:rPr>
  </w:style>
  <w:style w:type="paragraph" w:customStyle="1" w:styleId="Header5">
    <w:name w:val="Header 5"/>
    <w:basedOn w:val="Normal"/>
    <w:rsid w:val="00BA1E4F"/>
    <w:pPr>
      <w:widowControl w:val="0"/>
      <w:tabs>
        <w:tab w:val="left" w:pos="283"/>
        <w:tab w:val="left" w:pos="520"/>
        <w:tab w:val="left" w:pos="567"/>
        <w:tab w:val="left" w:pos="850"/>
        <w:tab w:val="left" w:pos="1134"/>
        <w:tab w:val="right" w:pos="6160"/>
        <w:tab w:val="right" w:pos="7360"/>
      </w:tabs>
      <w:suppressAutoHyphens/>
      <w:autoSpaceDE w:val="0"/>
      <w:autoSpaceDN w:val="0"/>
      <w:adjustRightInd w:val="0"/>
      <w:spacing w:after="113" w:line="340" w:lineRule="atLeast"/>
      <w:textAlignment w:val="center"/>
    </w:pPr>
    <w:rPr>
      <w:rFonts w:ascii="Arial" w:hAnsi="Arial" w:cs="MyriadPro-Regular"/>
      <w:caps/>
      <w:color w:val="0035C4"/>
      <w:sz w:val="22"/>
      <w:szCs w:val="20"/>
      <w:lang w:val="en-GB" w:bidi="en-US"/>
    </w:rPr>
  </w:style>
  <w:style w:type="paragraph" w:customStyle="1" w:styleId="Footnotes">
    <w:name w:val="Footnotes"/>
    <w:basedOn w:val="Normal"/>
    <w:rsid w:val="00BA1E4F"/>
    <w:pPr>
      <w:widowControl w:val="0"/>
      <w:tabs>
        <w:tab w:val="left" w:pos="283"/>
      </w:tabs>
      <w:suppressAutoHyphens/>
      <w:autoSpaceDE w:val="0"/>
      <w:autoSpaceDN w:val="0"/>
      <w:adjustRightInd w:val="0"/>
      <w:spacing w:after="57" w:line="260" w:lineRule="atLeast"/>
      <w:textAlignment w:val="center"/>
    </w:pPr>
    <w:rPr>
      <w:rFonts w:ascii="MyriadPro-LightIt" w:hAnsi="MyriadPro-LightIt" w:cs="MyriadPro-LightIt"/>
      <w:i/>
      <w:iCs/>
      <w:color w:val="000000"/>
      <w:sz w:val="16"/>
      <w:szCs w:val="16"/>
      <w:lang w:val="en-GB" w:bidi="en-US"/>
    </w:rPr>
  </w:style>
  <w:style w:type="paragraph" w:customStyle="1" w:styleId="BodyCopy">
    <w:name w:val="Body Copy"/>
    <w:basedOn w:val="Normal"/>
    <w:rsid w:val="00BA1E4F"/>
    <w:pPr>
      <w:widowControl w:val="0"/>
      <w:tabs>
        <w:tab w:val="left" w:pos="283"/>
        <w:tab w:val="left" w:pos="500"/>
        <w:tab w:val="left" w:pos="850"/>
        <w:tab w:val="left" w:pos="1134"/>
      </w:tabs>
      <w:suppressAutoHyphens/>
      <w:autoSpaceDE w:val="0"/>
      <w:autoSpaceDN w:val="0"/>
      <w:adjustRightInd w:val="0"/>
      <w:spacing w:after="113" w:line="260" w:lineRule="atLeast"/>
      <w:textAlignment w:val="center"/>
    </w:pPr>
    <w:rPr>
      <w:rFonts w:ascii="MyriadPro-Light" w:hAnsi="MyriadPro-Light" w:cs="MyriadPro-Light"/>
      <w:color w:val="000000"/>
      <w:sz w:val="20"/>
      <w:szCs w:val="20"/>
      <w:lang w:val="en-GB" w:bidi="en-US"/>
    </w:rPr>
  </w:style>
  <w:style w:type="paragraph" w:customStyle="1" w:styleId="BasicParagraph">
    <w:name w:val="[Basic Paragraph]"/>
    <w:basedOn w:val="Normal"/>
    <w:rsid w:val="00BA1E4F"/>
    <w:pPr>
      <w:widowControl w:val="0"/>
      <w:autoSpaceDE w:val="0"/>
      <w:autoSpaceDN w:val="0"/>
      <w:adjustRightInd w:val="0"/>
      <w:spacing w:after="160" w:line="288" w:lineRule="auto"/>
      <w:textAlignment w:val="center"/>
    </w:pPr>
    <w:rPr>
      <w:rFonts w:ascii="Times-Roman" w:hAnsi="Times-Roman"/>
      <w:color w:val="000000"/>
      <w:lang w:val="en-GB"/>
    </w:rPr>
  </w:style>
  <w:style w:type="character" w:customStyle="1" w:styleId="TableBold">
    <w:name w:val="Table Bold"/>
    <w:rsid w:val="00BA1E4F"/>
    <w:rPr>
      <w:rFonts w:ascii="Arial" w:hAnsi="Arial"/>
      <w:color w:val="FFFFFF"/>
      <w:sz w:val="18"/>
    </w:rPr>
  </w:style>
  <w:style w:type="paragraph" w:customStyle="1" w:styleId="PartTitle">
    <w:name w:val="Part Title"/>
    <w:basedOn w:val="BasicParagraph"/>
    <w:rsid w:val="00BA1E4F"/>
    <w:pPr>
      <w:suppressAutoHyphens/>
      <w:spacing w:after="57"/>
    </w:pPr>
    <w:rPr>
      <w:rFonts w:ascii="MyriadPro-Regular" w:hAnsi="MyriadPro-Regular" w:cs="MyriadPro-Regular"/>
      <w:lang w:bidi="en-US"/>
    </w:rPr>
  </w:style>
  <w:style w:type="paragraph" w:customStyle="1" w:styleId="BodyFootnote">
    <w:name w:val="Body Footnote"/>
    <w:basedOn w:val="Normal"/>
    <w:rsid w:val="00BA1E4F"/>
    <w:pPr>
      <w:widowControl w:val="0"/>
      <w:suppressAutoHyphens/>
      <w:autoSpaceDE w:val="0"/>
      <w:autoSpaceDN w:val="0"/>
      <w:adjustRightInd w:val="0"/>
      <w:spacing w:after="113" w:line="260" w:lineRule="atLeast"/>
      <w:ind w:left="180" w:hanging="180"/>
      <w:textAlignment w:val="center"/>
    </w:pPr>
    <w:rPr>
      <w:rFonts w:ascii="MyriadPro-Light" w:hAnsi="MyriadPro-Light" w:cs="MyriadPro-Light"/>
      <w:color w:val="000000"/>
      <w:sz w:val="16"/>
      <w:szCs w:val="16"/>
      <w:lang w:val="en-GB"/>
    </w:rPr>
  </w:style>
  <w:style w:type="paragraph" w:customStyle="1" w:styleId="BoldIndent">
    <w:name w:val="Bold Indent"/>
    <w:basedOn w:val="Normal"/>
    <w:link w:val="BoldIndentChar"/>
    <w:rsid w:val="00BA1E4F"/>
    <w:pPr>
      <w:widowControl w:val="0"/>
      <w:numPr>
        <w:numId w:val="31"/>
      </w:numPr>
      <w:suppressAutoHyphens/>
      <w:autoSpaceDE w:val="0"/>
      <w:autoSpaceDN w:val="0"/>
      <w:adjustRightInd w:val="0"/>
      <w:spacing w:after="57" w:line="280" w:lineRule="atLeast"/>
      <w:textAlignment w:val="center"/>
    </w:pPr>
    <w:rPr>
      <w:rFonts w:ascii="Myriad Pro" w:hAnsi="Myriad Pro"/>
      <w:i/>
      <w:color w:val="003A6D"/>
      <w:sz w:val="20"/>
      <w:szCs w:val="20"/>
      <w:lang w:val="en-GB"/>
    </w:rPr>
  </w:style>
  <w:style w:type="character" w:customStyle="1" w:styleId="BoldIndentChar">
    <w:name w:val="Bold Indent Char"/>
    <w:basedOn w:val="DefaultParagraphFont"/>
    <w:link w:val="BoldIndent"/>
    <w:rsid w:val="00BA1E4F"/>
    <w:rPr>
      <w:rFonts w:ascii="Myriad Pro" w:hAnsi="Myriad Pro"/>
      <w:i/>
      <w:color w:val="003A6D"/>
      <w:sz w:val="20"/>
      <w:szCs w:val="20"/>
      <w:lang w:val="en-GB"/>
    </w:rPr>
  </w:style>
  <w:style w:type="paragraph" w:customStyle="1" w:styleId="Default">
    <w:name w:val="Default"/>
    <w:rsid w:val="00BA1E4F"/>
    <w:pPr>
      <w:autoSpaceDE w:val="0"/>
      <w:autoSpaceDN w:val="0"/>
      <w:adjustRightInd w:val="0"/>
      <w:spacing w:after="0" w:line="240" w:lineRule="auto"/>
    </w:pPr>
    <w:rPr>
      <w:rFonts w:ascii="Myriad Pro" w:eastAsia="Times New Roman" w:hAnsi="Myriad Pro" w:cs="Myriad Pro"/>
      <w:color w:val="000000"/>
      <w:sz w:val="24"/>
      <w:szCs w:val="24"/>
      <w:lang w:val="en-GB" w:eastAsia="en-GB"/>
    </w:rPr>
  </w:style>
  <w:style w:type="paragraph" w:customStyle="1" w:styleId="Pa7">
    <w:name w:val="Pa7"/>
    <w:basedOn w:val="Default"/>
    <w:next w:val="Default"/>
    <w:uiPriority w:val="99"/>
    <w:rsid w:val="00BA1E4F"/>
  </w:style>
  <w:style w:type="character" w:customStyle="1" w:styleId="spc">
    <w:name w:val="spc"/>
    <w:basedOn w:val="DefaultParagraphFont"/>
    <w:rsid w:val="00BA1E4F"/>
    <w:rPr>
      <w:strike w:val="0"/>
      <w:dstrike w:val="0"/>
      <w:u w:val="none"/>
      <w:effect w:val="none"/>
    </w:rPr>
  </w:style>
  <w:style w:type="character" w:customStyle="1" w:styleId="label">
    <w:name w:val="label"/>
    <w:basedOn w:val="DefaultParagraphFont"/>
    <w:rsid w:val="00BA1E4F"/>
  </w:style>
  <w:style w:type="paragraph" w:customStyle="1" w:styleId="labelledlabel-para">
    <w:name w:val="labelled label-para"/>
    <w:basedOn w:val="Normal"/>
    <w:rsid w:val="00BA1E4F"/>
    <w:pPr>
      <w:spacing w:after="160" w:line="260" w:lineRule="atLeast"/>
    </w:pPr>
    <w:rPr>
      <w:lang w:val="en-GB" w:eastAsia="en-GB"/>
    </w:rPr>
  </w:style>
  <w:style w:type="character" w:customStyle="1" w:styleId="q1">
    <w:name w:val="q1"/>
    <w:basedOn w:val="DefaultParagraphFont"/>
    <w:rsid w:val="00BA1E4F"/>
    <w:rPr>
      <w:b w:val="0"/>
      <w:bCs w:val="0"/>
      <w:i w:val="0"/>
      <w:iCs w:val="0"/>
      <w:spacing w:val="10"/>
    </w:rPr>
  </w:style>
  <w:style w:type="paragraph" w:customStyle="1" w:styleId="Pa2">
    <w:name w:val="Pa2"/>
    <w:basedOn w:val="Default"/>
    <w:next w:val="Default"/>
    <w:rsid w:val="00BA1E4F"/>
  </w:style>
  <w:style w:type="paragraph" w:customStyle="1" w:styleId="Pa15">
    <w:name w:val="Pa15"/>
    <w:basedOn w:val="Default"/>
    <w:next w:val="Default"/>
    <w:rsid w:val="00BA1E4F"/>
  </w:style>
  <w:style w:type="paragraph" w:customStyle="1" w:styleId="Pa16">
    <w:name w:val="Pa16"/>
    <w:basedOn w:val="Default"/>
    <w:next w:val="Default"/>
    <w:uiPriority w:val="99"/>
    <w:rsid w:val="00BA1E4F"/>
  </w:style>
  <w:style w:type="paragraph" w:customStyle="1" w:styleId="TableText">
    <w:name w:val="Table Text"/>
    <w:basedOn w:val="Normal"/>
    <w:rsid w:val="00BA1E4F"/>
    <w:pPr>
      <w:spacing w:before="60" w:after="60" w:line="260" w:lineRule="atLeast"/>
    </w:pPr>
    <w:rPr>
      <w:rFonts w:ascii="Arial Narrow" w:eastAsia="Arial Narrow" w:hAnsi="Arial Narrow" w:cs="Arial Narrow"/>
      <w:sz w:val="18"/>
      <w:szCs w:val="20"/>
      <w:lang w:eastAsia="en-NZ"/>
    </w:rPr>
  </w:style>
  <w:style w:type="character" w:customStyle="1" w:styleId="type">
    <w:name w:val="type"/>
    <w:basedOn w:val="DefaultParagraphFont"/>
    <w:rsid w:val="00BA1E4F"/>
  </w:style>
  <w:style w:type="character" w:customStyle="1" w:styleId="value">
    <w:name w:val="value"/>
    <w:basedOn w:val="DefaultParagraphFont"/>
    <w:rsid w:val="00BA1E4F"/>
  </w:style>
  <w:style w:type="paragraph" w:customStyle="1" w:styleId="tabletext0">
    <w:name w:val="tabletext"/>
    <w:basedOn w:val="Normal"/>
    <w:rsid w:val="00BA1E4F"/>
    <w:pPr>
      <w:spacing w:before="100" w:beforeAutospacing="1" w:after="100" w:afterAutospacing="1" w:line="260" w:lineRule="atLeast"/>
    </w:pPr>
    <w:rPr>
      <w:lang w:val="en-GB" w:eastAsia="en-GB"/>
    </w:rPr>
  </w:style>
  <w:style w:type="paragraph" w:customStyle="1" w:styleId="StyleCambria11ptBoldLinespacing15lines">
    <w:name w:val="Style Cambria 11 pt Bold Line spacing:  1.5 lines"/>
    <w:basedOn w:val="Normal"/>
    <w:rsid w:val="00BA1E4F"/>
    <w:pPr>
      <w:spacing w:after="160" w:line="360" w:lineRule="auto"/>
    </w:pPr>
    <w:rPr>
      <w:rFonts w:ascii="Cambria" w:hAnsi="Cambria"/>
      <w:b/>
      <w:bCs/>
      <w:sz w:val="2"/>
      <w:szCs w:val="20"/>
      <w:lang w:eastAsia="en-GB"/>
    </w:rPr>
  </w:style>
  <w:style w:type="paragraph" w:customStyle="1" w:styleId="StyleCambria10ptLinespacing15lines">
    <w:name w:val="Style Cambria 10 pt Line spacing:  1.5 lines"/>
    <w:basedOn w:val="Normal"/>
    <w:rsid w:val="00BA1E4F"/>
    <w:pPr>
      <w:spacing w:after="160" w:line="360" w:lineRule="auto"/>
    </w:pPr>
    <w:rPr>
      <w:rFonts w:ascii="Cambria" w:hAnsi="Cambria"/>
      <w:sz w:val="22"/>
      <w:szCs w:val="20"/>
      <w:lang w:eastAsia="en-GB"/>
    </w:rPr>
  </w:style>
  <w:style w:type="paragraph" w:customStyle="1" w:styleId="anztablebulletlevel1">
    <w:name w:val="anztablebulletlevel1"/>
    <w:basedOn w:val="Normal"/>
    <w:rsid w:val="00BA1E4F"/>
    <w:pPr>
      <w:spacing w:before="100" w:beforeAutospacing="1" w:after="100" w:afterAutospacing="1" w:line="260" w:lineRule="atLeast"/>
    </w:pPr>
    <w:rPr>
      <w:rFonts w:eastAsia="Calibri"/>
      <w:lang w:eastAsia="en-NZ"/>
    </w:rPr>
  </w:style>
  <w:style w:type="paragraph" w:styleId="Revision">
    <w:name w:val="Revision"/>
    <w:hidden/>
    <w:uiPriority w:val="99"/>
    <w:semiHidden/>
    <w:rsid w:val="00BA1E4F"/>
    <w:pPr>
      <w:spacing w:after="0" w:line="240" w:lineRule="auto"/>
    </w:pPr>
    <w:rPr>
      <w:rFonts w:ascii="Times New Roman" w:eastAsia="Times New Roman" w:hAnsi="Times New Roman" w:cs="Times New Roman"/>
      <w:sz w:val="24"/>
      <w:szCs w:val="24"/>
      <w:lang w:val="en-US"/>
    </w:rPr>
  </w:style>
  <w:style w:type="character" w:customStyle="1" w:styleId="A4">
    <w:name w:val="A4"/>
    <w:uiPriority w:val="99"/>
    <w:rsid w:val="00BA1E4F"/>
    <w:rPr>
      <w:rFonts w:cs="Myriad Pro"/>
      <w:color w:val="000000"/>
      <w:sz w:val="20"/>
      <w:szCs w:val="20"/>
    </w:rPr>
  </w:style>
  <w:style w:type="paragraph" w:customStyle="1" w:styleId="Pa20">
    <w:name w:val="Pa20"/>
    <w:basedOn w:val="Default"/>
    <w:next w:val="Default"/>
    <w:uiPriority w:val="99"/>
    <w:rsid w:val="00BA1E4F"/>
    <w:pPr>
      <w:spacing w:line="241" w:lineRule="atLeast"/>
    </w:pPr>
    <w:rPr>
      <w:rFonts w:cs="Times New Roman"/>
      <w:color w:val="auto"/>
      <w:lang w:val="en-NZ" w:eastAsia="en-NZ"/>
    </w:rPr>
  </w:style>
  <w:style w:type="character" w:customStyle="1" w:styleId="spc1">
    <w:name w:val="spc1"/>
    <w:basedOn w:val="DefaultParagraphFont"/>
    <w:rsid w:val="00BA1E4F"/>
    <w:rPr>
      <w:strike w:val="0"/>
      <w:dstrike w:val="0"/>
      <w:u w:val="none"/>
      <w:effect w:val="none"/>
    </w:rPr>
  </w:style>
  <w:style w:type="paragraph" w:customStyle="1" w:styleId="label8">
    <w:name w:val="label8"/>
    <w:basedOn w:val="Normal"/>
    <w:rsid w:val="00BA1E4F"/>
    <w:pPr>
      <w:spacing w:after="160" w:line="288" w:lineRule="atLeast"/>
    </w:pPr>
    <w:rPr>
      <w:color w:val="000000"/>
    </w:rPr>
  </w:style>
  <w:style w:type="paragraph" w:customStyle="1" w:styleId="labelled4">
    <w:name w:val="labelled4"/>
    <w:basedOn w:val="Normal"/>
    <w:rsid w:val="00BA1E4F"/>
    <w:pPr>
      <w:spacing w:after="160" w:line="288" w:lineRule="atLeast"/>
      <w:ind w:right="240"/>
    </w:pPr>
    <w:rPr>
      <w:color w:val="000000"/>
    </w:rPr>
  </w:style>
  <w:style w:type="paragraph" w:customStyle="1" w:styleId="Pa10">
    <w:name w:val="Pa10"/>
    <w:basedOn w:val="Default"/>
    <w:next w:val="Default"/>
    <w:uiPriority w:val="99"/>
    <w:rsid w:val="00BA1E4F"/>
    <w:pPr>
      <w:spacing w:line="201" w:lineRule="atLeast"/>
    </w:pPr>
    <w:rPr>
      <w:rFonts w:cs="Times New Roman"/>
      <w:color w:val="auto"/>
      <w:lang w:val="en-NZ" w:eastAsia="en-NZ"/>
    </w:rPr>
  </w:style>
  <w:style w:type="character" w:customStyle="1" w:styleId="A8">
    <w:name w:val="A8"/>
    <w:uiPriority w:val="99"/>
    <w:rsid w:val="00BA1E4F"/>
    <w:rPr>
      <w:rFonts w:cs="Myriad Pro"/>
      <w:color w:val="000000"/>
      <w:sz w:val="20"/>
      <w:szCs w:val="20"/>
    </w:rPr>
  </w:style>
  <w:style w:type="table" w:customStyle="1" w:styleId="TableGrid10">
    <w:name w:val="Table Grid1"/>
    <w:basedOn w:val="TableNormal"/>
    <w:next w:val="TableGrid"/>
    <w:uiPriority w:val="59"/>
    <w:rsid w:val="00BA1E4F"/>
    <w:pPr>
      <w:spacing w:after="0" w:line="240" w:lineRule="auto"/>
      <w:jc w:val="both"/>
    </w:pPr>
    <w:rPr>
      <w:rFonts w:ascii="CG Times (W1)" w:eastAsia="Times New Roman" w:hAnsi="CG Times (W1)"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 box"/>
    <w:basedOn w:val="BodyText"/>
    <w:uiPriority w:val="3"/>
    <w:rsid w:val="00BA1E4F"/>
    <w:pPr>
      <w:tabs>
        <w:tab w:val="num" w:pos="567"/>
      </w:tabs>
      <w:spacing w:after="160" w:line="260" w:lineRule="atLeast"/>
      <w:ind w:left="567" w:hanging="567"/>
    </w:pPr>
  </w:style>
  <w:style w:type="paragraph" w:customStyle="1" w:styleId="Tablecheckbox">
    <w:name w:val="Table check box"/>
    <w:basedOn w:val="Tablebodytext"/>
    <w:uiPriority w:val="2"/>
    <w:rsid w:val="00BA1E4F"/>
    <w:pPr>
      <w:tabs>
        <w:tab w:val="num" w:pos="357"/>
      </w:tabs>
      <w:spacing w:line="260" w:lineRule="atLeast"/>
      <w:ind w:left="357" w:hanging="357"/>
    </w:pPr>
  </w:style>
  <w:style w:type="paragraph" w:customStyle="1" w:styleId="Pa4">
    <w:name w:val="Pa4"/>
    <w:basedOn w:val="Default"/>
    <w:next w:val="Default"/>
    <w:uiPriority w:val="99"/>
    <w:rsid w:val="00BA1E4F"/>
    <w:pPr>
      <w:spacing w:line="201" w:lineRule="atLeast"/>
    </w:pPr>
    <w:rPr>
      <w:rFonts w:eastAsiaTheme="minorHAnsi" w:cstheme="minorBidi"/>
      <w:color w:val="auto"/>
      <w:lang w:val="en-NZ" w:eastAsia="en-US"/>
    </w:rPr>
  </w:style>
  <w:style w:type="paragraph" w:customStyle="1" w:styleId="Pa0">
    <w:name w:val="Pa0"/>
    <w:basedOn w:val="Default"/>
    <w:next w:val="Default"/>
    <w:uiPriority w:val="99"/>
    <w:rsid w:val="00BA1E4F"/>
    <w:pPr>
      <w:spacing w:line="241" w:lineRule="atLeast"/>
    </w:pPr>
    <w:rPr>
      <w:rFonts w:eastAsiaTheme="minorHAnsi" w:cstheme="minorBidi"/>
      <w:color w:val="auto"/>
      <w:lang w:val="en-NZ" w:eastAsia="en-US"/>
    </w:rPr>
  </w:style>
  <w:style w:type="paragraph" w:customStyle="1" w:styleId="Pa3">
    <w:name w:val="Pa3"/>
    <w:basedOn w:val="Default"/>
    <w:next w:val="Default"/>
    <w:uiPriority w:val="99"/>
    <w:rsid w:val="00BA1E4F"/>
    <w:pPr>
      <w:spacing w:line="241" w:lineRule="atLeast"/>
    </w:pPr>
    <w:rPr>
      <w:rFonts w:eastAsiaTheme="minorHAnsi" w:cstheme="minorBidi"/>
      <w:color w:val="auto"/>
      <w:lang w:val="en-NZ" w:eastAsia="en-US"/>
    </w:rPr>
  </w:style>
  <w:style w:type="character" w:customStyle="1" w:styleId="A0">
    <w:name w:val="A0"/>
    <w:uiPriority w:val="99"/>
    <w:rsid w:val="00BA1E4F"/>
    <w:rPr>
      <w:rFonts w:cs="Myriad Pro"/>
      <w:color w:val="000000"/>
      <w:sz w:val="20"/>
      <w:szCs w:val="20"/>
    </w:rPr>
  </w:style>
  <w:style w:type="table" w:customStyle="1" w:styleId="ColorfulGrid5">
    <w:name w:val="Colorful Grid5"/>
    <w:basedOn w:val="TableNormal"/>
    <w:uiPriority w:val="73"/>
    <w:rsid w:val="00C118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5">
    <w:name w:val="Colorful List5"/>
    <w:basedOn w:val="TableNormal"/>
    <w:uiPriority w:val="72"/>
    <w:rsid w:val="00C118B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5">
    <w:name w:val="Colorful Shading5"/>
    <w:basedOn w:val="TableNormal"/>
    <w:uiPriority w:val="71"/>
    <w:rsid w:val="00C118B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5">
    <w:name w:val="Dark List5"/>
    <w:basedOn w:val="TableNormal"/>
    <w:uiPriority w:val="70"/>
    <w:rsid w:val="00C118B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5">
    <w:name w:val="Light Grid5"/>
    <w:basedOn w:val="TableNormal"/>
    <w:uiPriority w:val="62"/>
    <w:rsid w:val="00C118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5">
    <w:name w:val="Light Grid - Accent 15"/>
    <w:basedOn w:val="TableNormal"/>
    <w:uiPriority w:val="62"/>
    <w:rsid w:val="00C118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5">
    <w:name w:val="Light List5"/>
    <w:basedOn w:val="TableNormal"/>
    <w:uiPriority w:val="61"/>
    <w:rsid w:val="00C118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5">
    <w:name w:val="Light List - Accent 15"/>
    <w:basedOn w:val="TableNormal"/>
    <w:uiPriority w:val="61"/>
    <w:rsid w:val="00C118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5">
    <w:name w:val="Light Shading5"/>
    <w:basedOn w:val="TableNormal"/>
    <w:uiPriority w:val="60"/>
    <w:rsid w:val="00C118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5">
    <w:name w:val="Light Shading - Accent 15"/>
    <w:basedOn w:val="TableNormal"/>
    <w:uiPriority w:val="60"/>
    <w:rsid w:val="00C118B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5">
    <w:name w:val="Medium Grid 15"/>
    <w:basedOn w:val="TableNormal"/>
    <w:uiPriority w:val="67"/>
    <w:rsid w:val="00C118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5">
    <w:name w:val="Medium Grid 25"/>
    <w:basedOn w:val="TableNormal"/>
    <w:uiPriority w:val="68"/>
    <w:rsid w:val="00C118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5">
    <w:name w:val="Medium Grid 35"/>
    <w:basedOn w:val="TableNormal"/>
    <w:uiPriority w:val="69"/>
    <w:rsid w:val="00C118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5">
    <w:name w:val="Medium List 15"/>
    <w:basedOn w:val="TableNormal"/>
    <w:uiPriority w:val="65"/>
    <w:rsid w:val="00C118B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5">
    <w:name w:val="Medium List 1 - Accent 15"/>
    <w:basedOn w:val="TableNormal"/>
    <w:uiPriority w:val="65"/>
    <w:rsid w:val="00C118B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5">
    <w:name w:val="Medium List 25"/>
    <w:basedOn w:val="TableNormal"/>
    <w:uiPriority w:val="66"/>
    <w:rsid w:val="00C118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5">
    <w:name w:val="Medium Shading 15"/>
    <w:basedOn w:val="TableNormal"/>
    <w:uiPriority w:val="63"/>
    <w:rsid w:val="00C118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5">
    <w:name w:val="Medium Shading 1 - Accent 15"/>
    <w:basedOn w:val="TableNormal"/>
    <w:uiPriority w:val="63"/>
    <w:rsid w:val="00C118B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5">
    <w:name w:val="Medium Shading 25"/>
    <w:basedOn w:val="TableNormal"/>
    <w:uiPriority w:val="64"/>
    <w:rsid w:val="00C118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uiPriority w:val="64"/>
    <w:rsid w:val="00C118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40">
    <w:name w:val="Colorful Grid4_0"/>
    <w:basedOn w:val="TableNormal"/>
    <w:uiPriority w:val="73"/>
    <w:rsid w:val="003778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40">
    <w:name w:val="Colorful List4_0"/>
    <w:basedOn w:val="TableNormal"/>
    <w:uiPriority w:val="72"/>
    <w:rsid w:val="003778D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40">
    <w:name w:val="Colorful Shading4_0"/>
    <w:basedOn w:val="TableNormal"/>
    <w:uiPriority w:val="71"/>
    <w:rsid w:val="003778D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40">
    <w:name w:val="Dark List4_0"/>
    <w:basedOn w:val="TableNormal"/>
    <w:uiPriority w:val="70"/>
    <w:rsid w:val="003778D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40">
    <w:name w:val="Light Grid4_0"/>
    <w:basedOn w:val="TableNormal"/>
    <w:uiPriority w:val="62"/>
    <w:rsid w:val="003778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40">
    <w:name w:val="Light Grid - Accent 14_0"/>
    <w:basedOn w:val="TableNormal"/>
    <w:uiPriority w:val="62"/>
    <w:rsid w:val="003778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40">
    <w:name w:val="Light List4_0"/>
    <w:basedOn w:val="TableNormal"/>
    <w:uiPriority w:val="61"/>
    <w:rsid w:val="003778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40">
    <w:name w:val="Light List - Accent 14_0"/>
    <w:basedOn w:val="TableNormal"/>
    <w:uiPriority w:val="61"/>
    <w:rsid w:val="003778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40">
    <w:name w:val="Light Shading4_0"/>
    <w:basedOn w:val="TableNormal"/>
    <w:uiPriority w:val="60"/>
    <w:rsid w:val="003778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40">
    <w:name w:val="Light Shading - Accent 14_0"/>
    <w:basedOn w:val="TableNormal"/>
    <w:uiPriority w:val="60"/>
    <w:rsid w:val="003778D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40">
    <w:name w:val="Medium Grid 14_0"/>
    <w:basedOn w:val="TableNormal"/>
    <w:uiPriority w:val="67"/>
    <w:rsid w:val="003778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40">
    <w:name w:val="Medium Grid 24_0"/>
    <w:basedOn w:val="TableNormal"/>
    <w:uiPriority w:val="68"/>
    <w:rsid w:val="003778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40">
    <w:name w:val="Medium Grid 34_0"/>
    <w:basedOn w:val="TableNormal"/>
    <w:uiPriority w:val="69"/>
    <w:rsid w:val="003778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40">
    <w:name w:val="Medium List 14_0"/>
    <w:basedOn w:val="TableNormal"/>
    <w:uiPriority w:val="65"/>
    <w:rsid w:val="003778D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40">
    <w:name w:val="Medium List 1 - Accent 14_0"/>
    <w:basedOn w:val="TableNormal"/>
    <w:uiPriority w:val="65"/>
    <w:rsid w:val="003778D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40">
    <w:name w:val="Medium List 24_0"/>
    <w:basedOn w:val="TableNormal"/>
    <w:uiPriority w:val="66"/>
    <w:rsid w:val="003778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40">
    <w:name w:val="Medium Shading 14_0"/>
    <w:basedOn w:val="TableNormal"/>
    <w:uiPriority w:val="63"/>
    <w:rsid w:val="003778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40">
    <w:name w:val="Medium Shading 1 - Accent 14_0"/>
    <w:basedOn w:val="TableNormal"/>
    <w:uiPriority w:val="63"/>
    <w:rsid w:val="003778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40">
    <w:name w:val="Medium Shading 24_0"/>
    <w:basedOn w:val="TableNormal"/>
    <w:uiPriority w:val="64"/>
    <w:rsid w:val="003778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40">
    <w:name w:val="Medium Shading 2 - Accent 14_0"/>
    <w:basedOn w:val="TableNormal"/>
    <w:uiPriority w:val="64"/>
    <w:rsid w:val="003778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6">
    <w:name w:val="Colorful Grid6"/>
    <w:basedOn w:val="TableNormal"/>
    <w:uiPriority w:val="73"/>
    <w:rsid w:val="00BF442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6">
    <w:name w:val="Colorful List6"/>
    <w:basedOn w:val="TableNormal"/>
    <w:uiPriority w:val="72"/>
    <w:rsid w:val="00BF442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6">
    <w:name w:val="Colorful Shading6"/>
    <w:basedOn w:val="TableNormal"/>
    <w:uiPriority w:val="71"/>
    <w:rsid w:val="00BF442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6">
    <w:name w:val="Dark List6"/>
    <w:basedOn w:val="TableNormal"/>
    <w:uiPriority w:val="70"/>
    <w:rsid w:val="00BF442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6">
    <w:name w:val="Light Grid6"/>
    <w:basedOn w:val="TableNormal"/>
    <w:uiPriority w:val="62"/>
    <w:rsid w:val="00BF44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6">
    <w:name w:val="Light Grid - Accent 16"/>
    <w:basedOn w:val="TableNormal"/>
    <w:uiPriority w:val="62"/>
    <w:rsid w:val="00BF44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6">
    <w:name w:val="Light List6"/>
    <w:basedOn w:val="TableNormal"/>
    <w:uiPriority w:val="61"/>
    <w:rsid w:val="00BF44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6">
    <w:name w:val="Light List - Accent 16"/>
    <w:basedOn w:val="TableNormal"/>
    <w:uiPriority w:val="61"/>
    <w:rsid w:val="00BF44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6">
    <w:name w:val="Light Shading6"/>
    <w:basedOn w:val="TableNormal"/>
    <w:uiPriority w:val="60"/>
    <w:rsid w:val="00BF44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6">
    <w:name w:val="Light Shading - Accent 16"/>
    <w:basedOn w:val="TableNormal"/>
    <w:uiPriority w:val="60"/>
    <w:rsid w:val="00BF44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6">
    <w:name w:val="Medium Grid 16"/>
    <w:basedOn w:val="TableNormal"/>
    <w:uiPriority w:val="67"/>
    <w:rsid w:val="00BF442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6">
    <w:name w:val="Medium Grid 26"/>
    <w:basedOn w:val="TableNormal"/>
    <w:uiPriority w:val="68"/>
    <w:rsid w:val="00BF44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6">
    <w:name w:val="Medium Grid 36"/>
    <w:basedOn w:val="TableNormal"/>
    <w:uiPriority w:val="69"/>
    <w:rsid w:val="00BF44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6">
    <w:name w:val="Medium List 16"/>
    <w:basedOn w:val="TableNormal"/>
    <w:uiPriority w:val="65"/>
    <w:rsid w:val="00BF442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6">
    <w:name w:val="Medium List 1 - Accent 16"/>
    <w:basedOn w:val="TableNormal"/>
    <w:uiPriority w:val="65"/>
    <w:rsid w:val="00BF44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6">
    <w:name w:val="Medium List 26"/>
    <w:basedOn w:val="TableNormal"/>
    <w:uiPriority w:val="66"/>
    <w:rsid w:val="00BF44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6">
    <w:name w:val="Medium Shading 16"/>
    <w:basedOn w:val="TableNormal"/>
    <w:uiPriority w:val="63"/>
    <w:rsid w:val="00BF442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6">
    <w:name w:val="Medium Shading 1 - Accent 16"/>
    <w:basedOn w:val="TableNormal"/>
    <w:uiPriority w:val="63"/>
    <w:rsid w:val="00BF442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6">
    <w:name w:val="Medium Shading 26"/>
    <w:basedOn w:val="TableNormal"/>
    <w:uiPriority w:val="64"/>
    <w:rsid w:val="00BF44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uiPriority w:val="64"/>
    <w:rsid w:val="00BF44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7">
    <w:name w:val="Colorful Grid7"/>
    <w:basedOn w:val="TableNormal"/>
    <w:uiPriority w:val="73"/>
    <w:rsid w:val="00F95E5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7">
    <w:name w:val="Colorful List7"/>
    <w:basedOn w:val="TableNormal"/>
    <w:uiPriority w:val="72"/>
    <w:rsid w:val="00F95E5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7">
    <w:name w:val="Colorful Shading7"/>
    <w:basedOn w:val="TableNormal"/>
    <w:uiPriority w:val="71"/>
    <w:rsid w:val="00F95E55"/>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7">
    <w:name w:val="Dark List7"/>
    <w:basedOn w:val="TableNormal"/>
    <w:uiPriority w:val="70"/>
    <w:rsid w:val="00F95E5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7">
    <w:name w:val="Light Grid7"/>
    <w:basedOn w:val="TableNormal"/>
    <w:uiPriority w:val="62"/>
    <w:rsid w:val="00F95E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7">
    <w:name w:val="Light Grid - Accent 17"/>
    <w:basedOn w:val="TableNormal"/>
    <w:uiPriority w:val="62"/>
    <w:rsid w:val="00F95E5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7">
    <w:name w:val="Light List7"/>
    <w:basedOn w:val="TableNormal"/>
    <w:uiPriority w:val="61"/>
    <w:rsid w:val="00F95E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7">
    <w:name w:val="Light List - Accent 17"/>
    <w:basedOn w:val="TableNormal"/>
    <w:uiPriority w:val="61"/>
    <w:rsid w:val="00F95E5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7">
    <w:name w:val="Light Shading7"/>
    <w:basedOn w:val="TableNormal"/>
    <w:uiPriority w:val="60"/>
    <w:rsid w:val="00F95E5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7">
    <w:name w:val="Light Shading - Accent 17"/>
    <w:basedOn w:val="TableNormal"/>
    <w:uiPriority w:val="60"/>
    <w:rsid w:val="00F95E5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7">
    <w:name w:val="Medium Grid 17"/>
    <w:basedOn w:val="TableNormal"/>
    <w:uiPriority w:val="67"/>
    <w:rsid w:val="00F95E5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7">
    <w:name w:val="Medium Grid 27"/>
    <w:basedOn w:val="TableNormal"/>
    <w:uiPriority w:val="68"/>
    <w:rsid w:val="00F95E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7">
    <w:name w:val="Medium Grid 37"/>
    <w:basedOn w:val="TableNormal"/>
    <w:uiPriority w:val="69"/>
    <w:rsid w:val="00F95E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7">
    <w:name w:val="Medium List 17"/>
    <w:basedOn w:val="TableNormal"/>
    <w:uiPriority w:val="65"/>
    <w:rsid w:val="00F95E5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7">
    <w:name w:val="Medium List 1 - Accent 17"/>
    <w:basedOn w:val="TableNormal"/>
    <w:uiPriority w:val="65"/>
    <w:rsid w:val="00F95E5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7">
    <w:name w:val="Medium List 27"/>
    <w:basedOn w:val="TableNormal"/>
    <w:uiPriority w:val="66"/>
    <w:rsid w:val="00F95E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7">
    <w:name w:val="Medium Shading 17"/>
    <w:basedOn w:val="TableNormal"/>
    <w:uiPriority w:val="63"/>
    <w:rsid w:val="00F95E5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7">
    <w:name w:val="Medium Shading 1 - Accent 17"/>
    <w:basedOn w:val="TableNormal"/>
    <w:uiPriority w:val="63"/>
    <w:rsid w:val="00F95E5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7">
    <w:name w:val="Medium Shading 27"/>
    <w:basedOn w:val="TableNormal"/>
    <w:uiPriority w:val="64"/>
    <w:rsid w:val="00F95E5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7">
    <w:name w:val="Medium Shading 2 - Accent 17"/>
    <w:basedOn w:val="TableNormal"/>
    <w:uiPriority w:val="64"/>
    <w:rsid w:val="00F95E5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EmphasisItalics">
    <w:name w:val="Emphasis Italics"/>
    <w:basedOn w:val="DefaultParagraphFont"/>
    <w:uiPriority w:val="2"/>
    <w:rsid w:val="000E1055"/>
    <w:rPr>
      <w:b/>
      <w:i/>
    </w:rPr>
  </w:style>
  <w:style w:type="table" w:customStyle="1" w:styleId="TableGridAnnualReport1">
    <w:name w:val="Table Grid (Annual Report)1"/>
    <w:basedOn w:val="TableNormal"/>
    <w:uiPriority w:val="99"/>
    <w:rsid w:val="00C61C87"/>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2">
    <w:name w:val="Table Grid (Annual Report)2"/>
    <w:basedOn w:val="TableNormal"/>
    <w:uiPriority w:val="99"/>
    <w:rsid w:val="00A4209E"/>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3">
    <w:name w:val="Table Grid (Annual Report)3"/>
    <w:basedOn w:val="TableNormal"/>
    <w:uiPriority w:val="99"/>
    <w:rsid w:val="007533AA"/>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4">
    <w:name w:val="Table Grid (Annual Report)4"/>
    <w:basedOn w:val="TableNormal"/>
    <w:uiPriority w:val="99"/>
    <w:rsid w:val="00CA3642"/>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5">
    <w:name w:val="Table Grid (Annual Report)5"/>
    <w:basedOn w:val="TableNormal"/>
    <w:uiPriority w:val="99"/>
    <w:rsid w:val="004B421B"/>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6">
    <w:name w:val="Table Grid (Annual Report)6"/>
    <w:basedOn w:val="TableNormal"/>
    <w:uiPriority w:val="99"/>
    <w:rsid w:val="0058712A"/>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7">
    <w:name w:val="Table Grid (Annual Report)7"/>
    <w:basedOn w:val="TableNormal"/>
    <w:uiPriority w:val="99"/>
    <w:rsid w:val="0098572E"/>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8">
    <w:name w:val="Table Grid (Annual Report)8"/>
    <w:basedOn w:val="TableNormal"/>
    <w:uiPriority w:val="99"/>
    <w:rsid w:val="007F5E57"/>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9">
    <w:name w:val="Table Grid (Annual Report)9"/>
    <w:basedOn w:val="TableNormal"/>
    <w:uiPriority w:val="99"/>
    <w:rsid w:val="009C4FBB"/>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10">
    <w:name w:val="Table Grid (Annual Report)10"/>
    <w:basedOn w:val="TableNormal"/>
    <w:uiPriority w:val="99"/>
    <w:rsid w:val="001360E8"/>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11">
    <w:name w:val="Table Grid (Annual Report)11"/>
    <w:basedOn w:val="TableNormal"/>
    <w:uiPriority w:val="99"/>
    <w:rsid w:val="00E92FE3"/>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12">
    <w:name w:val="Table Grid (Annual Report)12"/>
    <w:basedOn w:val="TableNormal"/>
    <w:uiPriority w:val="99"/>
    <w:rsid w:val="00E92FE3"/>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13">
    <w:name w:val="Table Grid (Annual Report)13"/>
    <w:basedOn w:val="TableNormal"/>
    <w:uiPriority w:val="99"/>
    <w:rsid w:val="00E3221E"/>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14">
    <w:name w:val="Table Grid (Annual Report)14"/>
    <w:basedOn w:val="TableNormal"/>
    <w:uiPriority w:val="99"/>
    <w:rsid w:val="00661591"/>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15">
    <w:name w:val="Table Grid (Annual Report)15"/>
    <w:basedOn w:val="TableNormal"/>
    <w:uiPriority w:val="99"/>
    <w:rsid w:val="007717B5"/>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16">
    <w:name w:val="Table Grid (Annual Report)16"/>
    <w:basedOn w:val="TableNormal"/>
    <w:uiPriority w:val="99"/>
    <w:rsid w:val="007717B5"/>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17">
    <w:name w:val="Table Grid (Annual Report)17"/>
    <w:basedOn w:val="TableNormal"/>
    <w:uiPriority w:val="99"/>
    <w:rsid w:val="00A81238"/>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18">
    <w:name w:val="Table Grid (Annual Report)18"/>
    <w:basedOn w:val="TableNormal"/>
    <w:uiPriority w:val="99"/>
    <w:rsid w:val="00A81238"/>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19">
    <w:name w:val="Table Grid (Annual Report)19"/>
    <w:basedOn w:val="TableNormal"/>
    <w:uiPriority w:val="99"/>
    <w:rsid w:val="00A81238"/>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20">
    <w:name w:val="Table Grid (Annual Report)20"/>
    <w:basedOn w:val="TableNormal"/>
    <w:uiPriority w:val="99"/>
    <w:rsid w:val="00A81238"/>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21">
    <w:name w:val="Table Grid (Annual Report)21"/>
    <w:basedOn w:val="TableNormal"/>
    <w:uiPriority w:val="99"/>
    <w:rsid w:val="004A6C04"/>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22">
    <w:name w:val="Table Grid (Annual Report)22"/>
    <w:basedOn w:val="TableNormal"/>
    <w:uiPriority w:val="99"/>
    <w:rsid w:val="004A6C04"/>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GridAnnualReport23">
    <w:name w:val="Table Grid (Annual Report)23"/>
    <w:basedOn w:val="TableNormal"/>
    <w:uiPriority w:val="99"/>
    <w:rsid w:val="00DE4E15"/>
    <w:pPr>
      <w:spacing w:after="0" w:line="240" w:lineRule="auto"/>
    </w:pPr>
    <w:tblPr>
      <w:tblStyleRowBandSize w:val="1"/>
      <w:tblStyleColBandSize w:val="1"/>
      <w:tblInd w:w="113" w:type="dxa"/>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styleId="ColorfulGrid">
    <w:name w:val="Colorful Grid"/>
    <w:basedOn w:val="TableNormal"/>
    <w:uiPriority w:val="73"/>
    <w:semiHidden/>
    <w:unhideWhenUsed/>
    <w:rsid w:val="0041660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41660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41660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1660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idTable1Light">
    <w:name w:val="Grid Table 1 Light"/>
    <w:basedOn w:val="TableNormal"/>
    <w:uiPriority w:val="46"/>
    <w:rsid w:val="0041660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1660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1660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1660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1660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1660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1660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1660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1660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1660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1660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1660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1660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1660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1660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1660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1660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1660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1660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1660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1660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1660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1660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1660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1660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1660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1660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1660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166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166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166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166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166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166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166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1660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1660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1660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1660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1660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1660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1660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1660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1660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1660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1660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1660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1660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1660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ghtGrid">
    <w:name w:val="Light Grid"/>
    <w:basedOn w:val="TableNormal"/>
    <w:uiPriority w:val="62"/>
    <w:semiHidden/>
    <w:unhideWhenUsed/>
    <w:rsid w:val="004166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166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semiHidden/>
    <w:unhideWhenUsed/>
    <w:rsid w:val="004166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166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semiHidden/>
    <w:unhideWhenUsed/>
    <w:rsid w:val="004166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166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Table1Light">
    <w:name w:val="List Table 1 Light"/>
    <w:basedOn w:val="TableNormal"/>
    <w:uiPriority w:val="46"/>
    <w:rsid w:val="0041660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1660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1660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1660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1660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1660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1660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1660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1660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1660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1660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1660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1660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1660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1660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1660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1660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1660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1660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1660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1660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1660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1660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1660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1660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1660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1660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1660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1660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1660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1660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1660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1660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1660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1660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1660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1660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1660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1660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1660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1660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1660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1660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1660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1660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1660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1660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1660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1660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1660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4166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166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semiHidden/>
    <w:unhideWhenUsed/>
    <w:rsid w:val="0041660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1660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semiHidden/>
    <w:unhideWhenUsed/>
    <w:rsid w:val="004166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1660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166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1660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1660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uiPriority w:val="41"/>
    <w:rsid w:val="004166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166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1660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166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166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4166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teHeading2">
    <w:name w:val="Note Heading2"/>
    <w:basedOn w:val="Normal"/>
    <w:next w:val="Normal"/>
    <w:link w:val="NoteHeadingChar1"/>
    <w:uiPriority w:val="99"/>
    <w:rsid w:val="00D6045E"/>
    <w:pPr>
      <w:spacing w:after="0" w:line="240" w:lineRule="auto"/>
    </w:pPr>
  </w:style>
  <w:style w:type="character" w:customStyle="1" w:styleId="NoteHeadingChar1">
    <w:name w:val="Note Heading Char1"/>
    <w:basedOn w:val="DefaultParagraphFont"/>
    <w:link w:val="NoteHeading2"/>
    <w:uiPriority w:val="99"/>
    <w:rsid w:val="00D6045E"/>
    <w:rPr>
      <w:rFonts w:ascii="Calibri" w:hAnsi="Calibri"/>
      <w:color w:val="1E1E1E"/>
      <w:sz w:val="24"/>
    </w:rPr>
  </w:style>
  <w:style w:type="table" w:customStyle="1" w:styleId="PlainTable12">
    <w:name w:val="Plain Table 12"/>
    <w:basedOn w:val="TableNormal"/>
    <w:uiPriority w:val="99"/>
    <w:rsid w:val="00D604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99"/>
    <w:rsid w:val="00D604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99"/>
    <w:rsid w:val="00D6045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99"/>
    <w:rsid w:val="00D604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99"/>
    <w:rsid w:val="00D6045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99"/>
    <w:rsid w:val="00D604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teHeading">
    <w:name w:val="Note Heading"/>
    <w:basedOn w:val="Normal"/>
    <w:next w:val="Normal"/>
    <w:link w:val="NoteHeadingChar2"/>
    <w:uiPriority w:val="99"/>
    <w:rsid w:val="0053785E"/>
    <w:pPr>
      <w:spacing w:after="0" w:line="240" w:lineRule="auto"/>
    </w:pPr>
  </w:style>
  <w:style w:type="character" w:customStyle="1" w:styleId="NoteHeadingChar2">
    <w:name w:val="Note Heading Char2"/>
    <w:basedOn w:val="DefaultParagraphFont"/>
    <w:link w:val="NoteHeading"/>
    <w:uiPriority w:val="99"/>
    <w:rsid w:val="0053785E"/>
    <w:rPr>
      <w:rFonts w:ascii="Calibri" w:hAnsi="Calibri"/>
      <w:color w:val="1E1E1E"/>
      <w:sz w:val="24"/>
    </w:rPr>
  </w:style>
  <w:style w:type="table" w:styleId="PlainTable1">
    <w:name w:val="Plain Table 1"/>
    <w:basedOn w:val="TableNormal"/>
    <w:uiPriority w:val="99"/>
    <w:rsid w:val="005378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5378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53785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5378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53785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99"/>
    <w:rsid w:val="005378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e24kjd">
    <w:name w:val="e24kjd"/>
    <w:basedOn w:val="DefaultParagraphFont"/>
    <w:rsid w:val="00F97B6A"/>
  </w:style>
  <w:style w:type="character" w:customStyle="1" w:styleId="A2">
    <w:name w:val="A2"/>
    <w:uiPriority w:val="99"/>
    <w:rsid w:val="009C4267"/>
    <w:rPr>
      <w:rFonts w:cs="Myriad Pro"/>
      <w:color w:val="000000"/>
      <w:sz w:val="18"/>
      <w:szCs w:val="18"/>
    </w:rPr>
  </w:style>
  <w:style w:type="paragraph" w:customStyle="1" w:styleId="Body">
    <w:name w:val="Body"/>
    <w:basedOn w:val="BodyText"/>
    <w:rsid w:val="00933865"/>
    <w:pPr>
      <w:spacing w:after="160" w:line="300" w:lineRule="atLeast"/>
    </w:pPr>
    <w:rPr>
      <w:rFonts w:asciiTheme="minorHAnsi" w:hAnsiTheme="minorHAnsi" w:cstheme="minorHAnsi"/>
      <w:szCs w:val="24"/>
      <w:lang w:val="en"/>
    </w:rPr>
  </w:style>
  <w:style w:type="character" w:customStyle="1" w:styleId="st1">
    <w:name w:val="st1"/>
    <w:basedOn w:val="DefaultParagraphFont"/>
    <w:rsid w:val="00394A95"/>
  </w:style>
  <w:style w:type="paragraph" w:customStyle="1" w:styleId="smallbox">
    <w:name w:val="small box"/>
    <w:basedOn w:val="TableBullet1"/>
    <w:rsid w:val="00237EF1"/>
  </w:style>
  <w:style w:type="paragraph" w:customStyle="1" w:styleId="ANZNumberedListIndented">
    <w:name w:val="ANZ Numbered List Indented"/>
    <w:basedOn w:val="Normal"/>
    <w:qFormat/>
    <w:rsid w:val="007565BF"/>
    <w:pPr>
      <w:numPr>
        <w:numId w:val="49"/>
      </w:numPr>
      <w:spacing w:after="240" w:line="300" w:lineRule="atLeast"/>
    </w:pPr>
    <w:rPr>
      <w:rFonts w:eastAsia="Times New Roman" w:cs="Times New Roman"/>
      <w:color w:val="auto"/>
      <w:sz w:val="22"/>
      <w:lang w:eastAsia="en-GB"/>
    </w:rPr>
  </w:style>
  <w:style w:type="table" w:customStyle="1" w:styleId="TableGrid20">
    <w:name w:val="Table Grid2"/>
    <w:basedOn w:val="TableNormal"/>
    <w:next w:val="TableGrid"/>
    <w:uiPriority w:val="59"/>
    <w:rsid w:val="0044204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407">
      <w:bodyDiv w:val="1"/>
      <w:marLeft w:val="0"/>
      <w:marRight w:val="0"/>
      <w:marTop w:val="0"/>
      <w:marBottom w:val="0"/>
      <w:divBdr>
        <w:top w:val="none" w:sz="0" w:space="0" w:color="auto"/>
        <w:left w:val="none" w:sz="0" w:space="0" w:color="auto"/>
        <w:bottom w:val="none" w:sz="0" w:space="0" w:color="auto"/>
        <w:right w:val="none" w:sz="0" w:space="0" w:color="auto"/>
      </w:divBdr>
    </w:div>
    <w:div w:id="59209746">
      <w:bodyDiv w:val="1"/>
      <w:marLeft w:val="0"/>
      <w:marRight w:val="0"/>
      <w:marTop w:val="0"/>
      <w:marBottom w:val="0"/>
      <w:divBdr>
        <w:top w:val="none" w:sz="0" w:space="0" w:color="auto"/>
        <w:left w:val="none" w:sz="0" w:space="0" w:color="auto"/>
        <w:bottom w:val="none" w:sz="0" w:space="0" w:color="auto"/>
        <w:right w:val="none" w:sz="0" w:space="0" w:color="auto"/>
      </w:divBdr>
    </w:div>
    <w:div w:id="127675297">
      <w:bodyDiv w:val="1"/>
      <w:marLeft w:val="0"/>
      <w:marRight w:val="0"/>
      <w:marTop w:val="0"/>
      <w:marBottom w:val="0"/>
      <w:divBdr>
        <w:top w:val="none" w:sz="0" w:space="0" w:color="auto"/>
        <w:left w:val="none" w:sz="0" w:space="0" w:color="auto"/>
        <w:bottom w:val="none" w:sz="0" w:space="0" w:color="auto"/>
        <w:right w:val="none" w:sz="0" w:space="0" w:color="auto"/>
      </w:divBdr>
    </w:div>
    <w:div w:id="206532188">
      <w:bodyDiv w:val="1"/>
      <w:marLeft w:val="0"/>
      <w:marRight w:val="0"/>
      <w:marTop w:val="0"/>
      <w:marBottom w:val="0"/>
      <w:divBdr>
        <w:top w:val="none" w:sz="0" w:space="0" w:color="auto"/>
        <w:left w:val="none" w:sz="0" w:space="0" w:color="auto"/>
        <w:bottom w:val="none" w:sz="0" w:space="0" w:color="auto"/>
        <w:right w:val="none" w:sz="0" w:space="0" w:color="auto"/>
      </w:divBdr>
    </w:div>
    <w:div w:id="211308134">
      <w:bodyDiv w:val="1"/>
      <w:marLeft w:val="0"/>
      <w:marRight w:val="0"/>
      <w:marTop w:val="0"/>
      <w:marBottom w:val="0"/>
      <w:divBdr>
        <w:top w:val="none" w:sz="0" w:space="0" w:color="auto"/>
        <w:left w:val="none" w:sz="0" w:space="0" w:color="auto"/>
        <w:bottom w:val="none" w:sz="0" w:space="0" w:color="auto"/>
        <w:right w:val="none" w:sz="0" w:space="0" w:color="auto"/>
      </w:divBdr>
    </w:div>
    <w:div w:id="224490036">
      <w:bodyDiv w:val="1"/>
      <w:marLeft w:val="0"/>
      <w:marRight w:val="0"/>
      <w:marTop w:val="0"/>
      <w:marBottom w:val="0"/>
      <w:divBdr>
        <w:top w:val="none" w:sz="0" w:space="0" w:color="auto"/>
        <w:left w:val="none" w:sz="0" w:space="0" w:color="auto"/>
        <w:bottom w:val="none" w:sz="0" w:space="0" w:color="auto"/>
        <w:right w:val="none" w:sz="0" w:space="0" w:color="auto"/>
      </w:divBdr>
    </w:div>
    <w:div w:id="251356519">
      <w:bodyDiv w:val="1"/>
      <w:marLeft w:val="0"/>
      <w:marRight w:val="0"/>
      <w:marTop w:val="0"/>
      <w:marBottom w:val="0"/>
      <w:divBdr>
        <w:top w:val="none" w:sz="0" w:space="0" w:color="auto"/>
        <w:left w:val="none" w:sz="0" w:space="0" w:color="auto"/>
        <w:bottom w:val="none" w:sz="0" w:space="0" w:color="auto"/>
        <w:right w:val="none" w:sz="0" w:space="0" w:color="auto"/>
      </w:divBdr>
    </w:div>
    <w:div w:id="263727440">
      <w:bodyDiv w:val="1"/>
      <w:marLeft w:val="0"/>
      <w:marRight w:val="0"/>
      <w:marTop w:val="0"/>
      <w:marBottom w:val="0"/>
      <w:divBdr>
        <w:top w:val="none" w:sz="0" w:space="0" w:color="auto"/>
        <w:left w:val="none" w:sz="0" w:space="0" w:color="auto"/>
        <w:bottom w:val="none" w:sz="0" w:space="0" w:color="auto"/>
        <w:right w:val="none" w:sz="0" w:space="0" w:color="auto"/>
      </w:divBdr>
    </w:div>
    <w:div w:id="282465818">
      <w:bodyDiv w:val="1"/>
      <w:marLeft w:val="0"/>
      <w:marRight w:val="0"/>
      <w:marTop w:val="0"/>
      <w:marBottom w:val="0"/>
      <w:divBdr>
        <w:top w:val="none" w:sz="0" w:space="0" w:color="auto"/>
        <w:left w:val="none" w:sz="0" w:space="0" w:color="auto"/>
        <w:bottom w:val="none" w:sz="0" w:space="0" w:color="auto"/>
        <w:right w:val="none" w:sz="0" w:space="0" w:color="auto"/>
      </w:divBdr>
    </w:div>
    <w:div w:id="321743233">
      <w:bodyDiv w:val="1"/>
      <w:marLeft w:val="0"/>
      <w:marRight w:val="0"/>
      <w:marTop w:val="0"/>
      <w:marBottom w:val="0"/>
      <w:divBdr>
        <w:top w:val="none" w:sz="0" w:space="0" w:color="auto"/>
        <w:left w:val="none" w:sz="0" w:space="0" w:color="auto"/>
        <w:bottom w:val="none" w:sz="0" w:space="0" w:color="auto"/>
        <w:right w:val="none" w:sz="0" w:space="0" w:color="auto"/>
      </w:divBdr>
    </w:div>
    <w:div w:id="360085868">
      <w:bodyDiv w:val="1"/>
      <w:marLeft w:val="0"/>
      <w:marRight w:val="0"/>
      <w:marTop w:val="0"/>
      <w:marBottom w:val="0"/>
      <w:divBdr>
        <w:top w:val="none" w:sz="0" w:space="0" w:color="auto"/>
        <w:left w:val="none" w:sz="0" w:space="0" w:color="auto"/>
        <w:bottom w:val="none" w:sz="0" w:space="0" w:color="auto"/>
        <w:right w:val="none" w:sz="0" w:space="0" w:color="auto"/>
      </w:divBdr>
    </w:div>
    <w:div w:id="362173596">
      <w:bodyDiv w:val="1"/>
      <w:marLeft w:val="0"/>
      <w:marRight w:val="0"/>
      <w:marTop w:val="0"/>
      <w:marBottom w:val="0"/>
      <w:divBdr>
        <w:top w:val="none" w:sz="0" w:space="0" w:color="auto"/>
        <w:left w:val="none" w:sz="0" w:space="0" w:color="auto"/>
        <w:bottom w:val="none" w:sz="0" w:space="0" w:color="auto"/>
        <w:right w:val="none" w:sz="0" w:space="0" w:color="auto"/>
      </w:divBdr>
    </w:div>
    <w:div w:id="373113881">
      <w:bodyDiv w:val="1"/>
      <w:marLeft w:val="0"/>
      <w:marRight w:val="0"/>
      <w:marTop w:val="0"/>
      <w:marBottom w:val="0"/>
      <w:divBdr>
        <w:top w:val="none" w:sz="0" w:space="0" w:color="auto"/>
        <w:left w:val="none" w:sz="0" w:space="0" w:color="auto"/>
        <w:bottom w:val="none" w:sz="0" w:space="0" w:color="auto"/>
        <w:right w:val="none" w:sz="0" w:space="0" w:color="auto"/>
      </w:divBdr>
    </w:div>
    <w:div w:id="398551555">
      <w:bodyDiv w:val="1"/>
      <w:marLeft w:val="0"/>
      <w:marRight w:val="0"/>
      <w:marTop w:val="0"/>
      <w:marBottom w:val="0"/>
      <w:divBdr>
        <w:top w:val="none" w:sz="0" w:space="0" w:color="auto"/>
        <w:left w:val="none" w:sz="0" w:space="0" w:color="auto"/>
        <w:bottom w:val="none" w:sz="0" w:space="0" w:color="auto"/>
        <w:right w:val="none" w:sz="0" w:space="0" w:color="auto"/>
      </w:divBdr>
    </w:div>
    <w:div w:id="449084943">
      <w:bodyDiv w:val="1"/>
      <w:marLeft w:val="0"/>
      <w:marRight w:val="0"/>
      <w:marTop w:val="0"/>
      <w:marBottom w:val="0"/>
      <w:divBdr>
        <w:top w:val="none" w:sz="0" w:space="0" w:color="auto"/>
        <w:left w:val="none" w:sz="0" w:space="0" w:color="auto"/>
        <w:bottom w:val="none" w:sz="0" w:space="0" w:color="auto"/>
        <w:right w:val="none" w:sz="0" w:space="0" w:color="auto"/>
      </w:divBdr>
    </w:div>
    <w:div w:id="451174539">
      <w:bodyDiv w:val="1"/>
      <w:marLeft w:val="0"/>
      <w:marRight w:val="0"/>
      <w:marTop w:val="0"/>
      <w:marBottom w:val="0"/>
      <w:divBdr>
        <w:top w:val="none" w:sz="0" w:space="0" w:color="auto"/>
        <w:left w:val="none" w:sz="0" w:space="0" w:color="auto"/>
        <w:bottom w:val="none" w:sz="0" w:space="0" w:color="auto"/>
        <w:right w:val="none" w:sz="0" w:space="0" w:color="auto"/>
      </w:divBdr>
    </w:div>
    <w:div w:id="452676566">
      <w:bodyDiv w:val="1"/>
      <w:marLeft w:val="0"/>
      <w:marRight w:val="0"/>
      <w:marTop w:val="0"/>
      <w:marBottom w:val="0"/>
      <w:divBdr>
        <w:top w:val="none" w:sz="0" w:space="0" w:color="auto"/>
        <w:left w:val="none" w:sz="0" w:space="0" w:color="auto"/>
        <w:bottom w:val="none" w:sz="0" w:space="0" w:color="auto"/>
        <w:right w:val="none" w:sz="0" w:space="0" w:color="auto"/>
      </w:divBdr>
    </w:div>
    <w:div w:id="471754984">
      <w:bodyDiv w:val="1"/>
      <w:marLeft w:val="0"/>
      <w:marRight w:val="0"/>
      <w:marTop w:val="0"/>
      <w:marBottom w:val="0"/>
      <w:divBdr>
        <w:top w:val="none" w:sz="0" w:space="0" w:color="auto"/>
        <w:left w:val="none" w:sz="0" w:space="0" w:color="auto"/>
        <w:bottom w:val="none" w:sz="0" w:space="0" w:color="auto"/>
        <w:right w:val="none" w:sz="0" w:space="0" w:color="auto"/>
      </w:divBdr>
    </w:div>
    <w:div w:id="530923905">
      <w:bodyDiv w:val="1"/>
      <w:marLeft w:val="0"/>
      <w:marRight w:val="0"/>
      <w:marTop w:val="0"/>
      <w:marBottom w:val="0"/>
      <w:divBdr>
        <w:top w:val="none" w:sz="0" w:space="0" w:color="auto"/>
        <w:left w:val="none" w:sz="0" w:space="0" w:color="auto"/>
        <w:bottom w:val="none" w:sz="0" w:space="0" w:color="auto"/>
        <w:right w:val="none" w:sz="0" w:space="0" w:color="auto"/>
      </w:divBdr>
    </w:div>
    <w:div w:id="686057624">
      <w:bodyDiv w:val="1"/>
      <w:marLeft w:val="0"/>
      <w:marRight w:val="0"/>
      <w:marTop w:val="0"/>
      <w:marBottom w:val="0"/>
      <w:divBdr>
        <w:top w:val="none" w:sz="0" w:space="0" w:color="auto"/>
        <w:left w:val="none" w:sz="0" w:space="0" w:color="auto"/>
        <w:bottom w:val="none" w:sz="0" w:space="0" w:color="auto"/>
        <w:right w:val="none" w:sz="0" w:space="0" w:color="auto"/>
      </w:divBdr>
    </w:div>
    <w:div w:id="690110888">
      <w:bodyDiv w:val="1"/>
      <w:marLeft w:val="0"/>
      <w:marRight w:val="0"/>
      <w:marTop w:val="0"/>
      <w:marBottom w:val="0"/>
      <w:divBdr>
        <w:top w:val="none" w:sz="0" w:space="0" w:color="auto"/>
        <w:left w:val="none" w:sz="0" w:space="0" w:color="auto"/>
        <w:bottom w:val="none" w:sz="0" w:space="0" w:color="auto"/>
        <w:right w:val="none" w:sz="0" w:space="0" w:color="auto"/>
      </w:divBdr>
    </w:div>
    <w:div w:id="735202543">
      <w:bodyDiv w:val="1"/>
      <w:marLeft w:val="0"/>
      <w:marRight w:val="0"/>
      <w:marTop w:val="0"/>
      <w:marBottom w:val="0"/>
      <w:divBdr>
        <w:top w:val="none" w:sz="0" w:space="0" w:color="auto"/>
        <w:left w:val="none" w:sz="0" w:space="0" w:color="auto"/>
        <w:bottom w:val="none" w:sz="0" w:space="0" w:color="auto"/>
        <w:right w:val="none" w:sz="0" w:space="0" w:color="auto"/>
      </w:divBdr>
    </w:div>
    <w:div w:id="758911822">
      <w:bodyDiv w:val="1"/>
      <w:marLeft w:val="0"/>
      <w:marRight w:val="0"/>
      <w:marTop w:val="0"/>
      <w:marBottom w:val="0"/>
      <w:divBdr>
        <w:top w:val="none" w:sz="0" w:space="0" w:color="auto"/>
        <w:left w:val="none" w:sz="0" w:space="0" w:color="auto"/>
        <w:bottom w:val="none" w:sz="0" w:space="0" w:color="auto"/>
        <w:right w:val="none" w:sz="0" w:space="0" w:color="auto"/>
      </w:divBdr>
    </w:div>
    <w:div w:id="805439271">
      <w:bodyDiv w:val="1"/>
      <w:marLeft w:val="0"/>
      <w:marRight w:val="0"/>
      <w:marTop w:val="0"/>
      <w:marBottom w:val="0"/>
      <w:divBdr>
        <w:top w:val="none" w:sz="0" w:space="0" w:color="auto"/>
        <w:left w:val="none" w:sz="0" w:space="0" w:color="auto"/>
        <w:bottom w:val="none" w:sz="0" w:space="0" w:color="auto"/>
        <w:right w:val="none" w:sz="0" w:space="0" w:color="auto"/>
      </w:divBdr>
    </w:div>
    <w:div w:id="825973115">
      <w:bodyDiv w:val="1"/>
      <w:marLeft w:val="0"/>
      <w:marRight w:val="0"/>
      <w:marTop w:val="0"/>
      <w:marBottom w:val="0"/>
      <w:divBdr>
        <w:top w:val="none" w:sz="0" w:space="0" w:color="auto"/>
        <w:left w:val="none" w:sz="0" w:space="0" w:color="auto"/>
        <w:bottom w:val="none" w:sz="0" w:space="0" w:color="auto"/>
        <w:right w:val="none" w:sz="0" w:space="0" w:color="auto"/>
      </w:divBdr>
    </w:div>
    <w:div w:id="847453216">
      <w:bodyDiv w:val="1"/>
      <w:marLeft w:val="0"/>
      <w:marRight w:val="0"/>
      <w:marTop w:val="0"/>
      <w:marBottom w:val="0"/>
      <w:divBdr>
        <w:top w:val="none" w:sz="0" w:space="0" w:color="auto"/>
        <w:left w:val="none" w:sz="0" w:space="0" w:color="auto"/>
        <w:bottom w:val="none" w:sz="0" w:space="0" w:color="auto"/>
        <w:right w:val="none" w:sz="0" w:space="0" w:color="auto"/>
      </w:divBdr>
    </w:div>
    <w:div w:id="899680782">
      <w:bodyDiv w:val="1"/>
      <w:marLeft w:val="0"/>
      <w:marRight w:val="0"/>
      <w:marTop w:val="0"/>
      <w:marBottom w:val="0"/>
      <w:divBdr>
        <w:top w:val="none" w:sz="0" w:space="0" w:color="auto"/>
        <w:left w:val="none" w:sz="0" w:space="0" w:color="auto"/>
        <w:bottom w:val="none" w:sz="0" w:space="0" w:color="auto"/>
        <w:right w:val="none" w:sz="0" w:space="0" w:color="auto"/>
      </w:divBdr>
    </w:div>
    <w:div w:id="917831725">
      <w:bodyDiv w:val="1"/>
      <w:marLeft w:val="0"/>
      <w:marRight w:val="0"/>
      <w:marTop w:val="0"/>
      <w:marBottom w:val="0"/>
      <w:divBdr>
        <w:top w:val="none" w:sz="0" w:space="0" w:color="auto"/>
        <w:left w:val="none" w:sz="0" w:space="0" w:color="auto"/>
        <w:bottom w:val="none" w:sz="0" w:space="0" w:color="auto"/>
        <w:right w:val="none" w:sz="0" w:space="0" w:color="auto"/>
      </w:divBdr>
    </w:div>
    <w:div w:id="940836763">
      <w:bodyDiv w:val="1"/>
      <w:marLeft w:val="0"/>
      <w:marRight w:val="0"/>
      <w:marTop w:val="0"/>
      <w:marBottom w:val="0"/>
      <w:divBdr>
        <w:top w:val="none" w:sz="0" w:space="0" w:color="auto"/>
        <w:left w:val="none" w:sz="0" w:space="0" w:color="auto"/>
        <w:bottom w:val="none" w:sz="0" w:space="0" w:color="auto"/>
        <w:right w:val="none" w:sz="0" w:space="0" w:color="auto"/>
      </w:divBdr>
      <w:divsChild>
        <w:div w:id="2136365984">
          <w:marLeft w:val="0"/>
          <w:marRight w:val="0"/>
          <w:marTop w:val="0"/>
          <w:marBottom w:val="0"/>
          <w:divBdr>
            <w:top w:val="none" w:sz="0" w:space="0" w:color="auto"/>
            <w:left w:val="none" w:sz="0" w:space="0" w:color="auto"/>
            <w:bottom w:val="none" w:sz="0" w:space="0" w:color="auto"/>
            <w:right w:val="none" w:sz="0" w:space="0" w:color="auto"/>
          </w:divBdr>
          <w:divsChild>
            <w:div w:id="345447266">
              <w:marLeft w:val="0"/>
              <w:marRight w:val="0"/>
              <w:marTop w:val="0"/>
              <w:marBottom w:val="0"/>
              <w:divBdr>
                <w:top w:val="none" w:sz="0" w:space="0" w:color="auto"/>
                <w:left w:val="none" w:sz="0" w:space="0" w:color="auto"/>
                <w:bottom w:val="none" w:sz="0" w:space="0" w:color="auto"/>
                <w:right w:val="none" w:sz="0" w:space="0" w:color="auto"/>
              </w:divBdr>
              <w:divsChild>
                <w:div w:id="1510484438">
                  <w:marLeft w:val="0"/>
                  <w:marRight w:val="0"/>
                  <w:marTop w:val="0"/>
                  <w:marBottom w:val="0"/>
                  <w:divBdr>
                    <w:top w:val="none" w:sz="0" w:space="0" w:color="auto"/>
                    <w:left w:val="none" w:sz="0" w:space="0" w:color="auto"/>
                    <w:bottom w:val="none" w:sz="0" w:space="0" w:color="auto"/>
                    <w:right w:val="none" w:sz="0" w:space="0" w:color="auto"/>
                  </w:divBdr>
                  <w:divsChild>
                    <w:div w:id="1992513261">
                      <w:marLeft w:val="0"/>
                      <w:marRight w:val="0"/>
                      <w:marTop w:val="0"/>
                      <w:marBottom w:val="0"/>
                      <w:divBdr>
                        <w:top w:val="none" w:sz="0" w:space="0" w:color="auto"/>
                        <w:left w:val="none" w:sz="0" w:space="0" w:color="auto"/>
                        <w:bottom w:val="none" w:sz="0" w:space="0" w:color="auto"/>
                        <w:right w:val="none" w:sz="0" w:space="0" w:color="auto"/>
                      </w:divBdr>
                      <w:divsChild>
                        <w:div w:id="1840348108">
                          <w:marLeft w:val="0"/>
                          <w:marRight w:val="0"/>
                          <w:marTop w:val="0"/>
                          <w:marBottom w:val="0"/>
                          <w:divBdr>
                            <w:top w:val="none" w:sz="0" w:space="0" w:color="auto"/>
                            <w:left w:val="none" w:sz="0" w:space="0" w:color="auto"/>
                            <w:bottom w:val="none" w:sz="0" w:space="0" w:color="auto"/>
                            <w:right w:val="none" w:sz="0" w:space="0" w:color="auto"/>
                          </w:divBdr>
                          <w:divsChild>
                            <w:div w:id="871844085">
                              <w:marLeft w:val="0"/>
                              <w:marRight w:val="0"/>
                              <w:marTop w:val="0"/>
                              <w:marBottom w:val="0"/>
                              <w:divBdr>
                                <w:top w:val="none" w:sz="0" w:space="0" w:color="auto"/>
                                <w:left w:val="none" w:sz="0" w:space="0" w:color="auto"/>
                                <w:bottom w:val="none" w:sz="0" w:space="0" w:color="auto"/>
                                <w:right w:val="none" w:sz="0" w:space="0" w:color="auto"/>
                              </w:divBdr>
                              <w:divsChild>
                                <w:div w:id="10017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602357">
      <w:bodyDiv w:val="1"/>
      <w:marLeft w:val="0"/>
      <w:marRight w:val="0"/>
      <w:marTop w:val="0"/>
      <w:marBottom w:val="0"/>
      <w:divBdr>
        <w:top w:val="none" w:sz="0" w:space="0" w:color="auto"/>
        <w:left w:val="none" w:sz="0" w:space="0" w:color="auto"/>
        <w:bottom w:val="none" w:sz="0" w:space="0" w:color="auto"/>
        <w:right w:val="none" w:sz="0" w:space="0" w:color="auto"/>
      </w:divBdr>
    </w:div>
    <w:div w:id="1044519893">
      <w:bodyDiv w:val="1"/>
      <w:marLeft w:val="0"/>
      <w:marRight w:val="0"/>
      <w:marTop w:val="0"/>
      <w:marBottom w:val="0"/>
      <w:divBdr>
        <w:top w:val="none" w:sz="0" w:space="0" w:color="auto"/>
        <w:left w:val="none" w:sz="0" w:space="0" w:color="auto"/>
        <w:bottom w:val="none" w:sz="0" w:space="0" w:color="auto"/>
        <w:right w:val="none" w:sz="0" w:space="0" w:color="auto"/>
      </w:divBdr>
    </w:div>
    <w:div w:id="1078481851">
      <w:bodyDiv w:val="1"/>
      <w:marLeft w:val="0"/>
      <w:marRight w:val="0"/>
      <w:marTop w:val="0"/>
      <w:marBottom w:val="0"/>
      <w:divBdr>
        <w:top w:val="none" w:sz="0" w:space="0" w:color="auto"/>
        <w:left w:val="none" w:sz="0" w:space="0" w:color="auto"/>
        <w:bottom w:val="none" w:sz="0" w:space="0" w:color="auto"/>
        <w:right w:val="none" w:sz="0" w:space="0" w:color="auto"/>
      </w:divBdr>
    </w:div>
    <w:div w:id="1081831570">
      <w:bodyDiv w:val="1"/>
      <w:marLeft w:val="0"/>
      <w:marRight w:val="0"/>
      <w:marTop w:val="0"/>
      <w:marBottom w:val="0"/>
      <w:divBdr>
        <w:top w:val="none" w:sz="0" w:space="0" w:color="auto"/>
        <w:left w:val="none" w:sz="0" w:space="0" w:color="auto"/>
        <w:bottom w:val="none" w:sz="0" w:space="0" w:color="auto"/>
        <w:right w:val="none" w:sz="0" w:space="0" w:color="auto"/>
      </w:divBdr>
    </w:div>
    <w:div w:id="1152064320">
      <w:bodyDiv w:val="1"/>
      <w:marLeft w:val="0"/>
      <w:marRight w:val="0"/>
      <w:marTop w:val="0"/>
      <w:marBottom w:val="0"/>
      <w:divBdr>
        <w:top w:val="none" w:sz="0" w:space="0" w:color="auto"/>
        <w:left w:val="none" w:sz="0" w:space="0" w:color="auto"/>
        <w:bottom w:val="none" w:sz="0" w:space="0" w:color="auto"/>
        <w:right w:val="none" w:sz="0" w:space="0" w:color="auto"/>
      </w:divBdr>
      <w:divsChild>
        <w:div w:id="1729256182">
          <w:marLeft w:val="0"/>
          <w:marRight w:val="0"/>
          <w:marTop w:val="0"/>
          <w:marBottom w:val="0"/>
          <w:divBdr>
            <w:top w:val="none" w:sz="0" w:space="0" w:color="auto"/>
            <w:left w:val="none" w:sz="0" w:space="0" w:color="auto"/>
            <w:bottom w:val="none" w:sz="0" w:space="0" w:color="auto"/>
            <w:right w:val="none" w:sz="0" w:space="0" w:color="auto"/>
          </w:divBdr>
          <w:divsChild>
            <w:div w:id="215051017">
              <w:marLeft w:val="0"/>
              <w:marRight w:val="0"/>
              <w:marTop w:val="0"/>
              <w:marBottom w:val="0"/>
              <w:divBdr>
                <w:top w:val="none" w:sz="0" w:space="0" w:color="auto"/>
                <w:left w:val="none" w:sz="0" w:space="0" w:color="auto"/>
                <w:bottom w:val="none" w:sz="0" w:space="0" w:color="auto"/>
                <w:right w:val="none" w:sz="0" w:space="0" w:color="auto"/>
              </w:divBdr>
              <w:divsChild>
                <w:div w:id="1844514073">
                  <w:marLeft w:val="-450"/>
                  <w:marRight w:val="-450"/>
                  <w:marTop w:val="0"/>
                  <w:marBottom w:val="0"/>
                  <w:divBdr>
                    <w:top w:val="none" w:sz="0" w:space="0" w:color="auto"/>
                    <w:left w:val="none" w:sz="0" w:space="0" w:color="auto"/>
                    <w:bottom w:val="none" w:sz="0" w:space="0" w:color="auto"/>
                    <w:right w:val="none" w:sz="0" w:space="0" w:color="auto"/>
                  </w:divBdr>
                  <w:divsChild>
                    <w:div w:id="840001496">
                      <w:marLeft w:val="0"/>
                      <w:marRight w:val="0"/>
                      <w:marTop w:val="0"/>
                      <w:marBottom w:val="0"/>
                      <w:divBdr>
                        <w:top w:val="none" w:sz="0" w:space="0" w:color="auto"/>
                        <w:left w:val="none" w:sz="0" w:space="0" w:color="auto"/>
                        <w:bottom w:val="none" w:sz="0" w:space="0" w:color="auto"/>
                        <w:right w:val="none" w:sz="0" w:space="0" w:color="auto"/>
                      </w:divBdr>
                      <w:divsChild>
                        <w:div w:id="476798307">
                          <w:marLeft w:val="0"/>
                          <w:marRight w:val="0"/>
                          <w:marTop w:val="0"/>
                          <w:marBottom w:val="0"/>
                          <w:divBdr>
                            <w:top w:val="none" w:sz="0" w:space="0" w:color="auto"/>
                            <w:left w:val="none" w:sz="0" w:space="0" w:color="auto"/>
                            <w:bottom w:val="none" w:sz="0" w:space="0" w:color="auto"/>
                            <w:right w:val="none" w:sz="0" w:space="0" w:color="auto"/>
                          </w:divBdr>
                          <w:divsChild>
                            <w:div w:id="666713220">
                              <w:marLeft w:val="-450"/>
                              <w:marRight w:val="-450"/>
                              <w:marTop w:val="0"/>
                              <w:marBottom w:val="0"/>
                              <w:divBdr>
                                <w:top w:val="none" w:sz="0" w:space="0" w:color="auto"/>
                                <w:left w:val="none" w:sz="0" w:space="0" w:color="auto"/>
                                <w:bottom w:val="none" w:sz="0" w:space="0" w:color="auto"/>
                                <w:right w:val="none" w:sz="0" w:space="0" w:color="auto"/>
                              </w:divBdr>
                              <w:divsChild>
                                <w:div w:id="190650384">
                                  <w:marLeft w:val="0"/>
                                  <w:marRight w:val="0"/>
                                  <w:marTop w:val="0"/>
                                  <w:marBottom w:val="0"/>
                                  <w:divBdr>
                                    <w:top w:val="none" w:sz="0" w:space="0" w:color="auto"/>
                                    <w:left w:val="none" w:sz="0" w:space="0" w:color="auto"/>
                                    <w:bottom w:val="none" w:sz="0" w:space="0" w:color="auto"/>
                                    <w:right w:val="none" w:sz="0" w:space="0" w:color="auto"/>
                                  </w:divBdr>
                                  <w:divsChild>
                                    <w:div w:id="517542300">
                                      <w:marLeft w:val="0"/>
                                      <w:marRight w:val="0"/>
                                      <w:marTop w:val="0"/>
                                      <w:marBottom w:val="0"/>
                                      <w:divBdr>
                                        <w:top w:val="none" w:sz="0" w:space="0" w:color="auto"/>
                                        <w:left w:val="none" w:sz="0" w:space="0" w:color="auto"/>
                                        <w:bottom w:val="none" w:sz="0" w:space="0" w:color="auto"/>
                                        <w:right w:val="none" w:sz="0" w:space="0" w:color="auto"/>
                                      </w:divBdr>
                                      <w:divsChild>
                                        <w:div w:id="875309670">
                                          <w:marLeft w:val="0"/>
                                          <w:marRight w:val="0"/>
                                          <w:marTop w:val="0"/>
                                          <w:marBottom w:val="0"/>
                                          <w:divBdr>
                                            <w:top w:val="none" w:sz="0" w:space="0" w:color="auto"/>
                                            <w:left w:val="none" w:sz="0" w:space="0" w:color="auto"/>
                                            <w:bottom w:val="none" w:sz="0" w:space="0" w:color="auto"/>
                                            <w:right w:val="none" w:sz="0" w:space="0" w:color="auto"/>
                                          </w:divBdr>
                                          <w:divsChild>
                                            <w:div w:id="1620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925975">
      <w:bodyDiv w:val="1"/>
      <w:marLeft w:val="0"/>
      <w:marRight w:val="0"/>
      <w:marTop w:val="0"/>
      <w:marBottom w:val="0"/>
      <w:divBdr>
        <w:top w:val="none" w:sz="0" w:space="0" w:color="auto"/>
        <w:left w:val="none" w:sz="0" w:space="0" w:color="auto"/>
        <w:bottom w:val="none" w:sz="0" w:space="0" w:color="auto"/>
        <w:right w:val="none" w:sz="0" w:space="0" w:color="auto"/>
      </w:divBdr>
    </w:div>
    <w:div w:id="1175653240">
      <w:bodyDiv w:val="1"/>
      <w:marLeft w:val="0"/>
      <w:marRight w:val="0"/>
      <w:marTop w:val="0"/>
      <w:marBottom w:val="0"/>
      <w:divBdr>
        <w:top w:val="none" w:sz="0" w:space="0" w:color="auto"/>
        <w:left w:val="none" w:sz="0" w:space="0" w:color="auto"/>
        <w:bottom w:val="none" w:sz="0" w:space="0" w:color="auto"/>
        <w:right w:val="none" w:sz="0" w:space="0" w:color="auto"/>
      </w:divBdr>
    </w:div>
    <w:div w:id="1203592731">
      <w:bodyDiv w:val="1"/>
      <w:marLeft w:val="0"/>
      <w:marRight w:val="0"/>
      <w:marTop w:val="0"/>
      <w:marBottom w:val="0"/>
      <w:divBdr>
        <w:top w:val="none" w:sz="0" w:space="0" w:color="auto"/>
        <w:left w:val="none" w:sz="0" w:space="0" w:color="auto"/>
        <w:bottom w:val="none" w:sz="0" w:space="0" w:color="auto"/>
        <w:right w:val="none" w:sz="0" w:space="0" w:color="auto"/>
      </w:divBdr>
    </w:div>
    <w:div w:id="1213268518">
      <w:bodyDiv w:val="1"/>
      <w:marLeft w:val="0"/>
      <w:marRight w:val="0"/>
      <w:marTop w:val="0"/>
      <w:marBottom w:val="0"/>
      <w:divBdr>
        <w:top w:val="none" w:sz="0" w:space="0" w:color="auto"/>
        <w:left w:val="none" w:sz="0" w:space="0" w:color="auto"/>
        <w:bottom w:val="none" w:sz="0" w:space="0" w:color="auto"/>
        <w:right w:val="none" w:sz="0" w:space="0" w:color="auto"/>
      </w:divBdr>
    </w:div>
    <w:div w:id="1283149934">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58060786">
      <w:bodyDiv w:val="1"/>
      <w:marLeft w:val="0"/>
      <w:marRight w:val="0"/>
      <w:marTop w:val="0"/>
      <w:marBottom w:val="0"/>
      <w:divBdr>
        <w:top w:val="none" w:sz="0" w:space="0" w:color="auto"/>
        <w:left w:val="none" w:sz="0" w:space="0" w:color="auto"/>
        <w:bottom w:val="none" w:sz="0" w:space="0" w:color="auto"/>
        <w:right w:val="none" w:sz="0" w:space="0" w:color="auto"/>
      </w:divBdr>
    </w:div>
    <w:div w:id="1485583336">
      <w:bodyDiv w:val="1"/>
      <w:marLeft w:val="0"/>
      <w:marRight w:val="0"/>
      <w:marTop w:val="0"/>
      <w:marBottom w:val="0"/>
      <w:divBdr>
        <w:top w:val="none" w:sz="0" w:space="0" w:color="auto"/>
        <w:left w:val="none" w:sz="0" w:space="0" w:color="auto"/>
        <w:bottom w:val="none" w:sz="0" w:space="0" w:color="auto"/>
        <w:right w:val="none" w:sz="0" w:space="0" w:color="auto"/>
      </w:divBdr>
    </w:div>
    <w:div w:id="1495952634">
      <w:bodyDiv w:val="1"/>
      <w:marLeft w:val="0"/>
      <w:marRight w:val="0"/>
      <w:marTop w:val="0"/>
      <w:marBottom w:val="0"/>
      <w:divBdr>
        <w:top w:val="none" w:sz="0" w:space="0" w:color="auto"/>
        <w:left w:val="none" w:sz="0" w:space="0" w:color="auto"/>
        <w:bottom w:val="none" w:sz="0" w:space="0" w:color="auto"/>
        <w:right w:val="none" w:sz="0" w:space="0" w:color="auto"/>
      </w:divBdr>
    </w:div>
    <w:div w:id="1496721908">
      <w:bodyDiv w:val="1"/>
      <w:marLeft w:val="0"/>
      <w:marRight w:val="0"/>
      <w:marTop w:val="0"/>
      <w:marBottom w:val="0"/>
      <w:divBdr>
        <w:top w:val="none" w:sz="0" w:space="0" w:color="auto"/>
        <w:left w:val="none" w:sz="0" w:space="0" w:color="auto"/>
        <w:bottom w:val="none" w:sz="0" w:space="0" w:color="auto"/>
        <w:right w:val="none" w:sz="0" w:space="0" w:color="auto"/>
      </w:divBdr>
    </w:div>
    <w:div w:id="1563710518">
      <w:bodyDiv w:val="1"/>
      <w:marLeft w:val="0"/>
      <w:marRight w:val="0"/>
      <w:marTop w:val="0"/>
      <w:marBottom w:val="0"/>
      <w:divBdr>
        <w:top w:val="none" w:sz="0" w:space="0" w:color="auto"/>
        <w:left w:val="none" w:sz="0" w:space="0" w:color="auto"/>
        <w:bottom w:val="none" w:sz="0" w:space="0" w:color="auto"/>
        <w:right w:val="none" w:sz="0" w:space="0" w:color="auto"/>
      </w:divBdr>
    </w:div>
    <w:div w:id="1614625924">
      <w:bodyDiv w:val="1"/>
      <w:marLeft w:val="0"/>
      <w:marRight w:val="0"/>
      <w:marTop w:val="0"/>
      <w:marBottom w:val="0"/>
      <w:divBdr>
        <w:top w:val="none" w:sz="0" w:space="0" w:color="auto"/>
        <w:left w:val="none" w:sz="0" w:space="0" w:color="auto"/>
        <w:bottom w:val="none" w:sz="0" w:space="0" w:color="auto"/>
        <w:right w:val="none" w:sz="0" w:space="0" w:color="auto"/>
      </w:divBdr>
    </w:div>
    <w:div w:id="1669020722">
      <w:bodyDiv w:val="1"/>
      <w:marLeft w:val="0"/>
      <w:marRight w:val="0"/>
      <w:marTop w:val="0"/>
      <w:marBottom w:val="0"/>
      <w:divBdr>
        <w:top w:val="none" w:sz="0" w:space="0" w:color="auto"/>
        <w:left w:val="none" w:sz="0" w:space="0" w:color="auto"/>
        <w:bottom w:val="none" w:sz="0" w:space="0" w:color="auto"/>
        <w:right w:val="none" w:sz="0" w:space="0" w:color="auto"/>
      </w:divBdr>
    </w:div>
    <w:div w:id="1669869553">
      <w:bodyDiv w:val="1"/>
      <w:marLeft w:val="0"/>
      <w:marRight w:val="0"/>
      <w:marTop w:val="0"/>
      <w:marBottom w:val="0"/>
      <w:divBdr>
        <w:top w:val="none" w:sz="0" w:space="0" w:color="auto"/>
        <w:left w:val="none" w:sz="0" w:space="0" w:color="auto"/>
        <w:bottom w:val="none" w:sz="0" w:space="0" w:color="auto"/>
        <w:right w:val="none" w:sz="0" w:space="0" w:color="auto"/>
      </w:divBdr>
    </w:div>
    <w:div w:id="1678147170">
      <w:bodyDiv w:val="1"/>
      <w:marLeft w:val="0"/>
      <w:marRight w:val="0"/>
      <w:marTop w:val="0"/>
      <w:marBottom w:val="0"/>
      <w:divBdr>
        <w:top w:val="none" w:sz="0" w:space="0" w:color="auto"/>
        <w:left w:val="none" w:sz="0" w:space="0" w:color="auto"/>
        <w:bottom w:val="none" w:sz="0" w:space="0" w:color="auto"/>
        <w:right w:val="none" w:sz="0" w:space="0" w:color="auto"/>
      </w:divBdr>
    </w:div>
    <w:div w:id="1687561298">
      <w:bodyDiv w:val="1"/>
      <w:marLeft w:val="0"/>
      <w:marRight w:val="0"/>
      <w:marTop w:val="0"/>
      <w:marBottom w:val="0"/>
      <w:divBdr>
        <w:top w:val="none" w:sz="0" w:space="0" w:color="auto"/>
        <w:left w:val="none" w:sz="0" w:space="0" w:color="auto"/>
        <w:bottom w:val="none" w:sz="0" w:space="0" w:color="auto"/>
        <w:right w:val="none" w:sz="0" w:space="0" w:color="auto"/>
      </w:divBdr>
    </w:div>
    <w:div w:id="1777942913">
      <w:bodyDiv w:val="1"/>
      <w:marLeft w:val="0"/>
      <w:marRight w:val="0"/>
      <w:marTop w:val="0"/>
      <w:marBottom w:val="0"/>
      <w:divBdr>
        <w:top w:val="none" w:sz="0" w:space="0" w:color="auto"/>
        <w:left w:val="none" w:sz="0" w:space="0" w:color="auto"/>
        <w:bottom w:val="none" w:sz="0" w:space="0" w:color="auto"/>
        <w:right w:val="none" w:sz="0" w:space="0" w:color="auto"/>
      </w:divBdr>
    </w:div>
    <w:div w:id="1787653438">
      <w:bodyDiv w:val="1"/>
      <w:marLeft w:val="0"/>
      <w:marRight w:val="0"/>
      <w:marTop w:val="0"/>
      <w:marBottom w:val="0"/>
      <w:divBdr>
        <w:top w:val="none" w:sz="0" w:space="0" w:color="auto"/>
        <w:left w:val="none" w:sz="0" w:space="0" w:color="auto"/>
        <w:bottom w:val="none" w:sz="0" w:space="0" w:color="auto"/>
        <w:right w:val="none" w:sz="0" w:space="0" w:color="auto"/>
      </w:divBdr>
    </w:div>
    <w:div w:id="1827087929">
      <w:bodyDiv w:val="1"/>
      <w:marLeft w:val="0"/>
      <w:marRight w:val="0"/>
      <w:marTop w:val="0"/>
      <w:marBottom w:val="0"/>
      <w:divBdr>
        <w:top w:val="none" w:sz="0" w:space="0" w:color="auto"/>
        <w:left w:val="none" w:sz="0" w:space="0" w:color="auto"/>
        <w:bottom w:val="none" w:sz="0" w:space="0" w:color="auto"/>
        <w:right w:val="none" w:sz="0" w:space="0" w:color="auto"/>
      </w:divBdr>
    </w:div>
    <w:div w:id="1880699037">
      <w:bodyDiv w:val="1"/>
      <w:marLeft w:val="0"/>
      <w:marRight w:val="0"/>
      <w:marTop w:val="0"/>
      <w:marBottom w:val="0"/>
      <w:divBdr>
        <w:top w:val="none" w:sz="0" w:space="0" w:color="auto"/>
        <w:left w:val="none" w:sz="0" w:space="0" w:color="auto"/>
        <w:bottom w:val="none" w:sz="0" w:space="0" w:color="auto"/>
        <w:right w:val="none" w:sz="0" w:space="0" w:color="auto"/>
      </w:divBdr>
    </w:div>
    <w:div w:id="1894075429">
      <w:bodyDiv w:val="1"/>
      <w:marLeft w:val="0"/>
      <w:marRight w:val="0"/>
      <w:marTop w:val="0"/>
      <w:marBottom w:val="0"/>
      <w:divBdr>
        <w:top w:val="none" w:sz="0" w:space="0" w:color="auto"/>
        <w:left w:val="none" w:sz="0" w:space="0" w:color="auto"/>
        <w:bottom w:val="none" w:sz="0" w:space="0" w:color="auto"/>
        <w:right w:val="none" w:sz="0" w:space="0" w:color="auto"/>
      </w:divBdr>
    </w:div>
    <w:div w:id="1977177026">
      <w:bodyDiv w:val="1"/>
      <w:marLeft w:val="0"/>
      <w:marRight w:val="0"/>
      <w:marTop w:val="0"/>
      <w:marBottom w:val="0"/>
      <w:divBdr>
        <w:top w:val="none" w:sz="0" w:space="0" w:color="auto"/>
        <w:left w:val="none" w:sz="0" w:space="0" w:color="auto"/>
        <w:bottom w:val="none" w:sz="0" w:space="0" w:color="auto"/>
        <w:right w:val="none" w:sz="0" w:space="0" w:color="auto"/>
      </w:divBdr>
    </w:div>
    <w:div w:id="2030518648">
      <w:bodyDiv w:val="1"/>
      <w:marLeft w:val="0"/>
      <w:marRight w:val="0"/>
      <w:marTop w:val="0"/>
      <w:marBottom w:val="0"/>
      <w:divBdr>
        <w:top w:val="none" w:sz="0" w:space="0" w:color="auto"/>
        <w:left w:val="none" w:sz="0" w:space="0" w:color="auto"/>
        <w:bottom w:val="none" w:sz="0" w:space="0" w:color="auto"/>
        <w:right w:val="none" w:sz="0" w:space="0" w:color="auto"/>
      </w:divBdr>
    </w:div>
    <w:div w:id="2043550549">
      <w:bodyDiv w:val="1"/>
      <w:marLeft w:val="0"/>
      <w:marRight w:val="0"/>
      <w:marTop w:val="0"/>
      <w:marBottom w:val="0"/>
      <w:divBdr>
        <w:top w:val="none" w:sz="0" w:space="0" w:color="auto"/>
        <w:left w:val="none" w:sz="0" w:space="0" w:color="auto"/>
        <w:bottom w:val="none" w:sz="0" w:space="0" w:color="auto"/>
        <w:right w:val="none" w:sz="0" w:space="0" w:color="auto"/>
      </w:divBdr>
    </w:div>
    <w:div w:id="2048216806">
      <w:bodyDiv w:val="1"/>
      <w:marLeft w:val="0"/>
      <w:marRight w:val="0"/>
      <w:marTop w:val="0"/>
      <w:marBottom w:val="0"/>
      <w:divBdr>
        <w:top w:val="none" w:sz="0" w:space="0" w:color="auto"/>
        <w:left w:val="none" w:sz="0" w:space="0" w:color="auto"/>
        <w:bottom w:val="none" w:sz="0" w:space="0" w:color="auto"/>
        <w:right w:val="none" w:sz="0" w:space="0" w:color="auto"/>
      </w:divBdr>
    </w:div>
    <w:div w:id="2069109121">
      <w:bodyDiv w:val="1"/>
      <w:marLeft w:val="0"/>
      <w:marRight w:val="0"/>
      <w:marTop w:val="0"/>
      <w:marBottom w:val="0"/>
      <w:divBdr>
        <w:top w:val="none" w:sz="0" w:space="0" w:color="auto"/>
        <w:left w:val="none" w:sz="0" w:space="0" w:color="auto"/>
        <w:bottom w:val="none" w:sz="0" w:space="0" w:color="auto"/>
        <w:right w:val="none" w:sz="0" w:space="0" w:color="auto"/>
      </w:divBdr>
    </w:div>
    <w:div w:id="2085569948">
      <w:bodyDiv w:val="1"/>
      <w:marLeft w:val="0"/>
      <w:marRight w:val="0"/>
      <w:marTop w:val="0"/>
      <w:marBottom w:val="0"/>
      <w:divBdr>
        <w:top w:val="none" w:sz="0" w:space="0" w:color="auto"/>
        <w:left w:val="none" w:sz="0" w:space="0" w:color="auto"/>
        <w:bottom w:val="none" w:sz="0" w:space="0" w:color="auto"/>
        <w:right w:val="none" w:sz="0" w:space="0" w:color="auto"/>
      </w:divBdr>
    </w:div>
    <w:div w:id="21079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mbudsman.parliament.nz/news/new-guide-and-case-notes-names-and-contact-details-public-sector-employees?fbclid=IwAR1qr7irUmsQi-nOopVukfHt9Oy6bnmTSDQ87xgjSHCL5_5Z6rxkhSJD2fc" TargetMode="External"/><Relationship Id="rId18" Type="http://schemas.openxmlformats.org/officeDocument/2006/relationships/hyperlink" Target="https://www.ombudsman.parliament.nz/resources/orientation-visits-first-step-developing-aged-care-inspections-programme" TargetMode="External"/><Relationship Id="rId26" Type="http://schemas.openxmlformats.org/officeDocument/2006/relationships/hyperlink" Target="https://www.ombudsman.parliament.nz/resources/request-associate-ministers-letter-concerning-lets-get-wellington-moving" TargetMode="External"/><Relationship Id="rId39" Type="http://schemas.openxmlformats.org/officeDocument/2006/relationships/header" Target="header2.xml"/><Relationship Id="rId21" Type="http://schemas.openxmlformats.org/officeDocument/2006/relationships/hyperlink" Target="https://www.ombudsman.parliament.nz/resources/protected-disclosures-guidance-internal-policies-and-procedures" TargetMode="External"/><Relationship Id="rId34" Type="http://schemas.openxmlformats.org/officeDocument/2006/relationships/hyperlink" Target="https://www.ombudsman.parliament.nz/resources/complaint-young-person-care-and-protection-residence" TargetMode="External"/><Relationship Id="rId42" Type="http://schemas.openxmlformats.org/officeDocument/2006/relationships/header" Target="header3.xml"/><Relationship Id="rId47" Type="http://schemas.openxmlformats.org/officeDocument/2006/relationships/footer" Target="footer6.xml"/><Relationship Id="rId50" Type="http://schemas.openxmlformats.org/officeDocument/2006/relationships/footer" Target="footer9.xml"/><Relationship Id="rId55" Type="http://schemas.openxmlformats.org/officeDocument/2006/relationships/hyperlink" Target="https://www.ombudsman.parliament.nz/resources/report-unannounced-follow-inspection-invercargill-prison-july-2019" TargetMode="External"/><Relationship Id="rId63" Type="http://schemas.openxmlformats.org/officeDocument/2006/relationships/hyperlink" Target="https://www.ombudsman.parliament.nz/resources/opcat-covid-19-report-report-inspections-prisons-under-crimes-torture-act-1989" TargetMode="External"/><Relationship Id="rId68" Type="http://schemas.openxmlformats.org/officeDocument/2006/relationships/chart" Target="charts/chart5.xm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mbudsman.parliament.nz/resources/opcat-inspections-during-covid-19-pandemic-update-and-statement-principles-poster" TargetMode="External"/><Relationship Id="rId29" Type="http://schemas.openxmlformats.org/officeDocument/2006/relationships/hyperlink" Target="https://www.ombudsman.parliament.nz/resources/lgoima-practice-report-far-north-district-counc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mbudsman.parliament.nz/resources/faqs-about-official-information-requests-during-covid-19" TargetMode="External"/><Relationship Id="rId24" Type="http://schemas.openxmlformats.org/officeDocument/2006/relationships/hyperlink" Target="https://www.ombudsman.parliament.nz/resources/opcat-aged-care-inspections-programme" TargetMode="External"/><Relationship Id="rId32" Type="http://schemas.openxmlformats.org/officeDocument/2006/relationships/hyperlink" Target="https://www.ombudsman.parliament.nz/resources/response-board-trustees-parents-complaint-about-bullying" TargetMode="External"/><Relationship Id="rId37" Type="http://schemas.openxmlformats.org/officeDocument/2006/relationships/hyperlink" Target="https://www.ombudsman.parliament.nz/resources/off-the-recordwww.ombudsman.parliament.nz" TargetMode="External"/><Relationship Id="rId40" Type="http://schemas.openxmlformats.org/officeDocument/2006/relationships/footer" Target="footer1.xml"/><Relationship Id="rId45" Type="http://schemas.openxmlformats.org/officeDocument/2006/relationships/footer" Target="footer4.xml"/><Relationship Id="rId53" Type="http://schemas.openxmlformats.org/officeDocument/2006/relationships/footer" Target="footer12.xml"/><Relationship Id="rId58" Type="http://schemas.openxmlformats.org/officeDocument/2006/relationships/hyperlink" Target="https://www.ombudsman.parliament.nz/resources/report-unannounced-inspection-puna-awhi-rua-forensic-inpatient-ward-waikato-hospital" TargetMode="External"/><Relationship Id="rId66"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s://www.ombudsman.parliament.nz/resources/faqs-about-official-information-requests-during-covid-19" TargetMode="External"/><Relationship Id="rId23" Type="http://schemas.openxmlformats.org/officeDocument/2006/relationships/hyperlink" Target="https://www.ombudsman.parliament.nz/resources/making-disability-rights-real-2014-2019-0" TargetMode="External"/><Relationship Id="rId28" Type="http://schemas.openxmlformats.org/officeDocument/2006/relationships/hyperlink" Target="https://www.ombudsman.parliament.nz/resources/lgoima-practice-report-auckland-council" TargetMode="External"/><Relationship Id="rId36" Type="http://schemas.openxmlformats.org/officeDocument/2006/relationships/hyperlink" Target="https://www.ombudsman.parliament.nz/resources/off-the-record" TargetMode="External"/><Relationship Id="rId49" Type="http://schemas.openxmlformats.org/officeDocument/2006/relationships/footer" Target="footer8.xml"/><Relationship Id="rId57" Type="http://schemas.openxmlformats.org/officeDocument/2006/relationships/hyperlink" Target="https://www.ombudsman.parliament.nz/resources/report-unannounced-inspection-tongariro-prison-under-crimes-torture-act-1989" TargetMode="External"/><Relationship Id="rId61" Type="http://schemas.openxmlformats.org/officeDocument/2006/relationships/hyperlink" Target="https://www.ombudsman.parliament.nz/resources/report-unannounced-follow-inspection-wards-34-35-and-36-waikato-hospital-under-crimes" TargetMode="External"/><Relationship Id="rId10" Type="http://schemas.openxmlformats.org/officeDocument/2006/relationships/hyperlink" Target="https://www.ombudsman.parliament.nz/resources/extension-time-limit-enable-kanohi-ki-te-kanohi-consultation" TargetMode="External"/><Relationship Id="rId19" Type="http://schemas.openxmlformats.org/officeDocument/2006/relationships/hyperlink" Target="http://www.ombudsman.parliament.nz/resources-and-publications/oia-complaints-data" TargetMode="External"/><Relationship Id="rId31" Type="http://schemas.openxmlformats.org/officeDocument/2006/relationships/hyperlink" Target="https://www.ombudsman.parliament.nz/resources/decision-not-accept-marriage-certificate-proof-surname-change" TargetMode="External"/><Relationship Id="rId44" Type="http://schemas.openxmlformats.org/officeDocument/2006/relationships/image" Target="media/image4.jpeg"/><Relationship Id="rId52" Type="http://schemas.openxmlformats.org/officeDocument/2006/relationships/footer" Target="footer11.xml"/><Relationship Id="rId60" Type="http://schemas.openxmlformats.org/officeDocument/2006/relationships/hyperlink" Target="https://www.ombudsman.parliament.nz/resources/report-unannounced-inspection-puna-poipoi-forensic-rehabilitation-ward-waikato-hospital" TargetMode="External"/><Relationship Id="rId65"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ombudsman.parliament.nz/news/new-guide-proactive-release" TargetMode="External"/><Relationship Id="rId22" Type="http://schemas.openxmlformats.org/officeDocument/2006/relationships/hyperlink" Target="https://www.ombudsman.parliament.nz/resources/checklist-protecting-whistleblower-confidentiality" TargetMode="External"/><Relationship Id="rId27" Type="http://schemas.openxmlformats.org/officeDocument/2006/relationships/hyperlink" Target="https://www.ombudsman.parliament.nz/resources/lgoima-compliance-and-practice-christchurch-city-council" TargetMode="External"/><Relationship Id="rId30" Type="http://schemas.openxmlformats.org/officeDocument/2006/relationships/hyperlink" Target="https://www.ombudsman.parliament.nz/resources/decision-not-return-bear-skin-specimen-surrendered-pursuant-section-272-trade-endangered" TargetMode="External"/><Relationship Id="rId35" Type="http://schemas.openxmlformats.org/officeDocument/2006/relationships/hyperlink" Target="https://www.ombudsman.parliament.nz/resources/off-the-record" TargetMode="External"/><Relationship Id="rId43" Type="http://schemas.openxmlformats.org/officeDocument/2006/relationships/footer" Target="footer3.xml"/><Relationship Id="rId48" Type="http://schemas.openxmlformats.org/officeDocument/2006/relationships/footer" Target="footer7.xml"/><Relationship Id="rId56" Type="http://schemas.openxmlformats.org/officeDocument/2006/relationships/hyperlink" Target="https://www.ombudsman.parliament.nz/resources/report-unannounced-inspection-northland-regional-corrections-facility-august-2019" TargetMode="External"/><Relationship Id="rId64" Type="http://schemas.openxmlformats.org/officeDocument/2006/relationships/chart" Target="charts/chart1.xml"/><Relationship Id="rId69" Type="http://schemas.openxmlformats.org/officeDocument/2006/relationships/footer" Target="footer14.xml"/><Relationship Id="rId8" Type="http://schemas.openxmlformats.org/officeDocument/2006/relationships/image" Target="media/image2.jpeg"/><Relationship Id="rId51" Type="http://schemas.openxmlformats.org/officeDocument/2006/relationships/footer" Target="footer10.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ombudsman.parliament.nz/sites/default/files/2020-06/Proactive_release.pdf" TargetMode="External"/><Relationship Id="rId17" Type="http://schemas.openxmlformats.org/officeDocument/2006/relationships/hyperlink" Target="https://www.ombudsman.parliament.nz/resources/criteria-opcat-covid-19-inspections" TargetMode="External"/><Relationship Id="rId25" Type="http://schemas.openxmlformats.org/officeDocument/2006/relationships/hyperlink" Target="https://www.ombudsman.parliament.nz/resources/request-police-commissioners-letter-minister-about-deputy-commissioner" TargetMode="External"/><Relationship Id="rId33" Type="http://schemas.openxmlformats.org/officeDocument/2006/relationships/hyperlink" Target="https://www.ombudsman.parliament.nz/resources/cancellation-access-between-mother-and-son-due-covid-alert-level-4-lockdown" TargetMode="External"/><Relationship Id="rId38" Type="http://schemas.openxmlformats.org/officeDocument/2006/relationships/header" Target="header1.xml"/><Relationship Id="rId46" Type="http://schemas.openxmlformats.org/officeDocument/2006/relationships/footer" Target="footer5.xml"/><Relationship Id="rId59" Type="http://schemas.openxmlformats.org/officeDocument/2006/relationships/hyperlink" Target="https://www.ombudsman.parliament.nz/resources/report-unannounced-inspection-puna-maatai-forensic-inpatient-ward-waikato-hospital-under" TargetMode="External"/><Relationship Id="rId67" Type="http://schemas.openxmlformats.org/officeDocument/2006/relationships/chart" Target="charts/chart4.xml"/><Relationship Id="rId20" Type="http://schemas.openxmlformats.org/officeDocument/2006/relationships/hyperlink" Target="https://www.ombudsman.parliament.nz/resources/failure-appropriately-apply-protected-disclosures-act" TargetMode="External"/><Relationship Id="rId41" Type="http://schemas.openxmlformats.org/officeDocument/2006/relationships/footer" Target="footer2.xml"/><Relationship Id="rId54" Type="http://schemas.openxmlformats.org/officeDocument/2006/relationships/footer" Target="footer13.xml"/><Relationship Id="rId62" Type="http://schemas.openxmlformats.org/officeDocument/2006/relationships/hyperlink" Target="https://www.ombudsman.parliament.nz/resources/opcat-covid-19-report-report-inspections-mental-health-facilities-under-crimes-torture" TargetMode="External"/><Relationship Id="rId70" Type="http://schemas.openxmlformats.org/officeDocument/2006/relationships/footer" Target="footer15.xml"/></Relationships>
</file>

<file path=word/_rels/footnotes.xml.rels><?xml version="1.0" encoding="UTF-8" standalone="yes"?>
<Relationships xmlns="http://schemas.openxmlformats.org/package/2006/relationships"><Relationship Id="rId8" Type="http://schemas.openxmlformats.org/officeDocument/2006/relationships/hyperlink" Target="https://www.ombudsman.parliament.nz/resources/opcat-covid-19-report-report-inspections-prisons-under-crimes-torture-act-1989" TargetMode="External"/><Relationship Id="rId13" Type="http://schemas.openxmlformats.org/officeDocument/2006/relationships/hyperlink" Target="https://www.ombudsman.parliament.nz/resources/opcat-covid-19-report-report-inspections-prisons-under-crimes-torture-act-1989" TargetMode="External"/><Relationship Id="rId18" Type="http://schemas.openxmlformats.org/officeDocument/2006/relationships/hyperlink" Target="https://www.ombudsman.parliament.nz/resources/he-take-kohukihuki-matter-urgency" TargetMode="External"/><Relationship Id="rId3" Type="http://schemas.openxmlformats.org/officeDocument/2006/relationships/hyperlink" Target="https://www.ombudsman.parliament.nz/news/chief-ombudsmans-statement-official-information-response-times-during-covid-19-emergency" TargetMode="External"/><Relationship Id="rId21" Type="http://schemas.openxmlformats.org/officeDocument/2006/relationships/hyperlink" Target="https://www.ombudsman.parliament.nz/resources/strategic-intentions-20192023" TargetMode="External"/><Relationship Id="rId7" Type="http://schemas.openxmlformats.org/officeDocument/2006/relationships/hyperlink" Target="https://www.ombudsman.parliament.nz/resources/opcat-covid-19-report-report-inspections-mental-health-facilities-under-crimes-torture" TargetMode="External"/><Relationship Id="rId12" Type="http://schemas.openxmlformats.org/officeDocument/2006/relationships/hyperlink" Target="https://www.corrections.govt.nz/about_us/who_we_are/office_of_the_inspectorate" TargetMode="External"/><Relationship Id="rId17" Type="http://schemas.openxmlformats.org/officeDocument/2006/relationships/hyperlink" Target="https://www.ombudsman.parliament.nz/news/chief-ombudsman-commences-two-investigations-ministry-health-and-its-services-people" TargetMode="External"/><Relationship Id="rId2" Type="http://schemas.openxmlformats.org/officeDocument/2006/relationships/hyperlink" Target="https://www.transparency.org/en/cpi" TargetMode="External"/><Relationship Id="rId16" Type="http://schemas.openxmlformats.org/officeDocument/2006/relationships/hyperlink" Target="https://www.ombudsman.parliament.nz/resources/opcat-covid-19-report-report-inspections-aged-care-facilities-under-crimes-torture-act" TargetMode="External"/><Relationship Id="rId20" Type="http://schemas.openxmlformats.org/officeDocument/2006/relationships/hyperlink" Target="https://www.transparency.org/" TargetMode="External"/><Relationship Id="rId1" Type="http://schemas.openxmlformats.org/officeDocument/2006/relationships/hyperlink" Target="https://www.publicservice.govt.nz/our-work/kiwis-count/" TargetMode="External"/><Relationship Id="rId6" Type="http://schemas.openxmlformats.org/officeDocument/2006/relationships/hyperlink" Target="https://www.ombudsman.parliament.nz/resources/criteria-opcat-covid-19-inspections" TargetMode="External"/><Relationship Id="rId11" Type="http://schemas.openxmlformats.org/officeDocument/2006/relationships/hyperlink" Target="https://www.justice.govt.nz/assets/Documents/Publications/3.-JS-Prison-Projection-Report-v2.1.pdf" TargetMode="External"/><Relationship Id="rId5" Type="http://schemas.openxmlformats.org/officeDocument/2006/relationships/hyperlink" Target="https://www.youtube.com/watch?v=K_Bq42rz4H4&amp;t=160s" TargetMode="External"/><Relationship Id="rId15" Type="http://schemas.openxmlformats.org/officeDocument/2006/relationships/hyperlink" Target="https://www.ombudsman.parliament.nz/what-we-can-help/aged-care-monitoring" TargetMode="External"/><Relationship Id="rId10" Type="http://schemas.openxmlformats.org/officeDocument/2006/relationships/hyperlink" Target="https://www.corrections.govt.nz/resources/research_and_statistics/quarterly_prison_statistics/prison_stats_march_2020" TargetMode="External"/><Relationship Id="rId19" Type="http://schemas.openxmlformats.org/officeDocument/2006/relationships/hyperlink" Target="http://www.ssc.govt.nz/kiwis-count" TargetMode="External"/><Relationship Id="rId4" Type="http://schemas.openxmlformats.org/officeDocument/2006/relationships/hyperlink" Target="http://legislation.govt.nz/act/public/2000/0007/latest/DLM53471.html?search=ts_act%40bill%40regulation%40deemedreg_protected+disclosure+act_resel_25_a&amp;p=1" TargetMode="External"/><Relationship Id="rId9" Type="http://schemas.openxmlformats.org/officeDocument/2006/relationships/hyperlink" Target="https://www.ombudsman.parliament.nz/resources/opcat-covid-19-report-report-inspections-aged-care-facilities-under-crimes-torture-act" TargetMode="External"/><Relationship Id="rId14" Type="http://schemas.openxmlformats.org/officeDocument/2006/relationships/hyperlink" Target="https://www.ombudsman.parliament.nz/resources/opcat-covid-19-report-report-inspections-mental-health-facilities-under-crimes-tor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wakacs.ooto.ombudsmen.govt.nz/otcsdav/nodes/2189871/Charts%2018-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wakacs.ooto.ombudsmen.govt.nz/otcsdav/nodes/2189871/Charts%2018-1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wakacs.ooto.ombudsmen.govt.nz/otcsdav/nodes/2189871/Charts%2018-1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wakacs.ooto.ombudsmen.govt.nz/otcsdav/nodes/2189871/Charts%2018-1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wakacs.ooto.ombudsmen.govt.nz/otcsdav/nodes/2189871/Charts%2018-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38572001781686"/>
          <c:y val="0.16967538934769388"/>
          <c:w val="0.77227389353329434"/>
          <c:h val="0.62024478898900515"/>
        </c:manualLayout>
      </c:layout>
      <c:lineChart>
        <c:grouping val="standard"/>
        <c:varyColors val="0"/>
        <c:ser>
          <c:idx val="0"/>
          <c:order val="0"/>
          <c:tx>
            <c:strRef>
              <c:f>'Figure 3 All work'!$B$3</c:f>
              <c:strCache>
                <c:ptCount val="1"/>
                <c:pt idx="0">
                  <c:v>Received</c:v>
                </c:pt>
              </c:strCache>
            </c:strRef>
          </c:tx>
          <c:spPr>
            <a:ln w="12700">
              <a:solidFill>
                <a:srgbClr val="0080C0"/>
              </a:solidFill>
              <a:prstDash val="solid"/>
            </a:ln>
          </c:spPr>
          <c:marker>
            <c:symbol val="diamond"/>
            <c:size val="5"/>
            <c:spPr>
              <a:solidFill>
                <a:srgbClr val="0070C0"/>
              </a:solidFill>
              <a:ln>
                <a:solidFill>
                  <a:srgbClr val="0080C0"/>
                </a:solidFill>
                <a:prstDash val="solid"/>
              </a:ln>
            </c:spPr>
          </c:marker>
          <c:cat>
            <c:numRef>
              <c:f>'Figure 3 All work'!$A$5:$A$14</c:f>
              <c:numCache>
                <c:formatCode>mmm\-yy</c:formatCode>
                <c:ptCount val="10"/>
                <c:pt idx="0">
                  <c:v>40695</c:v>
                </c:pt>
                <c:pt idx="1">
                  <c:v>41061</c:v>
                </c:pt>
                <c:pt idx="2">
                  <c:v>41426</c:v>
                </c:pt>
                <c:pt idx="3">
                  <c:v>41791</c:v>
                </c:pt>
                <c:pt idx="4">
                  <c:v>42156</c:v>
                </c:pt>
                <c:pt idx="5">
                  <c:v>42522</c:v>
                </c:pt>
                <c:pt idx="6">
                  <c:v>42887</c:v>
                </c:pt>
                <c:pt idx="7">
                  <c:v>43252</c:v>
                </c:pt>
                <c:pt idx="8">
                  <c:v>43617</c:v>
                </c:pt>
                <c:pt idx="9">
                  <c:v>43983</c:v>
                </c:pt>
              </c:numCache>
            </c:numRef>
          </c:cat>
          <c:val>
            <c:numRef>
              <c:f>'Figure 3 All work'!$B$5:$B$14</c:f>
              <c:numCache>
                <c:formatCode>General</c:formatCode>
                <c:ptCount val="10"/>
                <c:pt idx="0">
                  <c:v>8706</c:v>
                </c:pt>
                <c:pt idx="1">
                  <c:v>10636</c:v>
                </c:pt>
                <c:pt idx="2">
                  <c:v>13684</c:v>
                </c:pt>
                <c:pt idx="3">
                  <c:v>11044</c:v>
                </c:pt>
                <c:pt idx="4" formatCode="#,##0">
                  <c:v>12151</c:v>
                </c:pt>
                <c:pt idx="5" formatCode="#,##0">
                  <c:v>12595</c:v>
                </c:pt>
                <c:pt idx="6" formatCode="#,##0">
                  <c:v>11846</c:v>
                </c:pt>
                <c:pt idx="7" formatCode="#,##0">
                  <c:v>11468</c:v>
                </c:pt>
                <c:pt idx="8" formatCode="#,##0">
                  <c:v>11886</c:v>
                </c:pt>
                <c:pt idx="9" formatCode="#,##0">
                  <c:v>11862</c:v>
                </c:pt>
              </c:numCache>
            </c:numRef>
          </c:val>
          <c:smooth val="0"/>
          <c:extLst>
            <c:ext xmlns:c16="http://schemas.microsoft.com/office/drawing/2014/chart" uri="{C3380CC4-5D6E-409C-BE32-E72D297353CC}">
              <c16:uniqueId val="{00000000-1934-49A1-80F6-2909437DDA52}"/>
            </c:ext>
          </c:extLst>
        </c:ser>
        <c:ser>
          <c:idx val="1"/>
          <c:order val="1"/>
          <c:tx>
            <c:strRef>
              <c:f>'Figure 3 All work'!$C$3</c:f>
              <c:strCache>
                <c:ptCount val="1"/>
                <c:pt idx="0">
                  <c:v>Under Action in the Year</c:v>
                </c:pt>
              </c:strCache>
            </c:strRef>
          </c:tx>
          <c:spPr>
            <a:ln w="12700">
              <a:solidFill>
                <a:srgbClr val="339933"/>
              </a:solidFill>
              <a:prstDash val="solid"/>
            </a:ln>
          </c:spPr>
          <c:marker>
            <c:symbol val="square"/>
            <c:size val="4"/>
            <c:spPr>
              <a:solidFill>
                <a:srgbClr val="00B050"/>
              </a:solidFill>
              <a:ln>
                <a:solidFill>
                  <a:srgbClr val="339933"/>
                </a:solidFill>
                <a:prstDash val="solid"/>
              </a:ln>
            </c:spPr>
          </c:marker>
          <c:cat>
            <c:numRef>
              <c:f>'Figure 3 All work'!$A$5:$A$14</c:f>
              <c:numCache>
                <c:formatCode>mmm\-yy</c:formatCode>
                <c:ptCount val="10"/>
                <c:pt idx="0">
                  <c:v>40695</c:v>
                </c:pt>
                <c:pt idx="1">
                  <c:v>41061</c:v>
                </c:pt>
                <c:pt idx="2">
                  <c:v>41426</c:v>
                </c:pt>
                <c:pt idx="3">
                  <c:v>41791</c:v>
                </c:pt>
                <c:pt idx="4">
                  <c:v>42156</c:v>
                </c:pt>
                <c:pt idx="5">
                  <c:v>42522</c:v>
                </c:pt>
                <c:pt idx="6">
                  <c:v>42887</c:v>
                </c:pt>
                <c:pt idx="7">
                  <c:v>43252</c:v>
                </c:pt>
                <c:pt idx="8">
                  <c:v>43617</c:v>
                </c:pt>
                <c:pt idx="9">
                  <c:v>43983</c:v>
                </c:pt>
              </c:numCache>
            </c:numRef>
          </c:cat>
          <c:val>
            <c:numRef>
              <c:f>'Figure 3 All work'!$C$5:$C$14</c:f>
              <c:numCache>
                <c:formatCode>General</c:formatCode>
                <c:ptCount val="10"/>
                <c:pt idx="0">
                  <c:v>10436</c:v>
                </c:pt>
                <c:pt idx="1">
                  <c:v>11996</c:v>
                </c:pt>
                <c:pt idx="2">
                  <c:v>15430</c:v>
                </c:pt>
                <c:pt idx="3">
                  <c:v>13116</c:v>
                </c:pt>
                <c:pt idx="4">
                  <c:v>13753</c:v>
                </c:pt>
                <c:pt idx="5" formatCode="#,##0">
                  <c:v>14382</c:v>
                </c:pt>
                <c:pt idx="6" formatCode="#,##0">
                  <c:v>13437</c:v>
                </c:pt>
                <c:pt idx="7" formatCode="#,##0">
                  <c:v>12770</c:v>
                </c:pt>
                <c:pt idx="8" formatCode="#,##0">
                  <c:v>12802</c:v>
                </c:pt>
                <c:pt idx="9" formatCode="#,##0">
                  <c:v>12912</c:v>
                </c:pt>
              </c:numCache>
            </c:numRef>
          </c:val>
          <c:smooth val="0"/>
          <c:extLst>
            <c:ext xmlns:c16="http://schemas.microsoft.com/office/drawing/2014/chart" uri="{C3380CC4-5D6E-409C-BE32-E72D297353CC}">
              <c16:uniqueId val="{00000001-1934-49A1-80F6-2909437DDA52}"/>
            </c:ext>
          </c:extLst>
        </c:ser>
        <c:ser>
          <c:idx val="2"/>
          <c:order val="2"/>
          <c:tx>
            <c:strRef>
              <c:f>'Figure 3 All work'!$D$3</c:f>
              <c:strCache>
                <c:ptCount val="1"/>
                <c:pt idx="0">
                  <c:v>Completed</c:v>
                </c:pt>
              </c:strCache>
            </c:strRef>
          </c:tx>
          <c:spPr>
            <a:ln w="12700">
              <a:solidFill>
                <a:srgbClr val="800000"/>
              </a:solidFill>
              <a:prstDash val="solid"/>
            </a:ln>
          </c:spPr>
          <c:marker>
            <c:symbol val="triangle"/>
            <c:size val="4"/>
            <c:spPr>
              <a:solidFill>
                <a:srgbClr val="800000"/>
              </a:solidFill>
              <a:ln>
                <a:solidFill>
                  <a:srgbClr val="800000"/>
                </a:solidFill>
                <a:prstDash val="solid"/>
              </a:ln>
            </c:spPr>
          </c:marker>
          <c:cat>
            <c:numRef>
              <c:f>'Figure 3 All work'!$A$5:$A$14</c:f>
              <c:numCache>
                <c:formatCode>mmm\-yy</c:formatCode>
                <c:ptCount val="10"/>
                <c:pt idx="0">
                  <c:v>40695</c:v>
                </c:pt>
                <c:pt idx="1">
                  <c:v>41061</c:v>
                </c:pt>
                <c:pt idx="2">
                  <c:v>41426</c:v>
                </c:pt>
                <c:pt idx="3">
                  <c:v>41791</c:v>
                </c:pt>
                <c:pt idx="4">
                  <c:v>42156</c:v>
                </c:pt>
                <c:pt idx="5">
                  <c:v>42522</c:v>
                </c:pt>
                <c:pt idx="6">
                  <c:v>42887</c:v>
                </c:pt>
                <c:pt idx="7">
                  <c:v>43252</c:v>
                </c:pt>
                <c:pt idx="8">
                  <c:v>43617</c:v>
                </c:pt>
                <c:pt idx="9">
                  <c:v>43983</c:v>
                </c:pt>
              </c:numCache>
            </c:numRef>
          </c:cat>
          <c:val>
            <c:numRef>
              <c:f>'Figure 3 All work'!$D$5:$D$14</c:f>
              <c:numCache>
                <c:formatCode>General</c:formatCode>
                <c:ptCount val="10"/>
                <c:pt idx="0">
                  <c:v>9077</c:v>
                </c:pt>
                <c:pt idx="1">
                  <c:v>10250</c:v>
                </c:pt>
                <c:pt idx="2">
                  <c:v>13358</c:v>
                </c:pt>
                <c:pt idx="3">
                  <c:v>11505</c:v>
                </c:pt>
                <c:pt idx="4" formatCode="#,##0">
                  <c:v>11964</c:v>
                </c:pt>
                <c:pt idx="5" formatCode="#,##0">
                  <c:v>12786</c:v>
                </c:pt>
                <c:pt idx="6" formatCode="#,##0">
                  <c:v>12141</c:v>
                </c:pt>
                <c:pt idx="7" formatCode="#,##0">
                  <c:v>11846</c:v>
                </c:pt>
                <c:pt idx="8" formatCode="#,##0">
                  <c:v>11793</c:v>
                </c:pt>
                <c:pt idx="9" formatCode="#,##0">
                  <c:v>11740</c:v>
                </c:pt>
              </c:numCache>
            </c:numRef>
          </c:val>
          <c:smooth val="0"/>
          <c:extLst>
            <c:ext xmlns:c16="http://schemas.microsoft.com/office/drawing/2014/chart" uri="{C3380CC4-5D6E-409C-BE32-E72D297353CC}">
              <c16:uniqueId val="{00000002-1934-49A1-80F6-2909437DDA52}"/>
            </c:ext>
          </c:extLst>
        </c:ser>
        <c:ser>
          <c:idx val="3"/>
          <c:order val="3"/>
          <c:tx>
            <c:strRef>
              <c:f>'Figure 3 All work'!$E$3</c:f>
              <c:strCache>
                <c:ptCount val="1"/>
                <c:pt idx="0">
                  <c:v>On Hand at Year End</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'Figure 3 All work'!$A$5:$A$14</c:f>
              <c:numCache>
                <c:formatCode>mmm\-yy</c:formatCode>
                <c:ptCount val="10"/>
                <c:pt idx="0">
                  <c:v>40695</c:v>
                </c:pt>
                <c:pt idx="1">
                  <c:v>41061</c:v>
                </c:pt>
                <c:pt idx="2">
                  <c:v>41426</c:v>
                </c:pt>
                <c:pt idx="3">
                  <c:v>41791</c:v>
                </c:pt>
                <c:pt idx="4">
                  <c:v>42156</c:v>
                </c:pt>
                <c:pt idx="5">
                  <c:v>42522</c:v>
                </c:pt>
                <c:pt idx="6">
                  <c:v>42887</c:v>
                </c:pt>
                <c:pt idx="7">
                  <c:v>43252</c:v>
                </c:pt>
                <c:pt idx="8">
                  <c:v>43617</c:v>
                </c:pt>
                <c:pt idx="9">
                  <c:v>43983</c:v>
                </c:pt>
              </c:numCache>
            </c:numRef>
          </c:cat>
          <c:val>
            <c:numRef>
              <c:f>'Figure 3 All work'!$E$5:$E$14</c:f>
              <c:numCache>
                <c:formatCode>General</c:formatCode>
                <c:ptCount val="10"/>
                <c:pt idx="0">
                  <c:v>1359</c:v>
                </c:pt>
                <c:pt idx="1">
                  <c:v>1746</c:v>
                </c:pt>
                <c:pt idx="2">
                  <c:v>2072</c:v>
                </c:pt>
                <c:pt idx="3">
                  <c:v>1602</c:v>
                </c:pt>
                <c:pt idx="4">
                  <c:v>1787</c:v>
                </c:pt>
                <c:pt idx="5" formatCode="#,##0">
                  <c:v>1591</c:v>
                </c:pt>
                <c:pt idx="6" formatCode="#,##0">
                  <c:v>1294</c:v>
                </c:pt>
                <c:pt idx="7" formatCode="#,##0">
                  <c:v>916</c:v>
                </c:pt>
                <c:pt idx="8" formatCode="#,##0">
                  <c:v>1009</c:v>
                </c:pt>
                <c:pt idx="9" formatCode="#,##0">
                  <c:v>1132</c:v>
                </c:pt>
              </c:numCache>
            </c:numRef>
          </c:val>
          <c:smooth val="0"/>
          <c:extLst>
            <c:ext xmlns:c16="http://schemas.microsoft.com/office/drawing/2014/chart" uri="{C3380CC4-5D6E-409C-BE32-E72D297353CC}">
              <c16:uniqueId val="{00000003-1934-49A1-80F6-2909437DDA52}"/>
            </c:ext>
          </c:extLst>
        </c:ser>
        <c:dLbls>
          <c:showLegendKey val="0"/>
          <c:showVal val="0"/>
          <c:showCatName val="0"/>
          <c:showSerName val="0"/>
          <c:showPercent val="0"/>
          <c:showBubbleSize val="0"/>
        </c:dLbls>
        <c:marker val="1"/>
        <c:smooth val="0"/>
        <c:axId val="560403664"/>
        <c:axId val="1"/>
      </c:lineChart>
      <c:catAx>
        <c:axId val="560403664"/>
        <c:scaling>
          <c:orientation val="minMax"/>
        </c:scaling>
        <c:delete val="0"/>
        <c:axPos val="b"/>
        <c:numFmt formatCode="mmm\-yy" sourceLinked="1"/>
        <c:majorTickMark val="cross"/>
        <c:minorTickMark val="none"/>
        <c:tickLblPos val="nextTo"/>
        <c:txPr>
          <a:bodyPr rot="0" vert="horz"/>
          <a:lstStyle/>
          <a:p>
            <a:pPr>
              <a:defRPr/>
            </a:pPr>
            <a:endParaRPr lang="en-US"/>
          </a:p>
        </c:txPr>
        <c:crossAx val="1"/>
        <c:crosses val="autoZero"/>
        <c:auto val="0"/>
        <c:lblAlgn val="ctr"/>
        <c:lblOffset val="100"/>
        <c:tickLblSkip val="1"/>
        <c:tickMarkSkip val="1"/>
        <c:noMultiLvlLbl val="0"/>
      </c:catAx>
      <c:valAx>
        <c:axId val="1"/>
        <c:scaling>
          <c:orientation val="minMax"/>
        </c:scaling>
        <c:delete val="0"/>
        <c:axPos val="l"/>
        <c:majorGridlines>
          <c:spPr>
            <a:ln w="3175">
              <a:solidFill>
                <a:srgbClr val="000000"/>
              </a:solidFill>
              <a:prstDash val="sysDash"/>
            </a:ln>
          </c:spPr>
        </c:majorGridlines>
        <c:title>
          <c:tx>
            <c:rich>
              <a:bodyPr/>
              <a:lstStyle/>
              <a:p>
                <a:pPr>
                  <a:defRPr sz="900" b="0" i="0" u="none" strike="noStrike" baseline="0">
                    <a:solidFill>
                      <a:srgbClr val="000000"/>
                    </a:solidFill>
                    <a:latin typeface="Arial"/>
                    <a:ea typeface="Arial"/>
                    <a:cs typeface="Arial"/>
                  </a:defRPr>
                </a:pPr>
                <a:r>
                  <a:rPr lang="en-NZ"/>
                  <a:t>Number of matters</a:t>
                </a:r>
              </a:p>
            </c:rich>
          </c:tx>
          <c:layout>
            <c:manualLayout>
              <c:xMode val="edge"/>
              <c:yMode val="edge"/>
              <c:x val="3.2258156109724691E-2"/>
              <c:y val="0.2577326803221762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560403664"/>
        <c:crosses val="autoZero"/>
        <c:crossBetween val="midCat"/>
      </c:valAx>
      <c:spPr>
        <a:noFill/>
        <a:ln w="12700">
          <a:solidFill>
            <a:srgbClr val="FFFFFF"/>
          </a:solidFill>
          <a:prstDash val="solid"/>
        </a:ln>
      </c:spPr>
    </c:plotArea>
    <c:legend>
      <c:legendPos val="r"/>
      <c:layout>
        <c:manualLayout>
          <c:xMode val="edge"/>
          <c:yMode val="edge"/>
          <c:x val="0.20689667900765188"/>
          <c:y val="0.89519062694482776"/>
          <c:w val="0.7085874006103009"/>
          <c:h val="8.9347079037800703E-2"/>
        </c:manualLayout>
      </c:layout>
      <c:overlay val="0"/>
      <c:spPr>
        <a:solidFill>
          <a:srgbClr val="FFFFFF"/>
        </a:solidFill>
        <a:ln w="3175">
          <a:solidFill>
            <a:srgbClr val="FFFFFF"/>
          </a:solidFill>
          <a:prstDash val="solid"/>
        </a:ln>
      </c:spPr>
      <c:txPr>
        <a:bodyPr/>
        <a:lstStyle/>
        <a:p>
          <a:pPr>
            <a:defRPr sz="75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38572001781686"/>
          <c:y val="0.16967538934769388"/>
          <c:w val="0.77227389353329434"/>
          <c:h val="0.62024478898900515"/>
        </c:manualLayout>
      </c:layout>
      <c:lineChart>
        <c:grouping val="standard"/>
        <c:varyColors val="0"/>
        <c:ser>
          <c:idx val="0"/>
          <c:order val="0"/>
          <c:tx>
            <c:strRef>
              <c:f>'Chart 2 OA Throughput (2)'!$B$2</c:f>
              <c:strCache>
                <c:ptCount val="1"/>
                <c:pt idx="0">
                  <c:v>Received</c:v>
                </c:pt>
              </c:strCache>
            </c:strRef>
          </c:tx>
          <c:spPr>
            <a:ln w="12700">
              <a:solidFill>
                <a:srgbClr val="0080C0"/>
              </a:solidFill>
              <a:prstDash val="solid"/>
            </a:ln>
          </c:spPr>
          <c:marker>
            <c:symbol val="diamond"/>
            <c:size val="5"/>
            <c:spPr>
              <a:solidFill>
                <a:srgbClr val="0070C0"/>
              </a:solidFill>
              <a:ln>
                <a:solidFill>
                  <a:srgbClr val="0080C0"/>
                </a:solidFill>
                <a:prstDash val="solid"/>
              </a:ln>
            </c:spPr>
          </c:marker>
          <c:cat>
            <c:numRef>
              <c:f>'Chart 2 OA Throughput (2)'!$A$4:$A$13</c:f>
              <c:numCache>
                <c:formatCode>mmm\-yy</c:formatCode>
                <c:ptCount val="10"/>
                <c:pt idx="0">
                  <c:v>40695</c:v>
                </c:pt>
                <c:pt idx="1">
                  <c:v>41061</c:v>
                </c:pt>
                <c:pt idx="2">
                  <c:v>41426</c:v>
                </c:pt>
                <c:pt idx="3">
                  <c:v>41791</c:v>
                </c:pt>
                <c:pt idx="4">
                  <c:v>42156</c:v>
                </c:pt>
                <c:pt idx="5">
                  <c:v>42522</c:v>
                </c:pt>
                <c:pt idx="6">
                  <c:v>42887</c:v>
                </c:pt>
                <c:pt idx="7">
                  <c:v>43252</c:v>
                </c:pt>
                <c:pt idx="8">
                  <c:v>43617</c:v>
                </c:pt>
                <c:pt idx="9">
                  <c:v>43983</c:v>
                </c:pt>
              </c:numCache>
            </c:numRef>
          </c:cat>
          <c:val>
            <c:numRef>
              <c:f>'Chart 2 OA Throughput (2)'!$B$4:$B$13</c:f>
              <c:numCache>
                <c:formatCode>#,##0</c:formatCode>
                <c:ptCount val="10"/>
                <c:pt idx="0" formatCode="General">
                  <c:v>6163</c:v>
                </c:pt>
                <c:pt idx="1">
                  <c:v>2459</c:v>
                </c:pt>
                <c:pt idx="2">
                  <c:v>2745</c:v>
                </c:pt>
                <c:pt idx="3">
                  <c:v>2478</c:v>
                </c:pt>
                <c:pt idx="4">
                  <c:v>2304</c:v>
                </c:pt>
                <c:pt idx="5">
                  <c:v>2054</c:v>
                </c:pt>
                <c:pt idx="6">
                  <c:v>2191</c:v>
                </c:pt>
                <c:pt idx="7">
                  <c:v>2263</c:v>
                </c:pt>
                <c:pt idx="8">
                  <c:v>2413</c:v>
                </c:pt>
                <c:pt idx="9">
                  <c:v>2811</c:v>
                </c:pt>
              </c:numCache>
            </c:numRef>
          </c:val>
          <c:smooth val="0"/>
          <c:extLst>
            <c:ext xmlns:c16="http://schemas.microsoft.com/office/drawing/2014/chart" uri="{C3380CC4-5D6E-409C-BE32-E72D297353CC}">
              <c16:uniqueId val="{00000000-09AF-4129-A934-B0A8BA611A80}"/>
            </c:ext>
          </c:extLst>
        </c:ser>
        <c:ser>
          <c:idx val="1"/>
          <c:order val="1"/>
          <c:tx>
            <c:strRef>
              <c:f>'Chart 2 OA Throughput (2)'!$C$2</c:f>
              <c:strCache>
                <c:ptCount val="1"/>
                <c:pt idx="0">
                  <c:v>Under Action in the Year</c:v>
                </c:pt>
              </c:strCache>
            </c:strRef>
          </c:tx>
          <c:spPr>
            <a:ln w="12700">
              <a:solidFill>
                <a:srgbClr val="339933"/>
              </a:solidFill>
              <a:prstDash val="solid"/>
            </a:ln>
          </c:spPr>
          <c:marker>
            <c:symbol val="square"/>
            <c:size val="4"/>
            <c:spPr>
              <a:solidFill>
                <a:srgbClr val="00B050"/>
              </a:solidFill>
              <a:ln>
                <a:solidFill>
                  <a:srgbClr val="339933"/>
                </a:solidFill>
                <a:prstDash val="solid"/>
              </a:ln>
            </c:spPr>
          </c:marker>
          <c:cat>
            <c:numRef>
              <c:f>'Chart 2 OA Throughput (2)'!$A$4:$A$13</c:f>
              <c:numCache>
                <c:formatCode>mmm\-yy</c:formatCode>
                <c:ptCount val="10"/>
                <c:pt idx="0">
                  <c:v>40695</c:v>
                </c:pt>
                <c:pt idx="1">
                  <c:v>41061</c:v>
                </c:pt>
                <c:pt idx="2">
                  <c:v>41426</c:v>
                </c:pt>
                <c:pt idx="3">
                  <c:v>41791</c:v>
                </c:pt>
                <c:pt idx="4">
                  <c:v>42156</c:v>
                </c:pt>
                <c:pt idx="5">
                  <c:v>42522</c:v>
                </c:pt>
                <c:pt idx="6">
                  <c:v>42887</c:v>
                </c:pt>
                <c:pt idx="7">
                  <c:v>43252</c:v>
                </c:pt>
                <c:pt idx="8">
                  <c:v>43617</c:v>
                </c:pt>
                <c:pt idx="9">
                  <c:v>43983</c:v>
                </c:pt>
              </c:numCache>
            </c:numRef>
          </c:cat>
          <c:val>
            <c:numRef>
              <c:f>'Chart 2 OA Throughput (2)'!$C$4:$C$13</c:f>
              <c:numCache>
                <c:formatCode>#,##0</c:formatCode>
                <c:ptCount val="10"/>
                <c:pt idx="0">
                  <c:v>7195</c:v>
                </c:pt>
                <c:pt idx="1">
                  <c:v>3194</c:v>
                </c:pt>
                <c:pt idx="2">
                  <c:v>3548</c:v>
                </c:pt>
                <c:pt idx="3">
                  <c:v>3165</c:v>
                </c:pt>
                <c:pt idx="4">
                  <c:v>2951</c:v>
                </c:pt>
                <c:pt idx="5">
                  <c:v>2781</c:v>
                </c:pt>
                <c:pt idx="6">
                  <c:v>2733</c:v>
                </c:pt>
                <c:pt idx="7">
                  <c:v>2693</c:v>
                </c:pt>
                <c:pt idx="8">
                  <c:v>2709</c:v>
                </c:pt>
                <c:pt idx="9">
                  <c:v>3165</c:v>
                </c:pt>
              </c:numCache>
            </c:numRef>
          </c:val>
          <c:smooth val="0"/>
          <c:extLst>
            <c:ext xmlns:c16="http://schemas.microsoft.com/office/drawing/2014/chart" uri="{C3380CC4-5D6E-409C-BE32-E72D297353CC}">
              <c16:uniqueId val="{00000001-09AF-4129-A934-B0A8BA611A80}"/>
            </c:ext>
          </c:extLst>
        </c:ser>
        <c:ser>
          <c:idx val="2"/>
          <c:order val="2"/>
          <c:tx>
            <c:strRef>
              <c:f>'Chart 2 OA Throughput (2)'!$D$2</c:f>
              <c:strCache>
                <c:ptCount val="1"/>
                <c:pt idx="0">
                  <c:v>Completed</c:v>
                </c:pt>
              </c:strCache>
            </c:strRef>
          </c:tx>
          <c:spPr>
            <a:ln w="12700">
              <a:solidFill>
                <a:srgbClr val="800000"/>
              </a:solidFill>
              <a:prstDash val="solid"/>
            </a:ln>
          </c:spPr>
          <c:marker>
            <c:symbol val="triangle"/>
            <c:size val="4"/>
            <c:spPr>
              <a:solidFill>
                <a:srgbClr val="800000"/>
              </a:solidFill>
              <a:ln>
                <a:solidFill>
                  <a:srgbClr val="800000"/>
                </a:solidFill>
                <a:prstDash val="solid"/>
              </a:ln>
            </c:spPr>
          </c:marker>
          <c:cat>
            <c:numRef>
              <c:f>'Chart 2 OA Throughput (2)'!$A$4:$A$13</c:f>
              <c:numCache>
                <c:formatCode>mmm\-yy</c:formatCode>
                <c:ptCount val="10"/>
                <c:pt idx="0">
                  <c:v>40695</c:v>
                </c:pt>
                <c:pt idx="1">
                  <c:v>41061</c:v>
                </c:pt>
                <c:pt idx="2">
                  <c:v>41426</c:v>
                </c:pt>
                <c:pt idx="3">
                  <c:v>41791</c:v>
                </c:pt>
                <c:pt idx="4">
                  <c:v>42156</c:v>
                </c:pt>
                <c:pt idx="5">
                  <c:v>42522</c:v>
                </c:pt>
                <c:pt idx="6">
                  <c:v>42887</c:v>
                </c:pt>
                <c:pt idx="7">
                  <c:v>43252</c:v>
                </c:pt>
                <c:pt idx="8">
                  <c:v>43617</c:v>
                </c:pt>
                <c:pt idx="9">
                  <c:v>43983</c:v>
                </c:pt>
              </c:numCache>
            </c:numRef>
          </c:cat>
          <c:val>
            <c:numRef>
              <c:f>'Chart 2 OA Throughput (2)'!$D$4:$D$13</c:f>
              <c:numCache>
                <c:formatCode>General</c:formatCode>
                <c:ptCount val="10"/>
                <c:pt idx="0">
                  <c:v>6411</c:v>
                </c:pt>
                <c:pt idx="1">
                  <c:v>2383</c:v>
                </c:pt>
                <c:pt idx="2" formatCode="#,##0">
                  <c:v>2878</c:v>
                </c:pt>
                <c:pt idx="3" formatCode="#,##0">
                  <c:v>2510</c:v>
                </c:pt>
                <c:pt idx="4" formatCode="#,##0">
                  <c:v>2226</c:v>
                </c:pt>
                <c:pt idx="5" formatCode="#,##0">
                  <c:v>2241</c:v>
                </c:pt>
                <c:pt idx="6" formatCode="#,##0">
                  <c:v>2285</c:v>
                </c:pt>
                <c:pt idx="7" formatCode="#,##0">
                  <c:v>2398</c:v>
                </c:pt>
                <c:pt idx="8" formatCode="#,##0">
                  <c:v>2355</c:v>
                </c:pt>
                <c:pt idx="9" formatCode="#,##0">
                  <c:v>2665</c:v>
                </c:pt>
              </c:numCache>
            </c:numRef>
          </c:val>
          <c:smooth val="0"/>
          <c:extLst>
            <c:ext xmlns:c16="http://schemas.microsoft.com/office/drawing/2014/chart" uri="{C3380CC4-5D6E-409C-BE32-E72D297353CC}">
              <c16:uniqueId val="{00000002-09AF-4129-A934-B0A8BA611A80}"/>
            </c:ext>
          </c:extLst>
        </c:ser>
        <c:ser>
          <c:idx val="3"/>
          <c:order val="3"/>
          <c:tx>
            <c:strRef>
              <c:f>'Chart 2 OA Throughput (2)'!$E$2</c:f>
              <c:strCache>
                <c:ptCount val="1"/>
                <c:pt idx="0">
                  <c:v>On Hand at Year End</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'Chart 2 OA Throughput (2)'!$A$4:$A$13</c:f>
              <c:numCache>
                <c:formatCode>mmm\-yy</c:formatCode>
                <c:ptCount val="10"/>
                <c:pt idx="0">
                  <c:v>40695</c:v>
                </c:pt>
                <c:pt idx="1">
                  <c:v>41061</c:v>
                </c:pt>
                <c:pt idx="2">
                  <c:v>41426</c:v>
                </c:pt>
                <c:pt idx="3">
                  <c:v>41791</c:v>
                </c:pt>
                <c:pt idx="4">
                  <c:v>42156</c:v>
                </c:pt>
                <c:pt idx="5">
                  <c:v>42522</c:v>
                </c:pt>
                <c:pt idx="6">
                  <c:v>42887</c:v>
                </c:pt>
                <c:pt idx="7">
                  <c:v>43252</c:v>
                </c:pt>
                <c:pt idx="8">
                  <c:v>43617</c:v>
                </c:pt>
                <c:pt idx="9">
                  <c:v>43983</c:v>
                </c:pt>
              </c:numCache>
            </c:numRef>
          </c:cat>
          <c:val>
            <c:numRef>
              <c:f>'Chart 2 OA Throughput (2)'!$E$4:$E$13</c:f>
              <c:numCache>
                <c:formatCode>General</c:formatCode>
                <c:ptCount val="10"/>
                <c:pt idx="0">
                  <c:v>735</c:v>
                </c:pt>
                <c:pt idx="1">
                  <c:v>803</c:v>
                </c:pt>
                <c:pt idx="2">
                  <c:v>687</c:v>
                </c:pt>
                <c:pt idx="3">
                  <c:v>647</c:v>
                </c:pt>
                <c:pt idx="4">
                  <c:v>727</c:v>
                </c:pt>
                <c:pt idx="5">
                  <c:v>542</c:v>
                </c:pt>
                <c:pt idx="6">
                  <c:v>430</c:v>
                </c:pt>
                <c:pt idx="7">
                  <c:v>296</c:v>
                </c:pt>
                <c:pt idx="8">
                  <c:v>354</c:v>
                </c:pt>
                <c:pt idx="9">
                  <c:v>500</c:v>
                </c:pt>
              </c:numCache>
            </c:numRef>
          </c:val>
          <c:smooth val="0"/>
          <c:extLst>
            <c:ext xmlns:c16="http://schemas.microsoft.com/office/drawing/2014/chart" uri="{C3380CC4-5D6E-409C-BE32-E72D297353CC}">
              <c16:uniqueId val="{00000003-09AF-4129-A934-B0A8BA611A80}"/>
            </c:ext>
          </c:extLst>
        </c:ser>
        <c:dLbls>
          <c:showLegendKey val="0"/>
          <c:showVal val="0"/>
          <c:showCatName val="0"/>
          <c:showSerName val="0"/>
          <c:showPercent val="0"/>
          <c:showBubbleSize val="0"/>
        </c:dLbls>
        <c:marker val="1"/>
        <c:smooth val="0"/>
        <c:axId val="204555888"/>
        <c:axId val="1"/>
      </c:lineChart>
      <c:catAx>
        <c:axId val="204555888"/>
        <c:scaling>
          <c:orientation val="minMax"/>
        </c:scaling>
        <c:delete val="0"/>
        <c:axPos val="b"/>
        <c:numFmt formatCode="mmm\-yy" sourceLinked="1"/>
        <c:majorTickMark val="cross"/>
        <c:minorTickMark val="none"/>
        <c:tickLblPos val="nextTo"/>
        <c:txPr>
          <a:bodyPr rot="0" vert="horz"/>
          <a:lstStyle/>
          <a:p>
            <a:pPr>
              <a:defRPr/>
            </a:pPr>
            <a:endParaRPr lang="en-US"/>
          </a:p>
        </c:txPr>
        <c:crossAx val="1"/>
        <c:crosses val="autoZero"/>
        <c:auto val="0"/>
        <c:lblAlgn val="ctr"/>
        <c:lblOffset val="100"/>
        <c:tickLblSkip val="1"/>
        <c:tickMarkSkip val="1"/>
        <c:noMultiLvlLbl val="0"/>
      </c:catAx>
      <c:valAx>
        <c:axId val="1"/>
        <c:scaling>
          <c:orientation val="minMax"/>
        </c:scaling>
        <c:delete val="0"/>
        <c:axPos val="l"/>
        <c:majorGridlines>
          <c:spPr>
            <a:ln w="3175">
              <a:solidFill>
                <a:srgbClr val="000000"/>
              </a:solidFill>
              <a:prstDash val="sysDash"/>
            </a:ln>
          </c:spPr>
        </c:majorGridlines>
        <c:title>
          <c:tx>
            <c:rich>
              <a:bodyPr/>
              <a:lstStyle/>
              <a:p>
                <a:pPr>
                  <a:defRPr sz="900" b="0" i="0" u="none" strike="noStrike" baseline="0">
                    <a:solidFill>
                      <a:srgbClr val="000000"/>
                    </a:solidFill>
                    <a:latin typeface="Arial"/>
                    <a:ea typeface="Arial"/>
                    <a:cs typeface="Arial"/>
                  </a:defRPr>
                </a:pPr>
                <a:r>
                  <a:rPr lang="en-NZ"/>
                  <a:t>Number of complaints</a:t>
                </a:r>
              </a:p>
            </c:rich>
          </c:tx>
          <c:layout>
            <c:manualLayout>
              <c:xMode val="edge"/>
              <c:yMode val="edge"/>
              <c:x val="3.2258156109724691E-2"/>
              <c:y val="0.2577326803221762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4555888"/>
        <c:crosses val="autoZero"/>
        <c:crossBetween val="midCat"/>
      </c:valAx>
      <c:spPr>
        <a:noFill/>
        <a:ln w="12700">
          <a:solidFill>
            <a:srgbClr val="FFFFFF"/>
          </a:solidFill>
          <a:prstDash val="solid"/>
        </a:ln>
      </c:spPr>
    </c:plotArea>
    <c:legend>
      <c:legendPos val="r"/>
      <c:layout>
        <c:manualLayout>
          <c:xMode val="edge"/>
          <c:yMode val="edge"/>
          <c:x val="0.20689667900765188"/>
          <c:y val="0.89519062694482776"/>
          <c:w val="0.7085874006103009"/>
          <c:h val="8.9347079037800703E-2"/>
        </c:manualLayout>
      </c:layout>
      <c:overlay val="0"/>
      <c:spPr>
        <a:solidFill>
          <a:srgbClr val="FFFFFF"/>
        </a:solidFill>
        <a:ln w="3175">
          <a:solidFill>
            <a:srgbClr val="FFFFFF"/>
          </a:solidFill>
          <a:prstDash val="solid"/>
        </a:ln>
      </c:spPr>
      <c:txPr>
        <a:bodyPr/>
        <a:lstStyle/>
        <a:p>
          <a:pPr>
            <a:defRPr sz="75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38572001781686"/>
          <c:y val="0.16967538934769388"/>
          <c:w val="0.77227389353329434"/>
          <c:h val="0.62024478898900515"/>
        </c:manualLayout>
      </c:layout>
      <c:lineChart>
        <c:grouping val="standard"/>
        <c:varyColors val="0"/>
        <c:ser>
          <c:idx val="0"/>
          <c:order val="0"/>
          <c:tx>
            <c:strRef>
              <c:f>'CHART 3 OIA Throughput'!$B$2</c:f>
              <c:strCache>
                <c:ptCount val="1"/>
                <c:pt idx="0">
                  <c:v>Received</c:v>
                </c:pt>
              </c:strCache>
            </c:strRef>
          </c:tx>
          <c:spPr>
            <a:ln w="12700">
              <a:solidFill>
                <a:srgbClr val="0080C0"/>
              </a:solidFill>
              <a:prstDash val="solid"/>
            </a:ln>
          </c:spPr>
          <c:marker>
            <c:symbol val="diamond"/>
            <c:size val="5"/>
            <c:spPr>
              <a:solidFill>
                <a:srgbClr val="0070C0"/>
              </a:solidFill>
              <a:ln>
                <a:solidFill>
                  <a:srgbClr val="0080C0"/>
                </a:solidFill>
                <a:prstDash val="solid"/>
              </a:ln>
            </c:spPr>
          </c:marker>
          <c:cat>
            <c:numRef>
              <c:f>'CHART 3 OIA Throughput'!$A$4:$A$13</c:f>
              <c:numCache>
                <c:formatCode>mmm\-yy</c:formatCode>
                <c:ptCount val="10"/>
                <c:pt idx="0">
                  <c:v>40695</c:v>
                </c:pt>
                <c:pt idx="1">
                  <c:v>41061</c:v>
                </c:pt>
                <c:pt idx="2">
                  <c:v>41426</c:v>
                </c:pt>
                <c:pt idx="3">
                  <c:v>41791</c:v>
                </c:pt>
                <c:pt idx="4">
                  <c:v>42156</c:v>
                </c:pt>
                <c:pt idx="5">
                  <c:v>42522</c:v>
                </c:pt>
                <c:pt idx="6">
                  <c:v>42887</c:v>
                </c:pt>
                <c:pt idx="7">
                  <c:v>43252</c:v>
                </c:pt>
                <c:pt idx="8">
                  <c:v>43617</c:v>
                </c:pt>
                <c:pt idx="9">
                  <c:v>43983</c:v>
                </c:pt>
              </c:numCache>
            </c:numRef>
          </c:cat>
          <c:val>
            <c:numRef>
              <c:f>'CHART 3 OIA Throughput'!$B$4:$B$13</c:f>
              <c:numCache>
                <c:formatCode>General</c:formatCode>
                <c:ptCount val="10"/>
                <c:pt idx="0">
                  <c:v>992</c:v>
                </c:pt>
                <c:pt idx="1">
                  <c:v>1236</c:v>
                </c:pt>
                <c:pt idx="2">
                  <c:v>2373</c:v>
                </c:pt>
                <c:pt idx="3">
                  <c:v>1207</c:v>
                </c:pt>
                <c:pt idx="4">
                  <c:v>1090</c:v>
                </c:pt>
                <c:pt idx="5">
                  <c:v>1100</c:v>
                </c:pt>
                <c:pt idx="6" formatCode="#,##0">
                  <c:v>1174</c:v>
                </c:pt>
                <c:pt idx="7" formatCode="#,##0">
                  <c:v>1378</c:v>
                </c:pt>
                <c:pt idx="8">
                  <c:v>1901</c:v>
                </c:pt>
                <c:pt idx="9">
                  <c:v>1329</c:v>
                </c:pt>
              </c:numCache>
            </c:numRef>
          </c:val>
          <c:smooth val="0"/>
          <c:extLst>
            <c:ext xmlns:c16="http://schemas.microsoft.com/office/drawing/2014/chart" uri="{C3380CC4-5D6E-409C-BE32-E72D297353CC}">
              <c16:uniqueId val="{00000000-4B91-44DA-877D-D6652A1F9072}"/>
            </c:ext>
          </c:extLst>
        </c:ser>
        <c:ser>
          <c:idx val="1"/>
          <c:order val="1"/>
          <c:tx>
            <c:strRef>
              <c:f>'CHART 3 OIA Throughput'!$C$2</c:f>
              <c:strCache>
                <c:ptCount val="1"/>
                <c:pt idx="0">
                  <c:v>Under Action in the Year</c:v>
                </c:pt>
              </c:strCache>
            </c:strRef>
          </c:tx>
          <c:spPr>
            <a:ln w="12700">
              <a:solidFill>
                <a:srgbClr val="339933"/>
              </a:solidFill>
              <a:prstDash val="solid"/>
            </a:ln>
          </c:spPr>
          <c:marker>
            <c:symbol val="square"/>
            <c:size val="4"/>
            <c:spPr>
              <a:solidFill>
                <a:srgbClr val="00B050"/>
              </a:solidFill>
              <a:ln>
                <a:solidFill>
                  <a:srgbClr val="339933"/>
                </a:solidFill>
                <a:prstDash val="solid"/>
              </a:ln>
            </c:spPr>
          </c:marker>
          <c:cat>
            <c:numRef>
              <c:f>'CHART 3 OIA Throughput'!$A$4:$A$13</c:f>
              <c:numCache>
                <c:formatCode>mmm\-yy</c:formatCode>
                <c:ptCount val="10"/>
                <c:pt idx="0">
                  <c:v>40695</c:v>
                </c:pt>
                <c:pt idx="1">
                  <c:v>41061</c:v>
                </c:pt>
                <c:pt idx="2">
                  <c:v>41426</c:v>
                </c:pt>
                <c:pt idx="3">
                  <c:v>41791</c:v>
                </c:pt>
                <c:pt idx="4">
                  <c:v>42156</c:v>
                </c:pt>
                <c:pt idx="5">
                  <c:v>42522</c:v>
                </c:pt>
                <c:pt idx="6">
                  <c:v>42887</c:v>
                </c:pt>
                <c:pt idx="7">
                  <c:v>43252</c:v>
                </c:pt>
                <c:pt idx="8">
                  <c:v>43617</c:v>
                </c:pt>
                <c:pt idx="9">
                  <c:v>43983</c:v>
                </c:pt>
              </c:numCache>
            </c:numRef>
          </c:cat>
          <c:val>
            <c:numRef>
              <c:f>'CHART 3 OIA Throughput'!$C$4:$C$13</c:f>
              <c:numCache>
                <c:formatCode>General</c:formatCode>
                <c:ptCount val="10"/>
                <c:pt idx="0">
                  <c:v>1542</c:v>
                </c:pt>
                <c:pt idx="1">
                  <c:v>1740</c:v>
                </c:pt>
                <c:pt idx="2">
                  <c:v>3040</c:v>
                </c:pt>
                <c:pt idx="3">
                  <c:v>2338</c:v>
                </c:pt>
                <c:pt idx="4">
                  <c:v>1798</c:v>
                </c:pt>
                <c:pt idx="5">
                  <c:v>1933</c:v>
                </c:pt>
                <c:pt idx="6">
                  <c:v>2022</c:v>
                </c:pt>
                <c:pt idx="7" formatCode="#,##0">
                  <c:v>2025</c:v>
                </c:pt>
                <c:pt idx="8">
                  <c:v>2328</c:v>
                </c:pt>
                <c:pt idx="9">
                  <c:v>1798</c:v>
                </c:pt>
              </c:numCache>
            </c:numRef>
          </c:val>
          <c:smooth val="0"/>
          <c:extLst>
            <c:ext xmlns:c16="http://schemas.microsoft.com/office/drawing/2014/chart" uri="{C3380CC4-5D6E-409C-BE32-E72D297353CC}">
              <c16:uniqueId val="{00000001-4B91-44DA-877D-D6652A1F9072}"/>
            </c:ext>
          </c:extLst>
        </c:ser>
        <c:ser>
          <c:idx val="2"/>
          <c:order val="2"/>
          <c:tx>
            <c:strRef>
              <c:f>'CHART 3 OIA Throughput'!$D$2</c:f>
              <c:strCache>
                <c:ptCount val="1"/>
                <c:pt idx="0">
                  <c:v>Completed</c:v>
                </c:pt>
              </c:strCache>
            </c:strRef>
          </c:tx>
          <c:spPr>
            <a:ln w="12700">
              <a:solidFill>
                <a:srgbClr val="800000"/>
              </a:solidFill>
              <a:prstDash val="solid"/>
            </a:ln>
          </c:spPr>
          <c:marker>
            <c:symbol val="triangle"/>
            <c:size val="4"/>
            <c:spPr>
              <a:solidFill>
                <a:srgbClr val="800000"/>
              </a:solidFill>
              <a:ln>
                <a:solidFill>
                  <a:srgbClr val="800000"/>
                </a:solidFill>
                <a:prstDash val="solid"/>
              </a:ln>
            </c:spPr>
          </c:marker>
          <c:cat>
            <c:numRef>
              <c:f>'CHART 3 OIA Throughput'!$A$4:$A$13</c:f>
              <c:numCache>
                <c:formatCode>mmm\-yy</c:formatCode>
                <c:ptCount val="10"/>
                <c:pt idx="0">
                  <c:v>40695</c:v>
                </c:pt>
                <c:pt idx="1">
                  <c:v>41061</c:v>
                </c:pt>
                <c:pt idx="2">
                  <c:v>41426</c:v>
                </c:pt>
                <c:pt idx="3">
                  <c:v>41791</c:v>
                </c:pt>
                <c:pt idx="4">
                  <c:v>42156</c:v>
                </c:pt>
                <c:pt idx="5">
                  <c:v>42522</c:v>
                </c:pt>
                <c:pt idx="6">
                  <c:v>42887</c:v>
                </c:pt>
                <c:pt idx="7">
                  <c:v>43252</c:v>
                </c:pt>
                <c:pt idx="8">
                  <c:v>43617</c:v>
                </c:pt>
                <c:pt idx="9">
                  <c:v>43983</c:v>
                </c:pt>
              </c:numCache>
            </c:numRef>
          </c:cat>
          <c:val>
            <c:numRef>
              <c:f>'CHART 3 OIA Throughput'!$D$4:$D$13</c:f>
              <c:numCache>
                <c:formatCode>General</c:formatCode>
                <c:ptCount val="10"/>
                <c:pt idx="0">
                  <c:v>1038</c:v>
                </c:pt>
                <c:pt idx="1">
                  <c:v>1076</c:v>
                </c:pt>
                <c:pt idx="2">
                  <c:v>1912</c:v>
                </c:pt>
                <c:pt idx="3">
                  <c:v>1623</c:v>
                </c:pt>
                <c:pt idx="4">
                  <c:v>960</c:v>
                </c:pt>
                <c:pt idx="5">
                  <c:v>1084</c:v>
                </c:pt>
                <c:pt idx="6">
                  <c:v>1375</c:v>
                </c:pt>
                <c:pt idx="7" formatCode="#,##0">
                  <c:v>1598</c:v>
                </c:pt>
                <c:pt idx="8">
                  <c:v>1859</c:v>
                </c:pt>
                <c:pt idx="9">
                  <c:v>1371</c:v>
                </c:pt>
              </c:numCache>
            </c:numRef>
          </c:val>
          <c:smooth val="0"/>
          <c:extLst>
            <c:ext xmlns:c16="http://schemas.microsoft.com/office/drawing/2014/chart" uri="{C3380CC4-5D6E-409C-BE32-E72D297353CC}">
              <c16:uniqueId val="{00000002-4B91-44DA-877D-D6652A1F9072}"/>
            </c:ext>
          </c:extLst>
        </c:ser>
        <c:ser>
          <c:idx val="3"/>
          <c:order val="3"/>
          <c:tx>
            <c:strRef>
              <c:f>'CHART 3 OIA Throughput'!$E$2</c:f>
              <c:strCache>
                <c:ptCount val="1"/>
                <c:pt idx="0">
                  <c:v>On Hand at Year End</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'CHART 3 OIA Throughput'!$A$4:$A$13</c:f>
              <c:numCache>
                <c:formatCode>mmm\-yy</c:formatCode>
                <c:ptCount val="10"/>
                <c:pt idx="0">
                  <c:v>40695</c:v>
                </c:pt>
                <c:pt idx="1">
                  <c:v>41061</c:v>
                </c:pt>
                <c:pt idx="2">
                  <c:v>41426</c:v>
                </c:pt>
                <c:pt idx="3">
                  <c:v>41791</c:v>
                </c:pt>
                <c:pt idx="4">
                  <c:v>42156</c:v>
                </c:pt>
                <c:pt idx="5">
                  <c:v>42522</c:v>
                </c:pt>
                <c:pt idx="6">
                  <c:v>42887</c:v>
                </c:pt>
                <c:pt idx="7">
                  <c:v>43252</c:v>
                </c:pt>
                <c:pt idx="8">
                  <c:v>43617</c:v>
                </c:pt>
                <c:pt idx="9">
                  <c:v>43983</c:v>
                </c:pt>
              </c:numCache>
            </c:numRef>
          </c:cat>
          <c:val>
            <c:numRef>
              <c:f>'CHART 3 OIA Throughput'!$E$4:$E$13</c:f>
              <c:numCache>
                <c:formatCode>General</c:formatCode>
                <c:ptCount val="10"/>
                <c:pt idx="0">
                  <c:v>504</c:v>
                </c:pt>
                <c:pt idx="1">
                  <c:v>664</c:v>
                </c:pt>
                <c:pt idx="2">
                  <c:v>1129</c:v>
                </c:pt>
                <c:pt idx="3">
                  <c:v>712</c:v>
                </c:pt>
                <c:pt idx="4">
                  <c:v>838</c:v>
                </c:pt>
                <c:pt idx="5">
                  <c:v>849</c:v>
                </c:pt>
                <c:pt idx="6">
                  <c:v>647</c:v>
                </c:pt>
                <c:pt idx="7">
                  <c:v>427</c:v>
                </c:pt>
                <c:pt idx="8">
                  <c:v>469</c:v>
                </c:pt>
                <c:pt idx="9">
                  <c:v>428</c:v>
                </c:pt>
              </c:numCache>
            </c:numRef>
          </c:val>
          <c:smooth val="0"/>
          <c:extLst>
            <c:ext xmlns:c16="http://schemas.microsoft.com/office/drawing/2014/chart" uri="{C3380CC4-5D6E-409C-BE32-E72D297353CC}">
              <c16:uniqueId val="{00000003-4B91-44DA-877D-D6652A1F9072}"/>
            </c:ext>
          </c:extLst>
        </c:ser>
        <c:dLbls>
          <c:showLegendKey val="0"/>
          <c:showVal val="0"/>
          <c:showCatName val="0"/>
          <c:showSerName val="0"/>
          <c:showPercent val="0"/>
          <c:showBubbleSize val="0"/>
        </c:dLbls>
        <c:marker val="1"/>
        <c:smooth val="0"/>
        <c:axId val="204563760"/>
        <c:axId val="1"/>
      </c:lineChart>
      <c:catAx>
        <c:axId val="204563760"/>
        <c:scaling>
          <c:orientation val="minMax"/>
        </c:scaling>
        <c:delete val="0"/>
        <c:axPos val="b"/>
        <c:numFmt formatCode="mmm\-yy" sourceLinked="1"/>
        <c:majorTickMark val="cross"/>
        <c:minorTickMark val="none"/>
        <c:tickLblPos val="nextTo"/>
        <c:txPr>
          <a:bodyPr rot="0" vert="horz"/>
          <a:lstStyle/>
          <a:p>
            <a:pPr>
              <a:defRPr/>
            </a:pPr>
            <a:endParaRPr lang="en-US"/>
          </a:p>
        </c:txPr>
        <c:crossAx val="1"/>
        <c:crosses val="autoZero"/>
        <c:auto val="0"/>
        <c:lblAlgn val="ctr"/>
        <c:lblOffset val="100"/>
        <c:tickLblSkip val="1"/>
        <c:tickMarkSkip val="1"/>
        <c:noMultiLvlLbl val="0"/>
      </c:catAx>
      <c:valAx>
        <c:axId val="1"/>
        <c:scaling>
          <c:orientation val="minMax"/>
        </c:scaling>
        <c:delete val="0"/>
        <c:axPos val="l"/>
        <c:majorGridlines>
          <c:spPr>
            <a:ln w="3175">
              <a:solidFill>
                <a:srgbClr val="000000"/>
              </a:solidFill>
              <a:prstDash val="sysDash"/>
            </a:ln>
          </c:spPr>
        </c:majorGridlines>
        <c:title>
          <c:tx>
            <c:rich>
              <a:bodyPr/>
              <a:lstStyle/>
              <a:p>
                <a:pPr>
                  <a:defRPr sz="900" b="0" i="0" u="none" strike="noStrike" baseline="0">
                    <a:solidFill>
                      <a:srgbClr val="000000"/>
                    </a:solidFill>
                    <a:latin typeface="Arial"/>
                    <a:ea typeface="Arial"/>
                    <a:cs typeface="Arial"/>
                  </a:defRPr>
                </a:pPr>
                <a:r>
                  <a:rPr lang="en-NZ"/>
                  <a:t>Number of complaints</a:t>
                </a:r>
              </a:p>
            </c:rich>
          </c:tx>
          <c:layout>
            <c:manualLayout>
              <c:xMode val="edge"/>
              <c:yMode val="edge"/>
              <c:x val="3.2258156109724691E-2"/>
              <c:y val="0.2577326803221762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04563760"/>
        <c:crosses val="autoZero"/>
        <c:crossBetween val="midCat"/>
      </c:valAx>
      <c:spPr>
        <a:noFill/>
        <a:ln w="12700">
          <a:solidFill>
            <a:srgbClr val="FFFFFF"/>
          </a:solidFill>
          <a:prstDash val="solid"/>
        </a:ln>
      </c:spPr>
    </c:plotArea>
    <c:legend>
      <c:legendPos val="r"/>
      <c:layout>
        <c:manualLayout>
          <c:xMode val="edge"/>
          <c:yMode val="edge"/>
          <c:x val="0.20689667900765188"/>
          <c:y val="0.89519062694482776"/>
          <c:w val="0.7085874006103009"/>
          <c:h val="8.9347079037800703E-2"/>
        </c:manualLayout>
      </c:layout>
      <c:overlay val="0"/>
      <c:spPr>
        <a:solidFill>
          <a:srgbClr val="FFFFFF"/>
        </a:solidFill>
        <a:ln w="3175">
          <a:solidFill>
            <a:srgbClr val="FFFFFF"/>
          </a:solidFill>
          <a:prstDash val="solid"/>
        </a:ln>
      </c:spPr>
      <c:txPr>
        <a:bodyPr/>
        <a:lstStyle/>
        <a:p>
          <a:pPr>
            <a:defRPr sz="75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38572001781686"/>
          <c:y val="0.16967538934769388"/>
          <c:w val="0.77227389353329434"/>
          <c:h val="0.62024478898900515"/>
        </c:manualLayout>
      </c:layout>
      <c:lineChart>
        <c:grouping val="standard"/>
        <c:varyColors val="0"/>
        <c:ser>
          <c:idx val="0"/>
          <c:order val="0"/>
          <c:tx>
            <c:strRef>
              <c:f>'CHART 4 LGOIMA Throughput'!$B$2</c:f>
              <c:strCache>
                <c:ptCount val="1"/>
                <c:pt idx="0">
                  <c:v>Received</c:v>
                </c:pt>
              </c:strCache>
            </c:strRef>
          </c:tx>
          <c:spPr>
            <a:ln w="12700">
              <a:solidFill>
                <a:srgbClr val="0080C0"/>
              </a:solidFill>
              <a:prstDash val="solid"/>
            </a:ln>
          </c:spPr>
          <c:marker>
            <c:symbol val="diamond"/>
            <c:size val="5"/>
            <c:spPr>
              <a:solidFill>
                <a:srgbClr val="0070C0"/>
              </a:solidFill>
              <a:ln>
                <a:solidFill>
                  <a:srgbClr val="0080C0"/>
                </a:solidFill>
                <a:prstDash val="solid"/>
              </a:ln>
            </c:spPr>
          </c:marker>
          <c:cat>
            <c:numRef>
              <c:f>'CHART 4 LGOIMA Throughput'!$A$4:$A$13</c:f>
              <c:numCache>
                <c:formatCode>mmm\-yy</c:formatCode>
                <c:ptCount val="10"/>
                <c:pt idx="0">
                  <c:v>40695</c:v>
                </c:pt>
                <c:pt idx="1">
                  <c:v>41061</c:v>
                </c:pt>
                <c:pt idx="2">
                  <c:v>41426</c:v>
                </c:pt>
                <c:pt idx="3">
                  <c:v>41791</c:v>
                </c:pt>
                <c:pt idx="4">
                  <c:v>42156</c:v>
                </c:pt>
                <c:pt idx="5">
                  <c:v>42522</c:v>
                </c:pt>
                <c:pt idx="6">
                  <c:v>42887</c:v>
                </c:pt>
                <c:pt idx="7">
                  <c:v>43252</c:v>
                </c:pt>
                <c:pt idx="8">
                  <c:v>43617</c:v>
                </c:pt>
                <c:pt idx="9">
                  <c:v>43983</c:v>
                </c:pt>
              </c:numCache>
            </c:numRef>
          </c:cat>
          <c:val>
            <c:numRef>
              <c:f>'CHART 4 LGOIMA Throughput'!$B$4:$B$13</c:f>
              <c:numCache>
                <c:formatCode>General</c:formatCode>
                <c:ptCount val="10"/>
                <c:pt idx="0">
                  <c:v>256</c:v>
                </c:pt>
                <c:pt idx="1">
                  <c:v>268</c:v>
                </c:pt>
                <c:pt idx="2">
                  <c:v>271</c:v>
                </c:pt>
                <c:pt idx="3">
                  <c:v>246</c:v>
                </c:pt>
                <c:pt idx="4">
                  <c:v>240</c:v>
                </c:pt>
                <c:pt idx="5">
                  <c:v>240</c:v>
                </c:pt>
                <c:pt idx="6">
                  <c:v>248</c:v>
                </c:pt>
                <c:pt idx="7">
                  <c:v>299</c:v>
                </c:pt>
                <c:pt idx="8">
                  <c:v>364</c:v>
                </c:pt>
                <c:pt idx="9">
                  <c:v>354</c:v>
                </c:pt>
              </c:numCache>
            </c:numRef>
          </c:val>
          <c:smooth val="0"/>
          <c:extLst>
            <c:ext xmlns:c16="http://schemas.microsoft.com/office/drawing/2014/chart" uri="{C3380CC4-5D6E-409C-BE32-E72D297353CC}">
              <c16:uniqueId val="{00000000-74C9-4266-8BB8-1128F7F6689F}"/>
            </c:ext>
          </c:extLst>
        </c:ser>
        <c:ser>
          <c:idx val="1"/>
          <c:order val="1"/>
          <c:tx>
            <c:strRef>
              <c:f>'CHART 4 LGOIMA Throughput'!$C$2</c:f>
              <c:strCache>
                <c:ptCount val="1"/>
                <c:pt idx="0">
                  <c:v>Under Action in the Year</c:v>
                </c:pt>
              </c:strCache>
            </c:strRef>
          </c:tx>
          <c:spPr>
            <a:ln w="12700">
              <a:solidFill>
                <a:srgbClr val="339933"/>
              </a:solidFill>
              <a:prstDash val="solid"/>
            </a:ln>
          </c:spPr>
          <c:marker>
            <c:symbol val="square"/>
            <c:size val="4"/>
            <c:spPr>
              <a:solidFill>
                <a:srgbClr val="00B050"/>
              </a:solidFill>
              <a:ln>
                <a:solidFill>
                  <a:srgbClr val="339933"/>
                </a:solidFill>
                <a:prstDash val="solid"/>
              </a:ln>
            </c:spPr>
          </c:marker>
          <c:cat>
            <c:numRef>
              <c:f>'CHART 4 LGOIMA Throughput'!$A$4:$A$13</c:f>
              <c:numCache>
                <c:formatCode>mmm\-yy</c:formatCode>
                <c:ptCount val="10"/>
                <c:pt idx="0">
                  <c:v>40695</c:v>
                </c:pt>
                <c:pt idx="1">
                  <c:v>41061</c:v>
                </c:pt>
                <c:pt idx="2">
                  <c:v>41426</c:v>
                </c:pt>
                <c:pt idx="3">
                  <c:v>41791</c:v>
                </c:pt>
                <c:pt idx="4">
                  <c:v>42156</c:v>
                </c:pt>
                <c:pt idx="5">
                  <c:v>42522</c:v>
                </c:pt>
                <c:pt idx="6">
                  <c:v>42887</c:v>
                </c:pt>
                <c:pt idx="7">
                  <c:v>43252</c:v>
                </c:pt>
                <c:pt idx="8">
                  <c:v>43617</c:v>
                </c:pt>
                <c:pt idx="9">
                  <c:v>43983</c:v>
                </c:pt>
              </c:numCache>
            </c:numRef>
          </c:cat>
          <c:val>
            <c:numRef>
              <c:f>'CHART 4 LGOIMA Throughput'!$C$4:$C$13</c:f>
              <c:numCache>
                <c:formatCode>General</c:formatCode>
                <c:ptCount val="10"/>
                <c:pt idx="0">
                  <c:v>357</c:v>
                </c:pt>
                <c:pt idx="1">
                  <c:v>354</c:v>
                </c:pt>
                <c:pt idx="2">
                  <c:v>407</c:v>
                </c:pt>
                <c:pt idx="3">
                  <c:v>408</c:v>
                </c:pt>
                <c:pt idx="4">
                  <c:v>414</c:v>
                </c:pt>
                <c:pt idx="5">
                  <c:v>400</c:v>
                </c:pt>
                <c:pt idx="6">
                  <c:v>400</c:v>
                </c:pt>
                <c:pt idx="7">
                  <c:v>488</c:v>
                </c:pt>
                <c:pt idx="8">
                  <c:v>461</c:v>
                </c:pt>
                <c:pt idx="9">
                  <c:v>476</c:v>
                </c:pt>
              </c:numCache>
            </c:numRef>
          </c:val>
          <c:smooth val="0"/>
          <c:extLst>
            <c:ext xmlns:c16="http://schemas.microsoft.com/office/drawing/2014/chart" uri="{C3380CC4-5D6E-409C-BE32-E72D297353CC}">
              <c16:uniqueId val="{00000001-74C9-4266-8BB8-1128F7F6689F}"/>
            </c:ext>
          </c:extLst>
        </c:ser>
        <c:ser>
          <c:idx val="2"/>
          <c:order val="2"/>
          <c:tx>
            <c:strRef>
              <c:f>'CHART 4 LGOIMA Throughput'!$D$2</c:f>
              <c:strCache>
                <c:ptCount val="1"/>
                <c:pt idx="0">
                  <c:v>Completed</c:v>
                </c:pt>
              </c:strCache>
            </c:strRef>
          </c:tx>
          <c:spPr>
            <a:ln w="12700">
              <a:solidFill>
                <a:srgbClr val="800000"/>
              </a:solidFill>
              <a:prstDash val="solid"/>
            </a:ln>
          </c:spPr>
          <c:marker>
            <c:symbol val="triangle"/>
            <c:size val="4"/>
            <c:spPr>
              <a:solidFill>
                <a:srgbClr val="800000"/>
              </a:solidFill>
              <a:ln>
                <a:solidFill>
                  <a:srgbClr val="800000"/>
                </a:solidFill>
                <a:prstDash val="solid"/>
              </a:ln>
            </c:spPr>
          </c:marker>
          <c:cat>
            <c:numRef>
              <c:f>'CHART 4 LGOIMA Throughput'!$A$4:$A$13</c:f>
              <c:numCache>
                <c:formatCode>mmm\-yy</c:formatCode>
                <c:ptCount val="10"/>
                <c:pt idx="0">
                  <c:v>40695</c:v>
                </c:pt>
                <c:pt idx="1">
                  <c:v>41061</c:v>
                </c:pt>
                <c:pt idx="2">
                  <c:v>41426</c:v>
                </c:pt>
                <c:pt idx="3">
                  <c:v>41791</c:v>
                </c:pt>
                <c:pt idx="4">
                  <c:v>42156</c:v>
                </c:pt>
                <c:pt idx="5">
                  <c:v>42522</c:v>
                </c:pt>
                <c:pt idx="6">
                  <c:v>42887</c:v>
                </c:pt>
                <c:pt idx="7">
                  <c:v>43252</c:v>
                </c:pt>
                <c:pt idx="8">
                  <c:v>43617</c:v>
                </c:pt>
                <c:pt idx="9">
                  <c:v>43983</c:v>
                </c:pt>
              </c:numCache>
            </c:numRef>
          </c:cat>
          <c:val>
            <c:numRef>
              <c:f>'CHART 4 LGOIMA Throughput'!$D$4:$D$13</c:f>
              <c:numCache>
                <c:formatCode>General</c:formatCode>
                <c:ptCount val="10"/>
                <c:pt idx="0">
                  <c:v>271</c:v>
                </c:pt>
                <c:pt idx="1">
                  <c:v>217</c:v>
                </c:pt>
                <c:pt idx="2">
                  <c:v>245</c:v>
                </c:pt>
                <c:pt idx="3">
                  <c:v>233</c:v>
                </c:pt>
                <c:pt idx="4">
                  <c:v>253</c:v>
                </c:pt>
                <c:pt idx="5">
                  <c:v>247</c:v>
                </c:pt>
                <c:pt idx="6">
                  <c:v>258</c:v>
                </c:pt>
                <c:pt idx="7">
                  <c:v>344</c:v>
                </c:pt>
                <c:pt idx="8">
                  <c:v>339</c:v>
                </c:pt>
                <c:pt idx="9">
                  <c:v>353</c:v>
                </c:pt>
              </c:numCache>
            </c:numRef>
          </c:val>
          <c:smooth val="0"/>
          <c:extLst>
            <c:ext xmlns:c16="http://schemas.microsoft.com/office/drawing/2014/chart" uri="{C3380CC4-5D6E-409C-BE32-E72D297353CC}">
              <c16:uniqueId val="{00000002-74C9-4266-8BB8-1128F7F6689F}"/>
            </c:ext>
          </c:extLst>
        </c:ser>
        <c:ser>
          <c:idx val="3"/>
          <c:order val="3"/>
          <c:tx>
            <c:strRef>
              <c:f>'CHART 4 LGOIMA Throughput'!$E$2</c:f>
              <c:strCache>
                <c:ptCount val="1"/>
                <c:pt idx="0">
                  <c:v>On Hand at Year End</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'CHART 4 LGOIMA Throughput'!$A$4:$A$13</c:f>
              <c:numCache>
                <c:formatCode>mmm\-yy</c:formatCode>
                <c:ptCount val="10"/>
                <c:pt idx="0">
                  <c:v>40695</c:v>
                </c:pt>
                <c:pt idx="1">
                  <c:v>41061</c:v>
                </c:pt>
                <c:pt idx="2">
                  <c:v>41426</c:v>
                </c:pt>
                <c:pt idx="3">
                  <c:v>41791</c:v>
                </c:pt>
                <c:pt idx="4">
                  <c:v>42156</c:v>
                </c:pt>
                <c:pt idx="5">
                  <c:v>42522</c:v>
                </c:pt>
                <c:pt idx="6">
                  <c:v>42887</c:v>
                </c:pt>
                <c:pt idx="7">
                  <c:v>43252</c:v>
                </c:pt>
                <c:pt idx="8">
                  <c:v>43617</c:v>
                </c:pt>
                <c:pt idx="9">
                  <c:v>43983</c:v>
                </c:pt>
              </c:numCache>
            </c:numRef>
          </c:cat>
          <c:val>
            <c:numRef>
              <c:f>'CHART 4 LGOIMA Throughput'!$E$4:$E$13</c:f>
              <c:numCache>
                <c:formatCode>General</c:formatCode>
                <c:ptCount val="10"/>
                <c:pt idx="0">
                  <c:v>86</c:v>
                </c:pt>
                <c:pt idx="1">
                  <c:v>137</c:v>
                </c:pt>
                <c:pt idx="2">
                  <c:v>162</c:v>
                </c:pt>
                <c:pt idx="3">
                  <c:v>174</c:v>
                </c:pt>
                <c:pt idx="4">
                  <c:v>161</c:v>
                </c:pt>
                <c:pt idx="5">
                  <c:v>153</c:v>
                </c:pt>
                <c:pt idx="6">
                  <c:v>142</c:v>
                </c:pt>
                <c:pt idx="7">
                  <c:v>144</c:v>
                </c:pt>
                <c:pt idx="8">
                  <c:v>122</c:v>
                </c:pt>
                <c:pt idx="9">
                  <c:v>123</c:v>
                </c:pt>
              </c:numCache>
            </c:numRef>
          </c:val>
          <c:smooth val="0"/>
          <c:extLst>
            <c:ext xmlns:c16="http://schemas.microsoft.com/office/drawing/2014/chart" uri="{C3380CC4-5D6E-409C-BE32-E72D297353CC}">
              <c16:uniqueId val="{00000003-74C9-4266-8BB8-1128F7F6689F}"/>
            </c:ext>
          </c:extLst>
        </c:ser>
        <c:dLbls>
          <c:showLegendKey val="0"/>
          <c:showVal val="0"/>
          <c:showCatName val="0"/>
          <c:showSerName val="0"/>
          <c:showPercent val="0"/>
          <c:showBubbleSize val="0"/>
        </c:dLbls>
        <c:marker val="1"/>
        <c:smooth val="0"/>
        <c:axId val="560403008"/>
        <c:axId val="1"/>
      </c:lineChart>
      <c:catAx>
        <c:axId val="560403008"/>
        <c:scaling>
          <c:orientation val="minMax"/>
        </c:scaling>
        <c:delete val="0"/>
        <c:axPos val="b"/>
        <c:numFmt formatCode="mmm\-yy" sourceLinked="1"/>
        <c:majorTickMark val="cross"/>
        <c:minorTickMark val="none"/>
        <c:tickLblPos val="nextTo"/>
        <c:txPr>
          <a:bodyPr rot="0" vert="horz"/>
          <a:lstStyle/>
          <a:p>
            <a:pPr>
              <a:defRPr/>
            </a:pPr>
            <a:endParaRPr lang="en-US"/>
          </a:p>
        </c:txPr>
        <c:crossAx val="1"/>
        <c:crosses val="autoZero"/>
        <c:auto val="0"/>
        <c:lblAlgn val="ctr"/>
        <c:lblOffset val="100"/>
        <c:tickLblSkip val="1"/>
        <c:tickMarkSkip val="1"/>
        <c:noMultiLvlLbl val="0"/>
      </c:catAx>
      <c:valAx>
        <c:axId val="1"/>
        <c:scaling>
          <c:orientation val="minMax"/>
        </c:scaling>
        <c:delete val="0"/>
        <c:axPos val="l"/>
        <c:majorGridlines>
          <c:spPr>
            <a:ln w="3175">
              <a:solidFill>
                <a:srgbClr val="000000"/>
              </a:solidFill>
              <a:prstDash val="sysDash"/>
            </a:ln>
          </c:spPr>
        </c:majorGridlines>
        <c:title>
          <c:tx>
            <c:rich>
              <a:bodyPr/>
              <a:lstStyle/>
              <a:p>
                <a:pPr>
                  <a:defRPr sz="900" b="0" i="0" u="none" strike="noStrike" baseline="0">
                    <a:solidFill>
                      <a:srgbClr val="000000"/>
                    </a:solidFill>
                    <a:latin typeface="Arial"/>
                    <a:ea typeface="Arial"/>
                    <a:cs typeface="Arial"/>
                  </a:defRPr>
                </a:pPr>
                <a:r>
                  <a:rPr lang="en-NZ"/>
                  <a:t>Number of complaints</a:t>
                </a:r>
              </a:p>
            </c:rich>
          </c:tx>
          <c:layout>
            <c:manualLayout>
              <c:xMode val="edge"/>
              <c:yMode val="edge"/>
              <c:x val="3.2258156109724691E-2"/>
              <c:y val="0.2577326803221762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560403008"/>
        <c:crosses val="autoZero"/>
        <c:crossBetween val="midCat"/>
      </c:valAx>
      <c:spPr>
        <a:noFill/>
        <a:ln w="12700">
          <a:solidFill>
            <a:srgbClr val="FFFFFF"/>
          </a:solidFill>
          <a:prstDash val="solid"/>
        </a:ln>
      </c:spPr>
    </c:plotArea>
    <c:legend>
      <c:legendPos val="r"/>
      <c:layout>
        <c:manualLayout>
          <c:xMode val="edge"/>
          <c:yMode val="edge"/>
          <c:x val="0.20689667900765188"/>
          <c:y val="0.89519062694482776"/>
          <c:w val="0.7085874006103009"/>
          <c:h val="8.9347079037800703E-2"/>
        </c:manualLayout>
      </c:layout>
      <c:overlay val="0"/>
      <c:spPr>
        <a:solidFill>
          <a:srgbClr val="FFFFFF"/>
        </a:solidFill>
        <a:ln w="3175">
          <a:solidFill>
            <a:srgbClr val="FFFFFF"/>
          </a:solidFill>
          <a:prstDash val="solid"/>
        </a:ln>
      </c:spPr>
      <c:txPr>
        <a:bodyPr/>
        <a:lstStyle/>
        <a:p>
          <a:pPr>
            <a:defRPr sz="75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38572001781686"/>
          <c:y val="0.16967538934769388"/>
          <c:w val="0.77227389353329434"/>
          <c:h val="0.62024478898900515"/>
        </c:manualLayout>
      </c:layout>
      <c:lineChart>
        <c:grouping val="standard"/>
        <c:varyColors val="0"/>
        <c:ser>
          <c:idx val="0"/>
          <c:order val="0"/>
          <c:tx>
            <c:strRef>
              <c:f>'CHART 5 OC Throughput'!$B$2</c:f>
              <c:strCache>
                <c:ptCount val="1"/>
                <c:pt idx="0">
                  <c:v>Received</c:v>
                </c:pt>
              </c:strCache>
            </c:strRef>
          </c:tx>
          <c:spPr>
            <a:ln w="12700">
              <a:solidFill>
                <a:srgbClr val="0080C0"/>
              </a:solidFill>
              <a:prstDash val="solid"/>
            </a:ln>
          </c:spPr>
          <c:marker>
            <c:symbol val="diamond"/>
            <c:size val="5"/>
            <c:spPr>
              <a:solidFill>
                <a:srgbClr val="0070C0"/>
              </a:solidFill>
              <a:ln>
                <a:solidFill>
                  <a:srgbClr val="0080C0"/>
                </a:solidFill>
                <a:prstDash val="solid"/>
              </a:ln>
            </c:spPr>
          </c:marker>
          <c:cat>
            <c:numRef>
              <c:f>'CHART 5 OC Throughput'!$A$4:$A$13</c:f>
              <c:numCache>
                <c:formatCode>mmm\-yy</c:formatCode>
                <c:ptCount val="10"/>
                <c:pt idx="0">
                  <c:v>40695</c:v>
                </c:pt>
                <c:pt idx="1">
                  <c:v>41061</c:v>
                </c:pt>
                <c:pt idx="2">
                  <c:v>41426</c:v>
                </c:pt>
                <c:pt idx="3">
                  <c:v>41791</c:v>
                </c:pt>
                <c:pt idx="4">
                  <c:v>42156</c:v>
                </c:pt>
                <c:pt idx="5">
                  <c:v>42522</c:v>
                </c:pt>
                <c:pt idx="6">
                  <c:v>42887</c:v>
                </c:pt>
                <c:pt idx="7">
                  <c:v>43252</c:v>
                </c:pt>
                <c:pt idx="8">
                  <c:v>43617</c:v>
                </c:pt>
                <c:pt idx="9">
                  <c:v>43983</c:v>
                </c:pt>
              </c:numCache>
            </c:numRef>
          </c:cat>
          <c:val>
            <c:numRef>
              <c:f>'CHART 5 OC Throughput'!$B$4:$B$13</c:f>
              <c:numCache>
                <c:formatCode>#,##0</c:formatCode>
                <c:ptCount val="10"/>
                <c:pt idx="0" formatCode="General">
                  <c:v>955</c:v>
                </c:pt>
                <c:pt idx="1">
                  <c:v>6491</c:v>
                </c:pt>
                <c:pt idx="2">
                  <c:v>8263</c:v>
                </c:pt>
                <c:pt idx="3">
                  <c:v>7081</c:v>
                </c:pt>
                <c:pt idx="4">
                  <c:v>8480</c:v>
                </c:pt>
                <c:pt idx="5">
                  <c:v>9166</c:v>
                </c:pt>
                <c:pt idx="6">
                  <c:v>8198</c:v>
                </c:pt>
                <c:pt idx="7">
                  <c:v>7475</c:v>
                </c:pt>
                <c:pt idx="8">
                  <c:v>7120</c:v>
                </c:pt>
                <c:pt idx="9">
                  <c:v>7217</c:v>
                </c:pt>
              </c:numCache>
            </c:numRef>
          </c:val>
          <c:smooth val="0"/>
          <c:extLst>
            <c:ext xmlns:c16="http://schemas.microsoft.com/office/drawing/2014/chart" uri="{C3380CC4-5D6E-409C-BE32-E72D297353CC}">
              <c16:uniqueId val="{00000000-E447-4198-AFB2-680FA0C7406B}"/>
            </c:ext>
          </c:extLst>
        </c:ser>
        <c:ser>
          <c:idx val="1"/>
          <c:order val="1"/>
          <c:tx>
            <c:strRef>
              <c:f>'CHART 5 OC Throughput'!$C$2</c:f>
              <c:strCache>
                <c:ptCount val="1"/>
                <c:pt idx="0">
                  <c:v>Under Action in the Year</c:v>
                </c:pt>
              </c:strCache>
            </c:strRef>
          </c:tx>
          <c:spPr>
            <a:ln w="12700">
              <a:solidFill>
                <a:srgbClr val="339933"/>
              </a:solidFill>
              <a:prstDash val="solid"/>
            </a:ln>
          </c:spPr>
          <c:marker>
            <c:symbol val="square"/>
            <c:size val="4"/>
            <c:spPr>
              <a:solidFill>
                <a:srgbClr val="00B050"/>
              </a:solidFill>
              <a:ln>
                <a:solidFill>
                  <a:srgbClr val="339933"/>
                </a:solidFill>
                <a:prstDash val="solid"/>
              </a:ln>
            </c:spPr>
          </c:marker>
          <c:cat>
            <c:numRef>
              <c:f>'CHART 5 OC Throughput'!$A$4:$A$13</c:f>
              <c:numCache>
                <c:formatCode>mmm\-yy</c:formatCode>
                <c:ptCount val="10"/>
                <c:pt idx="0">
                  <c:v>40695</c:v>
                </c:pt>
                <c:pt idx="1">
                  <c:v>41061</c:v>
                </c:pt>
                <c:pt idx="2">
                  <c:v>41426</c:v>
                </c:pt>
                <c:pt idx="3">
                  <c:v>41791</c:v>
                </c:pt>
                <c:pt idx="4">
                  <c:v>42156</c:v>
                </c:pt>
                <c:pt idx="5">
                  <c:v>42522</c:v>
                </c:pt>
                <c:pt idx="6">
                  <c:v>42887</c:v>
                </c:pt>
                <c:pt idx="7">
                  <c:v>43252</c:v>
                </c:pt>
                <c:pt idx="8">
                  <c:v>43617</c:v>
                </c:pt>
                <c:pt idx="9">
                  <c:v>43983</c:v>
                </c:pt>
              </c:numCache>
            </c:numRef>
          </c:cat>
          <c:val>
            <c:numRef>
              <c:f>'CHART 5 OC Throughput'!$C$4:$C$13</c:f>
              <c:numCache>
                <c:formatCode>#,##0</c:formatCode>
                <c:ptCount val="10"/>
                <c:pt idx="0">
                  <c:v>955</c:v>
                </c:pt>
                <c:pt idx="1">
                  <c:v>6497</c:v>
                </c:pt>
                <c:pt idx="2">
                  <c:v>8364</c:v>
                </c:pt>
                <c:pt idx="3">
                  <c:v>7161</c:v>
                </c:pt>
                <c:pt idx="4">
                  <c:v>8530</c:v>
                </c:pt>
                <c:pt idx="5">
                  <c:v>9200</c:v>
                </c:pt>
                <c:pt idx="6">
                  <c:v>8213</c:v>
                </c:pt>
                <c:pt idx="7">
                  <c:v>7520</c:v>
                </c:pt>
                <c:pt idx="8">
                  <c:v>7165</c:v>
                </c:pt>
                <c:pt idx="9">
                  <c:v>7239</c:v>
                </c:pt>
              </c:numCache>
            </c:numRef>
          </c:val>
          <c:smooth val="0"/>
          <c:extLst>
            <c:ext xmlns:c16="http://schemas.microsoft.com/office/drawing/2014/chart" uri="{C3380CC4-5D6E-409C-BE32-E72D297353CC}">
              <c16:uniqueId val="{00000001-E447-4198-AFB2-680FA0C7406B}"/>
            </c:ext>
          </c:extLst>
        </c:ser>
        <c:ser>
          <c:idx val="2"/>
          <c:order val="2"/>
          <c:tx>
            <c:strRef>
              <c:f>'CHART 5 OC Throughput'!$D$2</c:f>
              <c:strCache>
                <c:ptCount val="1"/>
                <c:pt idx="0">
                  <c:v>Completed</c:v>
                </c:pt>
              </c:strCache>
            </c:strRef>
          </c:tx>
          <c:spPr>
            <a:ln w="12700">
              <a:solidFill>
                <a:srgbClr val="800000"/>
              </a:solidFill>
              <a:prstDash val="solid"/>
            </a:ln>
          </c:spPr>
          <c:marker>
            <c:symbol val="triangle"/>
            <c:size val="4"/>
            <c:spPr>
              <a:solidFill>
                <a:srgbClr val="800000"/>
              </a:solidFill>
              <a:ln>
                <a:solidFill>
                  <a:srgbClr val="800000"/>
                </a:solidFill>
                <a:prstDash val="solid"/>
              </a:ln>
            </c:spPr>
          </c:marker>
          <c:cat>
            <c:numRef>
              <c:f>'CHART 5 OC Throughput'!$A$4:$A$13</c:f>
              <c:numCache>
                <c:formatCode>mmm\-yy</c:formatCode>
                <c:ptCount val="10"/>
                <c:pt idx="0">
                  <c:v>40695</c:v>
                </c:pt>
                <c:pt idx="1">
                  <c:v>41061</c:v>
                </c:pt>
                <c:pt idx="2">
                  <c:v>41426</c:v>
                </c:pt>
                <c:pt idx="3">
                  <c:v>41791</c:v>
                </c:pt>
                <c:pt idx="4">
                  <c:v>42156</c:v>
                </c:pt>
                <c:pt idx="5">
                  <c:v>42522</c:v>
                </c:pt>
                <c:pt idx="6">
                  <c:v>42887</c:v>
                </c:pt>
                <c:pt idx="7">
                  <c:v>43252</c:v>
                </c:pt>
                <c:pt idx="8">
                  <c:v>43617</c:v>
                </c:pt>
                <c:pt idx="9">
                  <c:v>43983</c:v>
                </c:pt>
              </c:numCache>
            </c:numRef>
          </c:cat>
          <c:val>
            <c:numRef>
              <c:f>'CHART 5 OC Throughput'!$D$4:$D$13</c:f>
              <c:numCache>
                <c:formatCode>General</c:formatCode>
                <c:ptCount val="10"/>
                <c:pt idx="0">
                  <c:v>999</c:v>
                </c:pt>
                <c:pt idx="1">
                  <c:v>6401</c:v>
                </c:pt>
                <c:pt idx="2" formatCode="#,##0">
                  <c:v>8283</c:v>
                </c:pt>
                <c:pt idx="3" formatCode="#,##0">
                  <c:v>7112</c:v>
                </c:pt>
                <c:pt idx="4" formatCode="#,##0">
                  <c:v>8497</c:v>
                </c:pt>
                <c:pt idx="5" formatCode="#,##0">
                  <c:v>9185</c:v>
                </c:pt>
                <c:pt idx="6" formatCode="#,##0">
                  <c:v>8168</c:v>
                </c:pt>
                <c:pt idx="7" formatCode="#,##0">
                  <c:v>7475</c:v>
                </c:pt>
                <c:pt idx="8" formatCode="#,##0">
                  <c:v>7143</c:v>
                </c:pt>
                <c:pt idx="9" formatCode="#,##0">
                  <c:v>7212</c:v>
                </c:pt>
              </c:numCache>
            </c:numRef>
          </c:val>
          <c:smooth val="0"/>
          <c:extLst>
            <c:ext xmlns:c16="http://schemas.microsoft.com/office/drawing/2014/chart" uri="{C3380CC4-5D6E-409C-BE32-E72D297353CC}">
              <c16:uniqueId val="{00000002-E447-4198-AFB2-680FA0C7406B}"/>
            </c:ext>
          </c:extLst>
        </c:ser>
        <c:ser>
          <c:idx val="3"/>
          <c:order val="3"/>
          <c:tx>
            <c:strRef>
              <c:f>'CHART 5 OC Throughput'!$E$2</c:f>
              <c:strCache>
                <c:ptCount val="1"/>
                <c:pt idx="0">
                  <c:v>On Hand at Year End</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'CHART 5 OC Throughput'!$A$4:$A$13</c:f>
              <c:numCache>
                <c:formatCode>mmm\-yy</c:formatCode>
                <c:ptCount val="10"/>
                <c:pt idx="0">
                  <c:v>40695</c:v>
                </c:pt>
                <c:pt idx="1">
                  <c:v>41061</c:v>
                </c:pt>
                <c:pt idx="2">
                  <c:v>41426</c:v>
                </c:pt>
                <c:pt idx="3">
                  <c:v>41791</c:v>
                </c:pt>
                <c:pt idx="4">
                  <c:v>42156</c:v>
                </c:pt>
                <c:pt idx="5">
                  <c:v>42522</c:v>
                </c:pt>
                <c:pt idx="6">
                  <c:v>42887</c:v>
                </c:pt>
                <c:pt idx="7">
                  <c:v>43252</c:v>
                </c:pt>
                <c:pt idx="8">
                  <c:v>43617</c:v>
                </c:pt>
                <c:pt idx="9">
                  <c:v>43983</c:v>
                </c:pt>
              </c:numCache>
            </c:numRef>
          </c:cat>
          <c:val>
            <c:numRef>
              <c:f>'CHART 5 OC Throughput'!$E$4:$E$13</c:f>
              <c:numCache>
                <c:formatCode>General</c:formatCode>
                <c:ptCount val="10"/>
                <c:pt idx="0">
                  <c:v>6</c:v>
                </c:pt>
                <c:pt idx="1">
                  <c:v>101</c:v>
                </c:pt>
                <c:pt idx="2">
                  <c:v>80</c:v>
                </c:pt>
                <c:pt idx="3">
                  <c:v>50</c:v>
                </c:pt>
                <c:pt idx="4">
                  <c:v>34</c:v>
                </c:pt>
                <c:pt idx="5">
                  <c:v>15</c:v>
                </c:pt>
                <c:pt idx="6">
                  <c:v>45</c:v>
                </c:pt>
                <c:pt idx="7">
                  <c:v>45</c:v>
                </c:pt>
                <c:pt idx="8">
                  <c:v>22</c:v>
                </c:pt>
                <c:pt idx="9">
                  <c:v>27</c:v>
                </c:pt>
              </c:numCache>
            </c:numRef>
          </c:val>
          <c:smooth val="0"/>
          <c:extLst>
            <c:ext xmlns:c16="http://schemas.microsoft.com/office/drawing/2014/chart" uri="{C3380CC4-5D6E-409C-BE32-E72D297353CC}">
              <c16:uniqueId val="{00000003-E447-4198-AFB2-680FA0C7406B}"/>
            </c:ext>
          </c:extLst>
        </c:ser>
        <c:dLbls>
          <c:showLegendKey val="0"/>
          <c:showVal val="0"/>
          <c:showCatName val="0"/>
          <c:showSerName val="0"/>
          <c:showPercent val="0"/>
          <c:showBubbleSize val="0"/>
        </c:dLbls>
        <c:marker val="1"/>
        <c:smooth val="0"/>
        <c:axId val="560405960"/>
        <c:axId val="1"/>
      </c:lineChart>
      <c:catAx>
        <c:axId val="560405960"/>
        <c:scaling>
          <c:orientation val="minMax"/>
        </c:scaling>
        <c:delete val="0"/>
        <c:axPos val="b"/>
        <c:numFmt formatCode="mmm\-yy" sourceLinked="1"/>
        <c:majorTickMark val="cross"/>
        <c:minorTickMark val="none"/>
        <c:tickLblPos val="nextTo"/>
        <c:txPr>
          <a:bodyPr rot="0" vert="horz"/>
          <a:lstStyle/>
          <a:p>
            <a:pPr>
              <a:defRPr/>
            </a:pPr>
            <a:endParaRPr lang="en-US"/>
          </a:p>
        </c:txPr>
        <c:crossAx val="1"/>
        <c:crosses val="autoZero"/>
        <c:auto val="0"/>
        <c:lblAlgn val="ctr"/>
        <c:lblOffset val="100"/>
        <c:tickLblSkip val="1"/>
        <c:tickMarkSkip val="1"/>
        <c:noMultiLvlLbl val="0"/>
      </c:catAx>
      <c:valAx>
        <c:axId val="1"/>
        <c:scaling>
          <c:orientation val="minMax"/>
        </c:scaling>
        <c:delete val="0"/>
        <c:axPos val="l"/>
        <c:majorGridlines>
          <c:spPr>
            <a:ln w="3175">
              <a:solidFill>
                <a:srgbClr val="000000"/>
              </a:solidFill>
              <a:prstDash val="sysDash"/>
            </a:ln>
          </c:spPr>
        </c:majorGridlines>
        <c:title>
          <c:tx>
            <c:rich>
              <a:bodyPr/>
              <a:lstStyle/>
              <a:p>
                <a:pPr>
                  <a:defRPr sz="900" b="0" i="0" u="none" strike="noStrike" baseline="0">
                    <a:solidFill>
                      <a:srgbClr val="000000"/>
                    </a:solidFill>
                    <a:latin typeface="Arial"/>
                    <a:ea typeface="Arial"/>
                    <a:cs typeface="Arial"/>
                  </a:defRPr>
                </a:pPr>
                <a:r>
                  <a:rPr lang="en-NZ"/>
                  <a:t>Number of matters</a:t>
                </a:r>
              </a:p>
            </c:rich>
          </c:tx>
          <c:layout>
            <c:manualLayout>
              <c:xMode val="edge"/>
              <c:yMode val="edge"/>
              <c:x val="3.2258156109724691E-2"/>
              <c:y val="0.2577326803221762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560405960"/>
        <c:crosses val="autoZero"/>
        <c:crossBetween val="midCat"/>
      </c:valAx>
      <c:spPr>
        <a:noFill/>
        <a:ln w="12700">
          <a:solidFill>
            <a:srgbClr val="FFFFFF"/>
          </a:solidFill>
          <a:prstDash val="solid"/>
        </a:ln>
      </c:spPr>
    </c:plotArea>
    <c:legend>
      <c:legendPos val="r"/>
      <c:layout>
        <c:manualLayout>
          <c:xMode val="edge"/>
          <c:yMode val="edge"/>
          <c:x val="0.20689667900765188"/>
          <c:y val="0.89519062694482776"/>
          <c:w val="0.7085874006103009"/>
          <c:h val="8.9347079037800703E-2"/>
        </c:manualLayout>
      </c:layout>
      <c:overlay val="0"/>
      <c:spPr>
        <a:solidFill>
          <a:srgbClr val="FFFFFF"/>
        </a:solidFill>
        <a:ln w="3175">
          <a:solidFill>
            <a:srgbClr val="FFFFFF"/>
          </a:solidFill>
          <a:prstDash val="solid"/>
        </a:ln>
      </c:spPr>
      <c:txPr>
        <a:bodyPr/>
        <a:lstStyle/>
        <a:p>
          <a:pPr>
            <a:defRPr sz="75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32779</Words>
  <Characters>186842</Characters>
  <Application>Microsoft Office Word</Application>
  <DocSecurity>0</DocSecurity>
  <Lines>1557</Lines>
  <Paragraphs>438</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
      <vt:lpstr/>
      <vt:lpstr>Ombudsman</vt:lpstr>
      <vt:lpstr>Kaitiaki Mana Tangata</vt:lpstr>
      <vt:lpstr>Contents</vt:lpstr>
      <vt:lpstr>/Introduction</vt:lpstr>
      <vt:lpstr>    Introduction</vt:lpstr>
      <vt:lpstr>2019/20 at a glance	</vt:lpstr>
      <vt:lpstr>    Inform the public to enable them to take constructive action to realise their ri</vt:lpstr>
      <vt:lpstr>    Improve public sector capability to do its work and make decisions</vt:lpstr>
      <vt:lpstr>    Formal consultation to assist public sector agencies to make specific decisions</vt:lpstr>
      <vt:lpstr>    Enable serious wrongdoing to be disclosed and investigated and whistleblowers pr</vt:lpstr>
      <vt:lpstr>    Break down the barriers that prevent disabled people from participating equally </vt:lpstr>
      <vt:lpstr>    Improve the conditions and treatment of people in detention</vt:lpstr>
      <vt:lpstr>    Ensure official information is increasingly available and not unlawfully refused</vt:lpstr>
      <vt:lpstr>    Identify flawed public sector decision making and processes and how to resolve t</vt:lpstr>
      <vt:lpstr>    Learn from, and assist to develop, international best practice </vt:lpstr>
      <vt:lpstr>Background	</vt:lpstr>
      <vt:lpstr>    Nature and scope of the Ombudsman’s functions</vt:lpstr>
      <vt:lpstr>        My purpose</vt:lpstr>
      <vt:lpstr>        My functions</vt:lpstr>
      <vt:lpstr>        My contribution</vt:lpstr>
      <vt:lpstr>    Outcomes and impacts sought by the Ombudsman</vt:lpstr>
      <vt:lpstr>    Ombudsman Outcomes Framework</vt:lpstr>
      <vt:lpstr>        Impacts </vt:lpstr>
      <vt:lpstr>        Outputs</vt:lpstr>
      <vt:lpstr>Outputs and operations	</vt:lpstr>
      <vt:lpstr>    COVID-19 global pandemic</vt:lpstr>
      <vt:lpstr>    Inform the public to enable them to take constructive action to realise their ri</vt:lpstr>
      <vt:lpstr>        External resources and presentations to the public</vt:lpstr>
      <vt:lpstr>        Public awareness survey </vt:lpstr>
      <vt:lpstr>    Improve public sector capability to do its work and make decisions</vt:lpstr>
      <vt:lpstr>        Advice and guidance </vt:lpstr>
      <vt:lpstr>        Training</vt:lpstr>
      <vt:lpstr>        Guidance materials</vt:lpstr>
      <vt:lpstr>    Formal consultation to assist public sector agencies to make specific decisions</vt:lpstr>
      <vt:lpstr>    Enable serious wrongdoing to be disclosed and investigated and whistleblowers pr</vt:lpstr>
      <vt:lpstr>    Break down the barriers that prevent disabled people from participating equally </vt:lpstr>
      <vt:lpstr>        Working as an IMM during COVID-19</vt:lpstr>
      <vt:lpstr>        Accessible resources </vt:lpstr>
      <vt:lpstr>        The IMM’s third Making Disability Rights Real Report 2014-2019</vt:lpstr>
      <vt:lpstr>        Disability rights outreach</vt:lpstr>
      <vt:lpstr>        Ongoing disability rights focus in investigations and inspections</vt:lpstr>
      <vt:lpstr>    Improve the conditions and treatment of people in detention</vt:lpstr>
      <vt:lpstr>        People in detention during the pandemic</vt:lpstr>
      <vt:lpstr>        Visits and inspections</vt:lpstr>
      <vt:lpstr>    Ensure official information is increasingly available and not unlawfully refused</vt:lpstr>
      <vt:lpstr>        Complaints </vt:lpstr>
      <vt:lpstr>        Agencies</vt:lpstr>
      <vt:lpstr>        Outcomes</vt:lpstr>
      <vt:lpstr>        Office performance</vt:lpstr>
      <vt:lpstr>        Official information practices</vt:lpstr>
      <vt:lpstr>        Revisiting Not a Game of Hide and Seek</vt:lpstr>
      <vt:lpstr>    Identify flawed public sector decision making and processes and how to resolve t</vt:lpstr>
      <vt:lpstr>        Incoming complaint management during the pandemic</vt:lpstr>
      <vt:lpstr>        Complaints</vt:lpstr>
      <vt:lpstr>        Agencies </vt:lpstr>
      <vt:lpstr>        Outcomes</vt:lpstr>
      <vt:lpstr>        Timeliness and quality assurance</vt:lpstr>
      <vt:lpstr>        Children in care  </vt:lpstr>
    </vt:vector>
  </TitlesOfParts>
  <Company/>
  <LinksUpToDate>false</LinksUpToDate>
  <CharactersWithSpaces>219183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2021-11-16T00:15:00Z</dcterms:created>
  <dcterms:modified xsi:type="dcterms:W3CDTF">2021-11-16T00:15:00Z</dcterms:modified>
</cp:coreProperties>
</file>