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EF63B" w14:textId="6A763244" w:rsidR="00E52A0C" w:rsidRDefault="00E57913" w:rsidP="00C334F3">
      <w:pPr>
        <w:pStyle w:val="Heading2"/>
        <w:rPr>
          <w:color w:val="2BB673" w:themeColor="accent1"/>
        </w:rPr>
      </w:pPr>
      <w:r w:rsidRPr="00C334F3">
        <w:rPr>
          <w:b w:val="0"/>
        </w:rPr>
        <w:t>Update</w:t>
      </w:r>
      <w:r w:rsidR="00274CB7">
        <w:rPr>
          <w:color w:val="2BB673" w:themeColor="accent1"/>
        </w:rPr>
        <w:br/>
      </w:r>
      <w:r w:rsidR="00A94FAB">
        <w:rPr>
          <w:rStyle w:val="TitleChar"/>
          <w:sz w:val="40"/>
        </w:rPr>
        <w:t>Legal framework for Chief Ombudsman’s inspections of health &amp; disability facilities</w:t>
      </w:r>
    </w:p>
    <w:p w14:paraId="45831D96" w14:textId="7326827C" w:rsidR="008630B5" w:rsidRDefault="009D6DA2" w:rsidP="008630B5">
      <w:pPr>
        <w:pStyle w:val="BodyText"/>
        <w:rPr>
          <w:rStyle w:val="Italics"/>
        </w:rPr>
      </w:pPr>
      <w:r>
        <w:rPr>
          <w:rStyle w:val="Italics"/>
        </w:rPr>
        <w:t>October</w:t>
      </w:r>
      <w:r w:rsidR="00AB5142">
        <w:rPr>
          <w:rStyle w:val="Italics"/>
        </w:rPr>
        <w:t xml:space="preserve"> 2019</w:t>
      </w:r>
    </w:p>
    <w:tbl>
      <w:tblPr>
        <w:tblStyle w:val="TableBox"/>
        <w:tblW w:w="9297" w:type="dxa"/>
        <w:tblLayout w:type="fixed"/>
        <w:tblLook w:val="04A0" w:firstRow="1" w:lastRow="0" w:firstColumn="1" w:lastColumn="0" w:noHBand="0" w:noVBand="1"/>
        <w:tblCaption w:val="Box to emphasise text"/>
      </w:tblPr>
      <w:tblGrid>
        <w:gridCol w:w="9297"/>
      </w:tblGrid>
      <w:tr w:rsidR="0070093E" w14:paraId="0477F580" w14:textId="77777777" w:rsidTr="0070093E">
        <w:tc>
          <w:tcPr>
            <w:tcW w:w="9514" w:type="dxa"/>
          </w:tcPr>
          <w:p w14:paraId="207F6443" w14:textId="43E2FEAA" w:rsidR="0070093E" w:rsidRDefault="0070093E" w:rsidP="00DD1B84">
            <w:pPr>
              <w:pStyle w:val="Headingboxtexttop"/>
              <w:tabs>
                <w:tab w:val="num" w:pos="567"/>
              </w:tabs>
            </w:pPr>
            <w:r w:rsidRPr="0070093E">
              <w:t>The Chief Ombudsman’s roles</w:t>
            </w:r>
          </w:p>
          <w:p w14:paraId="37D6CE8A" w14:textId="77777777" w:rsidR="0070093E" w:rsidRPr="0070093E" w:rsidRDefault="0070093E" w:rsidP="0070093E">
            <w:pPr>
              <w:pStyle w:val="Headingboxtexttop"/>
              <w:tabs>
                <w:tab w:val="num" w:pos="567"/>
              </w:tabs>
              <w:rPr>
                <w:b w:val="0"/>
                <w:color w:val="1E1E1E"/>
                <w:sz w:val="24"/>
              </w:rPr>
            </w:pPr>
            <w:r w:rsidRPr="0070093E">
              <w:rPr>
                <w:b w:val="0"/>
                <w:color w:val="1E1E1E"/>
                <w:sz w:val="24"/>
              </w:rPr>
              <w:t>The word 'Ombudsman' is Swedish and loosely translated means 'grievance person'. It was first used in its modern sense in 1809 when the Swedish Parliament established the office of Justitieombudsman, who was to look after citizens’ interests in their dealings with government. It is a gender-neutral term.</w:t>
            </w:r>
          </w:p>
          <w:p w14:paraId="46BE59B3" w14:textId="77777777" w:rsidR="0070093E" w:rsidRPr="0070093E" w:rsidRDefault="0070093E" w:rsidP="0070093E">
            <w:pPr>
              <w:pStyle w:val="Headingboxtexttop"/>
              <w:tabs>
                <w:tab w:val="num" w:pos="567"/>
              </w:tabs>
              <w:rPr>
                <w:b w:val="0"/>
                <w:color w:val="1E1E1E"/>
                <w:sz w:val="24"/>
              </w:rPr>
            </w:pPr>
            <w:r w:rsidRPr="0070093E">
              <w:rPr>
                <w:b w:val="0"/>
                <w:color w:val="1E1E1E"/>
                <w:sz w:val="24"/>
              </w:rPr>
              <w:t>The first New Zealand Ombudsman was appointed in 1962 under the Parliamentary Commissioner (Ombudsman) Act 1962. New Zealand was the fourth country, after Sweden, Finland and Denmark, to establish the office of Ombudsman.</w:t>
            </w:r>
          </w:p>
          <w:p w14:paraId="0F841281" w14:textId="77777777" w:rsidR="0070093E" w:rsidRPr="0070093E" w:rsidRDefault="0070093E" w:rsidP="0070093E">
            <w:pPr>
              <w:pStyle w:val="Headingboxtexttop"/>
              <w:tabs>
                <w:tab w:val="num" w:pos="567"/>
              </w:tabs>
              <w:rPr>
                <w:b w:val="0"/>
                <w:color w:val="1E1E1E"/>
                <w:sz w:val="24"/>
              </w:rPr>
            </w:pPr>
            <w:r w:rsidRPr="0070093E">
              <w:rPr>
                <w:b w:val="0"/>
                <w:color w:val="1E1E1E"/>
                <w:sz w:val="24"/>
              </w:rPr>
              <w:t xml:space="preserve">When the office was first established, the Ombudsman’s powers (‘jurisdiction’) were to investigate complaints about central government departments and organisations. </w:t>
            </w:r>
          </w:p>
          <w:p w14:paraId="5236340F" w14:textId="4C3E5E12" w:rsidR="0070093E" w:rsidRDefault="0070093E" w:rsidP="0070093E">
            <w:pPr>
              <w:pStyle w:val="Boxsmalltext"/>
              <w:tabs>
                <w:tab w:val="num" w:pos="567"/>
              </w:tabs>
            </w:pPr>
            <w:r w:rsidRPr="0070093E">
              <w:t xml:space="preserve">Over the years, the Chief Ombudsman’s jurisdiction has been extended across the public sector and beyond to give effect to a number of key democratic and human rights measures aimed at safeguarding the rights of individuals and promoting accountability and transparency. More at: </w:t>
            </w:r>
            <w:hyperlink r:id="rId7" w:history="1">
              <w:r w:rsidRPr="009C495B">
                <w:rPr>
                  <w:rStyle w:val="Hyperlink"/>
                </w:rPr>
                <w:t>www.ombudsman.parliament.nz/what-we-do</w:t>
              </w:r>
            </w:hyperlink>
            <w:r w:rsidRPr="0070093E">
              <w:t>.</w:t>
            </w:r>
          </w:p>
        </w:tc>
      </w:tr>
    </w:tbl>
    <w:p w14:paraId="0911DF02" w14:textId="77777777" w:rsidR="0070093E" w:rsidRDefault="0070093E" w:rsidP="0070093E">
      <w:pPr>
        <w:pStyle w:val="Whitespace"/>
      </w:pPr>
    </w:p>
    <w:p w14:paraId="24949FA3" w14:textId="112640CA" w:rsidR="00E71866" w:rsidRDefault="00A94FAB" w:rsidP="00E71866">
      <w:pPr>
        <w:pStyle w:val="Heading4"/>
      </w:pPr>
      <w:r>
        <w:t>Background</w:t>
      </w:r>
    </w:p>
    <w:p w14:paraId="6A04EF2E" w14:textId="77777777" w:rsidR="00A94FAB" w:rsidRDefault="00A94FAB" w:rsidP="00A94FAB">
      <w:pPr>
        <w:pStyle w:val="BodyText"/>
      </w:pPr>
      <w:r>
        <w:t>Inspecting places of detention helps to ensure that people who are deprived of their liberty are treated humanely, and their rights are protected and restored. It also ensures New Zealand is seen nationally and internationally as a good global citizen, adhering to agreed international human rights conventions.</w:t>
      </w:r>
    </w:p>
    <w:p w14:paraId="18B58D74" w14:textId="03ED4107" w:rsidR="009F773C" w:rsidRDefault="009F773C" w:rsidP="009F773C">
      <w:pPr>
        <w:pStyle w:val="BodyText"/>
      </w:pPr>
      <w:r>
        <w:t xml:space="preserve">The United Nations </w:t>
      </w:r>
      <w:r w:rsidRPr="009C495B">
        <w:t>Optional Protocol</w:t>
      </w:r>
      <w:r>
        <w:t xml:space="preserve"> to the </w:t>
      </w:r>
      <w:r w:rsidRPr="009C495B">
        <w:t>Convention against Torture and other Cruel, Inhuman or Degrading Treatment or Punishment</w:t>
      </w:r>
      <w:r>
        <w:t xml:space="preserve"> (OPCAT) is an international human rights agreement that New Zealand ratified in 2007.</w:t>
      </w:r>
      <w:r w:rsidR="009C495B">
        <w:t xml:space="preserve"> Both documents are on th</w:t>
      </w:r>
      <w:r w:rsidR="009C495B" w:rsidRPr="009C495B">
        <w:t xml:space="preserve">e UN </w:t>
      </w:r>
      <w:r w:rsidR="009C495B">
        <w:t xml:space="preserve">Human Rights Office of the High Commissioner’s </w:t>
      </w:r>
      <w:hyperlink r:id="rId8" w:history="1">
        <w:r w:rsidR="009C495B" w:rsidRPr="009C495B">
          <w:rPr>
            <w:rStyle w:val="Hyperlink"/>
          </w:rPr>
          <w:t>website</w:t>
        </w:r>
      </w:hyperlink>
      <w:r w:rsidR="009C495B">
        <w:t xml:space="preserve"> (www.ohchr.org)</w:t>
      </w:r>
      <w:r w:rsidR="009C495B" w:rsidRPr="009C495B">
        <w:t>.</w:t>
      </w:r>
    </w:p>
    <w:p w14:paraId="08005B35" w14:textId="1DF7C7A3" w:rsidR="009F773C" w:rsidRDefault="009F773C" w:rsidP="009F773C">
      <w:pPr>
        <w:pStyle w:val="BodyText"/>
      </w:pPr>
      <w:r>
        <w:t xml:space="preserve">OPCAT establishes international and national monitoring mechanisms to inspect places where people are detained, with the overall aim of preventing torture and other cruel, inhuman or degrading treatment or punishment. These are called ‘National Preventive Mechanisms’ </w:t>
      </w:r>
      <w:r>
        <w:lastRenderedPageBreak/>
        <w:t xml:space="preserve">(NPMs). More about the purpose of OPCAT is available from the </w:t>
      </w:r>
      <w:hyperlink r:id="rId9" w:history="1">
        <w:r w:rsidRPr="008471F2">
          <w:rPr>
            <w:rStyle w:val="Hyperlink"/>
          </w:rPr>
          <w:t>Association for the Prevention of Torture</w:t>
        </w:r>
      </w:hyperlink>
      <w:r>
        <w:t xml:space="preserve"> (</w:t>
      </w:r>
      <w:r w:rsidR="009C495B">
        <w:t>www.</w:t>
      </w:r>
      <w:r>
        <w:t>apt.ch).</w:t>
      </w:r>
    </w:p>
    <w:p w14:paraId="25FA32CB" w14:textId="226EF685" w:rsidR="009F773C" w:rsidRDefault="009F773C" w:rsidP="009F773C">
      <w:pPr>
        <w:pStyle w:val="BodyText"/>
      </w:pPr>
      <w:r>
        <w:t xml:space="preserve">In New Zealand, the </w:t>
      </w:r>
      <w:r w:rsidR="00A776C2" w:rsidRPr="009C495B">
        <w:t>Crimes of Torture Act 1989</w:t>
      </w:r>
      <w:r>
        <w:t xml:space="preserve"> (COTA) provides for the designation of NPMs, as required by OPCAT. </w:t>
      </w:r>
      <w:r w:rsidR="009C495B">
        <w:t xml:space="preserve">The COTA is on the New Zealand Legislation </w:t>
      </w:r>
      <w:hyperlink r:id="rId10" w:history="1">
        <w:r w:rsidR="009C495B" w:rsidRPr="009C495B">
          <w:rPr>
            <w:rStyle w:val="Hyperlink"/>
          </w:rPr>
          <w:t>website</w:t>
        </w:r>
      </w:hyperlink>
      <w:r w:rsidR="009C495B">
        <w:t xml:space="preserve"> (www.legislation.govt.nz). </w:t>
      </w:r>
    </w:p>
    <w:p w14:paraId="7B3A51FE" w14:textId="28BA496A" w:rsidR="00EA16C7" w:rsidRDefault="00A776C2" w:rsidP="00EA16C7">
      <w:pPr>
        <w:pStyle w:val="Heading4"/>
      </w:pPr>
      <w:r>
        <w:t>Places of detention</w:t>
      </w:r>
    </w:p>
    <w:p w14:paraId="5B970AB3" w14:textId="77777777" w:rsidR="006448B1" w:rsidRPr="0062578E" w:rsidRDefault="006448B1" w:rsidP="006448B1">
      <w:pPr>
        <w:pStyle w:val="BodyText"/>
      </w:pPr>
      <w:r w:rsidRPr="0062578E">
        <w:t>Section 16 of COTA defines a “place of detention” as</w:t>
      </w:r>
      <w:r>
        <w:t xml:space="preserve"> </w:t>
      </w:r>
      <w:r w:rsidRPr="006448B1">
        <w:t>any place in New Zealand where persons are or may be deprived of liberty</w:t>
      </w:r>
      <w:r>
        <w:t>.</w:t>
      </w:r>
    </w:p>
    <w:p w14:paraId="2F33C5F0" w14:textId="66840A46" w:rsidR="0062578E" w:rsidRPr="0062578E" w:rsidRDefault="00A776C2" w:rsidP="0062578E">
      <w:r>
        <w:t>Under</w:t>
      </w:r>
      <w:r w:rsidR="0062578E" w:rsidRPr="0062578E">
        <w:t xml:space="preserve"> section 26 of COTA, an Ombudsman holding office under the Ombudsmen Act 1975 (</w:t>
      </w:r>
      <w:r w:rsidR="00753543">
        <w:t>OA</w:t>
      </w:r>
      <w:r w:rsidR="0062578E" w:rsidRPr="0062578E">
        <w:t xml:space="preserve">) </w:t>
      </w:r>
      <w:r>
        <w:t>i</w:t>
      </w:r>
      <w:r w:rsidRPr="0062578E">
        <w:t xml:space="preserve">s </w:t>
      </w:r>
      <w:r w:rsidR="0062578E" w:rsidRPr="0062578E">
        <w:t xml:space="preserve">designated a NPM </w:t>
      </w:r>
      <w:r w:rsidR="006448B1">
        <w:t>in relation to</w:t>
      </w:r>
      <w:r w:rsidR="0062578E" w:rsidRPr="0062578E">
        <w:t xml:space="preserve"> certain places of detention</w:t>
      </w:r>
      <w:r w:rsidR="006448B1">
        <w:t xml:space="preserve">. </w:t>
      </w:r>
      <w:r w:rsidR="0062578E" w:rsidRPr="0062578E">
        <w:t xml:space="preserve"> </w:t>
      </w:r>
      <w:r w:rsidR="009C495B">
        <w:t xml:space="preserve">The OA is on the New Zealand </w:t>
      </w:r>
      <w:r w:rsidR="00492D07">
        <w:t>Legalisation</w:t>
      </w:r>
      <w:r w:rsidR="009C495B">
        <w:t xml:space="preserve"> </w:t>
      </w:r>
      <w:hyperlink r:id="rId11" w:history="1">
        <w:r w:rsidR="009C495B" w:rsidRPr="00492D07">
          <w:rPr>
            <w:rStyle w:val="Hyperlink"/>
          </w:rPr>
          <w:t>website</w:t>
        </w:r>
      </w:hyperlink>
      <w:r w:rsidR="009C495B">
        <w:t>.</w:t>
      </w:r>
      <w:bookmarkStart w:id="0" w:name="_GoBack"/>
      <w:bookmarkEnd w:id="0"/>
    </w:p>
    <w:p w14:paraId="703D5643" w14:textId="2FE3E421" w:rsidR="0062578E" w:rsidRPr="0062578E" w:rsidRDefault="0062578E" w:rsidP="0062578E">
      <w:r w:rsidRPr="0062578E">
        <w:t xml:space="preserve">The </w:t>
      </w:r>
      <w:hyperlink r:id="rId12" w:history="1">
        <w:r w:rsidR="00A776C2" w:rsidRPr="008471F2">
          <w:rPr>
            <w:rStyle w:val="Hyperlink"/>
            <w:i/>
          </w:rPr>
          <w:t>New Zealand Gazette</w:t>
        </w:r>
      </w:hyperlink>
      <w:r w:rsidRPr="0062578E">
        <w:t xml:space="preserve"> of 6 June 2018 sets out the relevant places of detention</w:t>
      </w:r>
      <w:r w:rsidR="006448B1">
        <w:t>, which include</w:t>
      </w:r>
      <w:r w:rsidRPr="0062578E">
        <w:t>:</w:t>
      </w:r>
    </w:p>
    <w:p w14:paraId="7C232C84" w14:textId="53790925" w:rsidR="0062578E" w:rsidRDefault="0062578E" w:rsidP="0062578E">
      <w:pPr>
        <w:ind w:left="567" w:right="567"/>
        <w:rPr>
          <w:i/>
          <w:color w:val="4D4D4D"/>
        </w:rPr>
      </w:pPr>
      <w:r w:rsidRPr="0062578E">
        <w:rPr>
          <w:i/>
          <w:color w:val="4D4D4D"/>
        </w:rPr>
        <w:t>“…in health and disability places of detention including within privately run aged care facilities; …”</w:t>
      </w:r>
    </w:p>
    <w:p w14:paraId="6C6FBE9C" w14:textId="20570C71" w:rsidR="0062578E" w:rsidRPr="0062578E" w:rsidRDefault="0062578E" w:rsidP="0062578E">
      <w:pPr>
        <w:keepNext/>
        <w:keepLines/>
        <w:numPr>
          <w:ilvl w:val="0"/>
          <w:numId w:val="9"/>
        </w:numPr>
        <w:spacing w:before="280" w:after="60" w:line="240" w:lineRule="auto"/>
        <w:ind w:right="284"/>
        <w:outlineLvl w:val="3"/>
        <w:rPr>
          <w:rFonts w:eastAsiaTheme="majorEastAsia" w:cstheme="majorBidi"/>
          <w:b/>
          <w:bCs/>
          <w:iCs/>
          <w:sz w:val="26"/>
        </w:rPr>
      </w:pPr>
      <w:bookmarkStart w:id="1" w:name="_Toc535601754"/>
      <w:r w:rsidRPr="0062578E">
        <w:rPr>
          <w:rFonts w:eastAsiaTheme="majorEastAsia" w:cstheme="majorBidi"/>
          <w:b/>
          <w:bCs/>
          <w:iCs/>
          <w:sz w:val="26"/>
        </w:rPr>
        <w:t>Carrying out the NPM’s functions</w:t>
      </w:r>
      <w:bookmarkEnd w:id="1"/>
    </w:p>
    <w:p w14:paraId="15F04DDA" w14:textId="6438047C" w:rsidR="0062578E" w:rsidRPr="0062578E" w:rsidRDefault="0062578E" w:rsidP="0062578E">
      <w:r w:rsidRPr="0062578E">
        <w:t>Under section 27 of COTA, an NPM’s functions in respect of places of detention include:</w:t>
      </w:r>
    </w:p>
    <w:p w14:paraId="3EE75C51" w14:textId="77777777" w:rsidR="0062578E" w:rsidRPr="0062578E" w:rsidRDefault="0062578E" w:rsidP="00A776C2">
      <w:pPr>
        <w:pStyle w:val="Bullet1"/>
      </w:pPr>
      <w:r w:rsidRPr="0062578E">
        <w:t>to examine the conditions of detention applying to detainees and the treatment of detainees; and</w:t>
      </w:r>
    </w:p>
    <w:p w14:paraId="4CCD6B23" w14:textId="77777777" w:rsidR="0062578E" w:rsidRPr="0062578E" w:rsidRDefault="0062578E" w:rsidP="00A776C2">
      <w:pPr>
        <w:pStyle w:val="Bullet2"/>
      </w:pPr>
      <w:r w:rsidRPr="0062578E">
        <w:t>to make any recommendations it considers appropriate to the person in charge of a place of detention:</w:t>
      </w:r>
    </w:p>
    <w:p w14:paraId="7F940423" w14:textId="77777777" w:rsidR="0062578E" w:rsidRPr="0062578E" w:rsidRDefault="0062578E" w:rsidP="00A776C2">
      <w:pPr>
        <w:pStyle w:val="Bullet2"/>
      </w:pPr>
      <w:r w:rsidRPr="0062578E">
        <w:t>for improving the conditions of detention applying to detainees;</w:t>
      </w:r>
    </w:p>
    <w:p w14:paraId="6C6FBE87" w14:textId="77777777" w:rsidR="0062578E" w:rsidRPr="0062578E" w:rsidRDefault="0062578E" w:rsidP="00A776C2">
      <w:pPr>
        <w:pStyle w:val="Bullet2"/>
      </w:pPr>
      <w:r w:rsidRPr="0062578E">
        <w:t>for improving the treatment of detainees; and</w:t>
      </w:r>
    </w:p>
    <w:p w14:paraId="15ED3F26" w14:textId="77777777" w:rsidR="0062578E" w:rsidRPr="0062578E" w:rsidRDefault="0062578E" w:rsidP="00A776C2">
      <w:pPr>
        <w:pStyle w:val="Bullet2"/>
      </w:pPr>
      <w:r w:rsidRPr="0062578E">
        <w:t>for preventing torture and other cruel, inhuman or degrading treatment or punishment in places of detention.</w:t>
      </w:r>
    </w:p>
    <w:p w14:paraId="499C6341" w14:textId="1D9781E2" w:rsidR="0062578E" w:rsidRPr="0062578E" w:rsidRDefault="0062578E" w:rsidP="0062578E">
      <w:r w:rsidRPr="0062578E">
        <w:t xml:space="preserve">Under </w:t>
      </w:r>
      <w:r w:rsidR="004376EA">
        <w:t xml:space="preserve">sections 28 – 30 of </w:t>
      </w:r>
      <w:r w:rsidRPr="0062578E">
        <w:t>COTA, NPMs are entitled to:</w:t>
      </w:r>
    </w:p>
    <w:p w14:paraId="0F989546" w14:textId="77777777" w:rsidR="0062578E" w:rsidRPr="0062578E" w:rsidRDefault="0062578E" w:rsidP="00A776C2">
      <w:pPr>
        <w:pStyle w:val="Bullet1"/>
      </w:pPr>
      <w:r w:rsidRPr="0062578E">
        <w:t>access all information regarding the number of detainees, the treatment of detainees and the conditions of detention;</w:t>
      </w:r>
    </w:p>
    <w:p w14:paraId="6BA35E0B" w14:textId="77777777" w:rsidR="0062578E" w:rsidRPr="0062578E" w:rsidRDefault="0062578E" w:rsidP="00A776C2">
      <w:pPr>
        <w:pStyle w:val="Bullet1"/>
      </w:pPr>
      <w:r w:rsidRPr="0062578E">
        <w:t>unrestricted access to any place of detention for which they are designated, and unrestricted access to any person in that place;</w:t>
      </w:r>
    </w:p>
    <w:p w14:paraId="755BAE00" w14:textId="77777777" w:rsidR="0062578E" w:rsidRPr="0062578E" w:rsidRDefault="0062578E" w:rsidP="00A776C2">
      <w:pPr>
        <w:pStyle w:val="Bullet1"/>
      </w:pPr>
      <w:r w:rsidRPr="0062578E">
        <w:t>interview any person, without witnesses, either personally or through an interpreter; and</w:t>
      </w:r>
    </w:p>
    <w:p w14:paraId="592F2651" w14:textId="77777777" w:rsidR="0062578E" w:rsidRPr="0062578E" w:rsidRDefault="0062578E" w:rsidP="00A776C2">
      <w:pPr>
        <w:pStyle w:val="Bullet1"/>
      </w:pPr>
      <w:r w:rsidRPr="0062578E">
        <w:t xml:space="preserve">choose the designated places they want to visit and the people they want to interview. </w:t>
      </w:r>
    </w:p>
    <w:p w14:paraId="00DDD60F" w14:textId="77777777" w:rsidR="0062578E" w:rsidRPr="0062578E" w:rsidRDefault="0062578E" w:rsidP="0062578E">
      <w:r w:rsidRPr="0062578E">
        <w:lastRenderedPageBreak/>
        <w:t>Section 34 of the COTA, confers the same powers on NPMs that NPMs have under any other legislation when carrying out their function as an NPM. These powers include those given by the Ombudsmen Act to:</w:t>
      </w:r>
    </w:p>
    <w:p w14:paraId="5969AEC0" w14:textId="77777777" w:rsidR="0062578E" w:rsidRPr="0062578E" w:rsidRDefault="0062578E" w:rsidP="00A776C2">
      <w:pPr>
        <w:pStyle w:val="Bullet1"/>
      </w:pPr>
      <w:r w:rsidRPr="0062578E">
        <w:t>require the production of any information, documents, papers or things that, in the Ombudsmen’s opinion, relates to the matter that is being investigated, even where there may be a statutory obligation of secrecy or non-disclosure (refer sections 19(1), 19(3) and 19(4) of the Ombudsmen Act); and</w:t>
      </w:r>
    </w:p>
    <w:p w14:paraId="4661E985" w14:textId="03A2DCB1" w:rsidR="0062578E" w:rsidRPr="0062578E" w:rsidRDefault="0062578E" w:rsidP="00A776C2">
      <w:pPr>
        <w:pStyle w:val="Bullet1"/>
      </w:pPr>
      <w:r w:rsidRPr="0062578E">
        <w:t xml:space="preserve">at any time enter and inspect any premises occupied by any departments or organisation listed in Schedule 1 of the Ombudsmen Act (refer section 27(1). </w:t>
      </w:r>
    </w:p>
    <w:p w14:paraId="35487C97" w14:textId="2C3DB0BE" w:rsidR="0062578E" w:rsidRDefault="0062578E" w:rsidP="0062578E">
      <w:r w:rsidRPr="0062578E">
        <w:t xml:space="preserve">To facilitate the exercise of the NPM function, the Chief Ombudsman has authorised inspectors to exercise the powers given to him as an NPM under COTA, </w:t>
      </w:r>
      <w:r w:rsidR="004376EA">
        <w:t>including</w:t>
      </w:r>
      <w:r w:rsidRPr="0062578E">
        <w:t xml:space="preserve"> </w:t>
      </w:r>
      <w:r w:rsidR="004376EA">
        <w:t xml:space="preserve">the </w:t>
      </w:r>
      <w:r w:rsidRPr="0062578E">
        <w:t>powers</w:t>
      </w:r>
      <w:r w:rsidR="004376EA">
        <w:t xml:space="preserve"> listed above. Any recommendations are made by the Chief Ombudsman directly.</w:t>
      </w:r>
    </w:p>
    <w:tbl>
      <w:tblPr>
        <w:tblStyle w:val="TableBox"/>
        <w:tblW w:w="9297" w:type="dxa"/>
        <w:tblLayout w:type="fixed"/>
        <w:tblLook w:val="04A0" w:firstRow="1" w:lastRow="0" w:firstColumn="1" w:lastColumn="0" w:noHBand="0" w:noVBand="1"/>
        <w:tblCaption w:val="Box to emphasise text"/>
      </w:tblPr>
      <w:tblGrid>
        <w:gridCol w:w="9297"/>
      </w:tblGrid>
      <w:tr w:rsidR="0070093E" w14:paraId="33DCB30C" w14:textId="77777777" w:rsidTr="0070093E">
        <w:tc>
          <w:tcPr>
            <w:tcW w:w="9514" w:type="dxa"/>
          </w:tcPr>
          <w:p w14:paraId="1B2D80C6" w14:textId="3E71F64A" w:rsidR="0070093E" w:rsidRDefault="0070093E" w:rsidP="00DD1B84">
            <w:pPr>
              <w:pStyle w:val="Headingboxtexttop"/>
              <w:tabs>
                <w:tab w:val="num" w:pos="567"/>
              </w:tabs>
            </w:pPr>
            <w:r w:rsidRPr="0070093E">
              <w:t>More information</w:t>
            </w:r>
          </w:p>
          <w:p w14:paraId="037DD4C2" w14:textId="77777777" w:rsidR="0070093E" w:rsidRPr="0070093E" w:rsidRDefault="0070093E" w:rsidP="0070093E">
            <w:pPr>
              <w:pStyle w:val="Headingboxtexttop"/>
              <w:tabs>
                <w:tab w:val="num" w:pos="567"/>
              </w:tabs>
              <w:rPr>
                <w:b w:val="0"/>
                <w:color w:val="1E1E1E"/>
                <w:sz w:val="24"/>
              </w:rPr>
            </w:pPr>
            <w:r w:rsidRPr="0070093E">
              <w:rPr>
                <w:b w:val="0"/>
                <w:color w:val="1E1E1E"/>
                <w:sz w:val="24"/>
              </w:rPr>
              <w:t>More information about our inspections programmes is available on our website (www.ombudsman.parliament.nz/what-we-do/protecting-your-rights/monitoring-places-of-detention), including:</w:t>
            </w:r>
          </w:p>
          <w:p w14:paraId="0D57BB7F" w14:textId="77777777" w:rsidR="0070093E" w:rsidRPr="0070093E" w:rsidRDefault="0070093E" w:rsidP="0070093E">
            <w:pPr>
              <w:pStyle w:val="Headingboxtexttop"/>
              <w:tabs>
                <w:tab w:val="num" w:pos="567"/>
              </w:tabs>
              <w:rPr>
                <w:b w:val="0"/>
                <w:color w:val="1E1E1E"/>
                <w:sz w:val="24"/>
              </w:rPr>
            </w:pPr>
            <w:r w:rsidRPr="0070093E">
              <w:rPr>
                <w:b w:val="0"/>
                <w:color w:val="1E1E1E"/>
                <w:sz w:val="24"/>
              </w:rPr>
              <w:t>•</w:t>
            </w:r>
            <w:r w:rsidRPr="0070093E">
              <w:rPr>
                <w:b w:val="0"/>
                <w:color w:val="1E1E1E"/>
                <w:sz w:val="24"/>
              </w:rPr>
              <w:tab/>
              <w:t>Aged care inspections programme diagram (October 2019)</w:t>
            </w:r>
          </w:p>
          <w:p w14:paraId="79C0A045" w14:textId="77777777" w:rsidR="0070093E" w:rsidRPr="0070093E" w:rsidRDefault="0070093E" w:rsidP="0070093E">
            <w:pPr>
              <w:pStyle w:val="Headingboxtexttop"/>
              <w:tabs>
                <w:tab w:val="num" w:pos="567"/>
              </w:tabs>
              <w:rPr>
                <w:b w:val="0"/>
                <w:color w:val="1E1E1E"/>
                <w:sz w:val="24"/>
              </w:rPr>
            </w:pPr>
            <w:r w:rsidRPr="0070093E">
              <w:rPr>
                <w:b w:val="0"/>
                <w:color w:val="1E1E1E"/>
                <w:sz w:val="24"/>
              </w:rPr>
              <w:t>•</w:t>
            </w:r>
            <w:r w:rsidRPr="0070093E">
              <w:rPr>
                <w:b w:val="0"/>
                <w:color w:val="1E1E1E"/>
                <w:sz w:val="24"/>
              </w:rPr>
              <w:tab/>
              <w:t>Legal framework (October 2019)</w:t>
            </w:r>
          </w:p>
          <w:p w14:paraId="6DD16C8D" w14:textId="77777777" w:rsidR="0070093E" w:rsidRPr="0070093E" w:rsidRDefault="0070093E" w:rsidP="0070093E">
            <w:pPr>
              <w:pStyle w:val="Headingboxtexttop"/>
              <w:tabs>
                <w:tab w:val="num" w:pos="567"/>
              </w:tabs>
              <w:rPr>
                <w:b w:val="0"/>
                <w:color w:val="1E1E1E"/>
                <w:sz w:val="24"/>
              </w:rPr>
            </w:pPr>
            <w:r w:rsidRPr="0070093E">
              <w:rPr>
                <w:b w:val="0"/>
                <w:color w:val="1E1E1E"/>
                <w:sz w:val="24"/>
              </w:rPr>
              <w:t>•</w:t>
            </w:r>
            <w:r w:rsidRPr="0070093E">
              <w:rPr>
                <w:b w:val="0"/>
                <w:color w:val="1E1E1E"/>
                <w:sz w:val="24"/>
              </w:rPr>
              <w:tab/>
              <w:t>Latest progress update (August 2019).</w:t>
            </w:r>
          </w:p>
          <w:p w14:paraId="3BB1ECF8" w14:textId="163E563C" w:rsidR="0070093E" w:rsidRDefault="0070093E" w:rsidP="0070093E">
            <w:pPr>
              <w:pStyle w:val="Boxsmalltext"/>
              <w:tabs>
                <w:tab w:val="num" w:pos="567"/>
              </w:tabs>
            </w:pPr>
            <w:r w:rsidRPr="0070093E">
              <w:t>If you have any more questions about the development of the Chief Ombudsman’s aged care inspection programme, please email us (info@ombudsman.parliament.nz). While we may not be able to answer them now, we will endeavour to do so in future. Let us know if you want us to contact you with any updates or you can follow us on Facebook (@ombudsmannz).</w:t>
            </w:r>
          </w:p>
        </w:tc>
      </w:tr>
    </w:tbl>
    <w:p w14:paraId="34CD9BBE" w14:textId="77777777" w:rsidR="0070093E" w:rsidRDefault="0070093E" w:rsidP="0070093E">
      <w:pPr>
        <w:pStyle w:val="Whitespace"/>
      </w:pPr>
    </w:p>
    <w:sectPr w:rsidR="0070093E" w:rsidSect="00AB5002">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4861B" w14:textId="77777777" w:rsidR="00876B38" w:rsidRPr="00D45126" w:rsidRDefault="00876B38" w:rsidP="00554FCD">
      <w:pPr>
        <w:spacing w:after="0" w:line="240" w:lineRule="auto"/>
        <w:rPr>
          <w:color w:val="4D4D4D"/>
        </w:rPr>
      </w:pPr>
      <w:r w:rsidRPr="00D45126">
        <w:rPr>
          <w:color w:val="4D4D4D"/>
        </w:rPr>
        <w:separator/>
      </w:r>
    </w:p>
  </w:endnote>
  <w:endnote w:type="continuationSeparator" w:id="0">
    <w:p w14:paraId="4B9046AB" w14:textId="77777777" w:rsidR="00876B38" w:rsidRPr="00D45126" w:rsidRDefault="00876B38" w:rsidP="00554FCD">
      <w:pPr>
        <w:spacing w:after="0" w:line="240" w:lineRule="auto"/>
        <w:rPr>
          <w:color w:val="4D4D4D"/>
        </w:rPr>
      </w:pPr>
      <w:r w:rsidRPr="00D45126">
        <w:rPr>
          <w:color w:val="4D4D4D"/>
        </w:rPr>
        <w:continuationSeparator/>
      </w:r>
    </w:p>
  </w:endnote>
  <w:endnote w:type="continuationNotice" w:id="1">
    <w:p w14:paraId="413EACB8" w14:textId="77777777" w:rsidR="00876B38" w:rsidRDefault="00876B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E9BC" w14:textId="77777777" w:rsidR="009665FB" w:rsidRDefault="00966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A3CAB" w14:textId="77777777" w:rsidR="008630B5" w:rsidRPr="0059155D" w:rsidRDefault="008630B5" w:rsidP="008D7A3C">
    <w:pPr>
      <w:pStyle w:val="Footerline"/>
    </w:pPr>
  </w:p>
  <w:p w14:paraId="03362765" w14:textId="3D0E62B2" w:rsidR="008630B5" w:rsidRDefault="00A776C2" w:rsidP="008D7A3C">
    <w:pPr>
      <w:pStyle w:val="Footer"/>
    </w:pPr>
    <w:r>
      <w:t xml:space="preserve">OPCAT: Legal framework  </w:t>
    </w:r>
    <w:fldSimple w:instr=" DOCVARIABLE  dvShortText ">
      <w:r w:rsidR="00BA3D7E">
        <w:t xml:space="preserve"> </w:t>
      </w:r>
    </w:fldSimple>
    <w:r>
      <w:t xml:space="preserve"> </w:t>
    </w:r>
    <w:r w:rsidR="008630B5">
      <w:t xml:space="preserve">Page </w:t>
    </w:r>
    <w:r w:rsidR="008630B5" w:rsidRPr="00A32286">
      <w:rPr>
        <w:rStyle w:val="PageNumber"/>
      </w:rPr>
      <w:fldChar w:fldCharType="begin"/>
    </w:r>
    <w:r w:rsidR="008630B5" w:rsidRPr="00A32286">
      <w:rPr>
        <w:rStyle w:val="PageNumber"/>
      </w:rPr>
      <w:instrText xml:space="preserve"> PAGE   \* MERGEFORMAT </w:instrText>
    </w:r>
    <w:r w:rsidR="008630B5" w:rsidRPr="00A32286">
      <w:rPr>
        <w:rStyle w:val="PageNumber"/>
      </w:rPr>
      <w:fldChar w:fldCharType="separate"/>
    </w:r>
    <w:r w:rsidR="00A57427">
      <w:rPr>
        <w:rStyle w:val="PageNumber"/>
        <w:noProof/>
      </w:rPr>
      <w:t>2</w:t>
    </w:r>
    <w:r w:rsidR="008630B5"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F2921" w14:textId="77777777" w:rsidR="008630B5" w:rsidRPr="0059155D" w:rsidRDefault="008630B5" w:rsidP="00FC30CB">
    <w:pPr>
      <w:pStyle w:val="Footerline"/>
    </w:pPr>
  </w:p>
  <w:p w14:paraId="6A99A67C" w14:textId="77777777" w:rsidR="008630B5" w:rsidRPr="0059155D" w:rsidRDefault="008630B5" w:rsidP="008D7A3C">
    <w:pPr>
      <w:pStyle w:val="Footerline"/>
    </w:pPr>
  </w:p>
  <w:p w14:paraId="2394D889" w14:textId="3E76E207" w:rsidR="008630B5" w:rsidRPr="005533D8" w:rsidRDefault="00A776C2" w:rsidP="008630B5">
    <w:pPr>
      <w:pStyle w:val="Footer"/>
    </w:pPr>
    <w:r>
      <w:t>OPCAT: Legal framework</w:t>
    </w:r>
    <w:r w:rsidR="008630B5">
      <w:t xml:space="preserve">  </w:t>
    </w:r>
    <w:fldSimple w:instr=" DOCVARIABLE  dvShortText ">
      <w:r w:rsidR="00BA3D7E">
        <w:t xml:space="preserve"> </w:t>
      </w:r>
    </w:fldSimple>
    <w:r w:rsidR="008630B5">
      <w:t xml:space="preserve"> Page </w:t>
    </w:r>
    <w:r w:rsidR="008630B5" w:rsidRPr="00A32286">
      <w:rPr>
        <w:rStyle w:val="PageNumber"/>
      </w:rPr>
      <w:fldChar w:fldCharType="begin"/>
    </w:r>
    <w:r w:rsidR="008630B5" w:rsidRPr="00A32286">
      <w:rPr>
        <w:rStyle w:val="PageNumber"/>
      </w:rPr>
      <w:instrText xml:space="preserve"> PAGE   \* MERGEFORMAT </w:instrText>
    </w:r>
    <w:r w:rsidR="008630B5" w:rsidRPr="00A32286">
      <w:rPr>
        <w:rStyle w:val="PageNumber"/>
      </w:rPr>
      <w:fldChar w:fldCharType="separate"/>
    </w:r>
    <w:r w:rsidR="00A57427">
      <w:rPr>
        <w:rStyle w:val="PageNumber"/>
        <w:noProof/>
      </w:rPr>
      <w:t>1</w:t>
    </w:r>
    <w:r w:rsidR="008630B5"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A00BB" w14:textId="77777777" w:rsidR="00876B38" w:rsidRPr="00D45126" w:rsidRDefault="00876B38" w:rsidP="002B446B">
      <w:pPr>
        <w:spacing w:after="0" w:line="240" w:lineRule="auto"/>
        <w:rPr>
          <w:color w:val="4D4D4D"/>
        </w:rPr>
      </w:pPr>
      <w:r w:rsidRPr="00D45126">
        <w:rPr>
          <w:color w:val="4D4D4D"/>
        </w:rPr>
        <w:separator/>
      </w:r>
    </w:p>
  </w:footnote>
  <w:footnote w:type="continuationSeparator" w:id="0">
    <w:p w14:paraId="7439590F" w14:textId="77777777" w:rsidR="00876B38" w:rsidRPr="00C14083" w:rsidRDefault="00876B38" w:rsidP="00554FCD">
      <w:pPr>
        <w:spacing w:after="0" w:line="240" w:lineRule="auto"/>
        <w:rPr>
          <w:color w:val="4D4D4D"/>
        </w:rPr>
      </w:pPr>
      <w:r w:rsidRPr="00C14083">
        <w:rPr>
          <w:color w:val="4D4D4D"/>
        </w:rPr>
        <w:continuationSeparator/>
      </w:r>
    </w:p>
  </w:footnote>
  <w:footnote w:type="continuationNotice" w:id="1">
    <w:p w14:paraId="3069CC24" w14:textId="77777777" w:rsidR="00876B38" w:rsidRDefault="00876B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398ED" w14:textId="77777777" w:rsidR="009665FB" w:rsidRDefault="00966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1684" w14:textId="77777777" w:rsidR="009665FB" w:rsidRDefault="00966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F454" w14:textId="117E1AE1" w:rsidR="008630B5" w:rsidRPr="00BE6949" w:rsidRDefault="008630B5" w:rsidP="00FC30CB">
    <w:pPr>
      <w:pStyle w:val="Header"/>
      <w:rPr>
        <w:szCs w:val="2"/>
      </w:rPr>
    </w:pPr>
    <w:r w:rsidRPr="00BE6949">
      <w:rPr>
        <w:noProof/>
        <w:szCs w:val="2"/>
        <w:lang w:eastAsia="en-NZ"/>
      </w:rPr>
      <w:drawing>
        <wp:anchor distT="0" distB="0" distL="114300" distR="114300" simplePos="0" relativeHeight="251657216" behindDoc="0" locked="0" layoutInCell="1" allowOverlap="1" wp14:anchorId="076214A4" wp14:editId="58BE8283">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0E4F19FA" w14:textId="77777777" w:rsidR="008630B5" w:rsidRDefault="008630B5" w:rsidP="00177B3D">
    <w:pPr>
      <w:pStyle w:val="Header"/>
      <w:rPr>
        <w:szCs w:val="2"/>
      </w:rPr>
    </w:pPr>
  </w:p>
  <w:p w14:paraId="0BA44F09" w14:textId="77777777" w:rsidR="008630B5" w:rsidRDefault="008630B5" w:rsidP="00177B3D">
    <w:pPr>
      <w:pStyle w:val="Header"/>
      <w:rPr>
        <w:szCs w:val="2"/>
      </w:rPr>
    </w:pPr>
  </w:p>
  <w:p w14:paraId="3978BD20" w14:textId="77777777" w:rsidR="008630B5" w:rsidRDefault="008630B5" w:rsidP="00177B3D">
    <w:pPr>
      <w:pStyle w:val="Header"/>
      <w:rPr>
        <w:szCs w:val="2"/>
      </w:rPr>
    </w:pPr>
  </w:p>
  <w:p w14:paraId="67FC3895" w14:textId="77777777" w:rsidR="008630B5" w:rsidRDefault="008630B5" w:rsidP="00177B3D">
    <w:pPr>
      <w:pStyle w:val="Header"/>
      <w:rPr>
        <w:szCs w:val="2"/>
      </w:rPr>
    </w:pPr>
  </w:p>
  <w:p w14:paraId="5213A2AA" w14:textId="77777777" w:rsidR="008630B5" w:rsidRDefault="008630B5" w:rsidP="00177B3D">
    <w:pPr>
      <w:pStyle w:val="Header"/>
      <w:rPr>
        <w:szCs w:val="2"/>
      </w:rPr>
    </w:pPr>
  </w:p>
  <w:p w14:paraId="56543B3C" w14:textId="77777777" w:rsidR="008630B5" w:rsidRDefault="008630B5" w:rsidP="00177B3D">
    <w:pPr>
      <w:pStyle w:val="Header"/>
      <w:rPr>
        <w:szCs w:val="2"/>
      </w:rPr>
    </w:pPr>
  </w:p>
  <w:p w14:paraId="787140B7" w14:textId="77777777" w:rsidR="008630B5" w:rsidRDefault="008630B5" w:rsidP="00177B3D">
    <w:pPr>
      <w:pStyle w:val="Header"/>
      <w:rPr>
        <w:szCs w:val="2"/>
      </w:rPr>
    </w:pPr>
  </w:p>
  <w:p w14:paraId="2BCC971B" w14:textId="77777777" w:rsidR="008630B5" w:rsidRDefault="008630B5" w:rsidP="00177B3D">
    <w:pPr>
      <w:pStyle w:val="Header"/>
      <w:rPr>
        <w:szCs w:val="2"/>
      </w:rPr>
    </w:pPr>
  </w:p>
  <w:p w14:paraId="62CDAC91" w14:textId="77777777" w:rsidR="008630B5" w:rsidRPr="00E175EB" w:rsidRDefault="008630B5"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3"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7"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8"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9"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0"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3"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15"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7"/>
  </w:num>
  <w:num w:numId="3">
    <w:abstractNumId w:val="11"/>
  </w:num>
  <w:num w:numId="4">
    <w:abstractNumId w:val="12"/>
  </w:num>
  <w:num w:numId="5">
    <w:abstractNumId w:val="0"/>
  </w:num>
  <w:num w:numId="6">
    <w:abstractNumId w:val="8"/>
  </w:num>
  <w:num w:numId="7">
    <w:abstractNumId w:val="4"/>
  </w:num>
  <w:num w:numId="8">
    <w:abstractNumId w:val="13"/>
  </w:num>
  <w:num w:numId="9">
    <w:abstractNumId w:val="10"/>
  </w:num>
  <w:num w:numId="10">
    <w:abstractNumId w:val="6"/>
  </w:num>
  <w:num w:numId="11">
    <w:abstractNumId w:val="2"/>
  </w:num>
  <w:num w:numId="12">
    <w:abstractNumId w:val="14"/>
  </w:num>
  <w:num w:numId="13">
    <w:abstractNumId w:val="15"/>
  </w:num>
  <w:num w:numId="14">
    <w:abstractNumId w:val="9"/>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removePersonalInformation/>
  <w:removeDateAndTime/>
  <w:defaultTabStop w:val="567"/>
  <w:drawingGridHorizontalSpacing w:val="120"/>
  <w:displayHorizontalDrawingGridEvery w:val="2"/>
  <w:characterSpacingControl w:val="doNotCompress"/>
  <w:savePreviewPicture/>
  <w:hdrShapeDefaults>
    <o:shapedefaults v:ext="edit" spidmax="2457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3F3981"/>
    <w:rsid w:val="00001F57"/>
    <w:rsid w:val="00007902"/>
    <w:rsid w:val="000124CC"/>
    <w:rsid w:val="00012895"/>
    <w:rsid w:val="00013791"/>
    <w:rsid w:val="00013D24"/>
    <w:rsid w:val="00013DFD"/>
    <w:rsid w:val="000143D2"/>
    <w:rsid w:val="00015AF3"/>
    <w:rsid w:val="00015E5F"/>
    <w:rsid w:val="00017802"/>
    <w:rsid w:val="00021382"/>
    <w:rsid w:val="000221C9"/>
    <w:rsid w:val="0002625E"/>
    <w:rsid w:val="00026A3B"/>
    <w:rsid w:val="00026DAC"/>
    <w:rsid w:val="00032098"/>
    <w:rsid w:val="00032A75"/>
    <w:rsid w:val="000356C9"/>
    <w:rsid w:val="00041615"/>
    <w:rsid w:val="00041F7A"/>
    <w:rsid w:val="00042B34"/>
    <w:rsid w:val="00043764"/>
    <w:rsid w:val="00047248"/>
    <w:rsid w:val="00047E06"/>
    <w:rsid w:val="00050123"/>
    <w:rsid w:val="000507D4"/>
    <w:rsid w:val="00052610"/>
    <w:rsid w:val="00052A5C"/>
    <w:rsid w:val="00053114"/>
    <w:rsid w:val="0005538F"/>
    <w:rsid w:val="00057C4D"/>
    <w:rsid w:val="00057CF2"/>
    <w:rsid w:val="0006009F"/>
    <w:rsid w:val="00061E63"/>
    <w:rsid w:val="000620B2"/>
    <w:rsid w:val="00065694"/>
    <w:rsid w:val="00072239"/>
    <w:rsid w:val="00072A2D"/>
    <w:rsid w:val="00075081"/>
    <w:rsid w:val="00080A5B"/>
    <w:rsid w:val="00080A86"/>
    <w:rsid w:val="00080EEE"/>
    <w:rsid w:val="00083F90"/>
    <w:rsid w:val="00084EC9"/>
    <w:rsid w:val="000861D5"/>
    <w:rsid w:val="0008644C"/>
    <w:rsid w:val="00087367"/>
    <w:rsid w:val="00090481"/>
    <w:rsid w:val="000929F9"/>
    <w:rsid w:val="000932B0"/>
    <w:rsid w:val="00093E9B"/>
    <w:rsid w:val="00096872"/>
    <w:rsid w:val="000A0107"/>
    <w:rsid w:val="000A07B3"/>
    <w:rsid w:val="000A2C31"/>
    <w:rsid w:val="000A4A8A"/>
    <w:rsid w:val="000A56A9"/>
    <w:rsid w:val="000A6E09"/>
    <w:rsid w:val="000A7386"/>
    <w:rsid w:val="000B2A2F"/>
    <w:rsid w:val="000B3001"/>
    <w:rsid w:val="000B43C3"/>
    <w:rsid w:val="000B5DBC"/>
    <w:rsid w:val="000B6EEF"/>
    <w:rsid w:val="000C042D"/>
    <w:rsid w:val="000C181D"/>
    <w:rsid w:val="000C20DA"/>
    <w:rsid w:val="000C39EE"/>
    <w:rsid w:val="000C487C"/>
    <w:rsid w:val="000C5442"/>
    <w:rsid w:val="000C794D"/>
    <w:rsid w:val="000D2BB6"/>
    <w:rsid w:val="000D3183"/>
    <w:rsid w:val="000D33D6"/>
    <w:rsid w:val="000D3571"/>
    <w:rsid w:val="000D4757"/>
    <w:rsid w:val="000D6FA6"/>
    <w:rsid w:val="000E0CEC"/>
    <w:rsid w:val="000E17D4"/>
    <w:rsid w:val="000E24E1"/>
    <w:rsid w:val="000E2C2F"/>
    <w:rsid w:val="000E2DE5"/>
    <w:rsid w:val="000E7194"/>
    <w:rsid w:val="000E7897"/>
    <w:rsid w:val="000F2F29"/>
    <w:rsid w:val="000F32C4"/>
    <w:rsid w:val="000F45AE"/>
    <w:rsid w:val="001009F5"/>
    <w:rsid w:val="00100B8B"/>
    <w:rsid w:val="00101DB4"/>
    <w:rsid w:val="001026B4"/>
    <w:rsid w:val="00102C03"/>
    <w:rsid w:val="00104C56"/>
    <w:rsid w:val="00105EC3"/>
    <w:rsid w:val="001064E0"/>
    <w:rsid w:val="00107858"/>
    <w:rsid w:val="00110322"/>
    <w:rsid w:val="001129E8"/>
    <w:rsid w:val="00114B87"/>
    <w:rsid w:val="00115068"/>
    <w:rsid w:val="00116FE8"/>
    <w:rsid w:val="00120044"/>
    <w:rsid w:val="0012041B"/>
    <w:rsid w:val="00126287"/>
    <w:rsid w:val="001267DC"/>
    <w:rsid w:val="00126FF4"/>
    <w:rsid w:val="00130A66"/>
    <w:rsid w:val="00137F0A"/>
    <w:rsid w:val="00140996"/>
    <w:rsid w:val="00140DAC"/>
    <w:rsid w:val="001452C2"/>
    <w:rsid w:val="00150C98"/>
    <w:rsid w:val="001515DD"/>
    <w:rsid w:val="00151F5B"/>
    <w:rsid w:val="00152816"/>
    <w:rsid w:val="00153DCF"/>
    <w:rsid w:val="00153E4D"/>
    <w:rsid w:val="001541EC"/>
    <w:rsid w:val="00155848"/>
    <w:rsid w:val="00156CF2"/>
    <w:rsid w:val="00161A41"/>
    <w:rsid w:val="00161CC2"/>
    <w:rsid w:val="0016382B"/>
    <w:rsid w:val="00163A23"/>
    <w:rsid w:val="0016599E"/>
    <w:rsid w:val="00165C89"/>
    <w:rsid w:val="001709F2"/>
    <w:rsid w:val="00172982"/>
    <w:rsid w:val="00173E9F"/>
    <w:rsid w:val="001751CA"/>
    <w:rsid w:val="00175E56"/>
    <w:rsid w:val="00175F89"/>
    <w:rsid w:val="00180B80"/>
    <w:rsid w:val="001814BA"/>
    <w:rsid w:val="00181B5B"/>
    <w:rsid w:val="001822E3"/>
    <w:rsid w:val="00186A52"/>
    <w:rsid w:val="001872A2"/>
    <w:rsid w:val="001874C5"/>
    <w:rsid w:val="00190A34"/>
    <w:rsid w:val="00194280"/>
    <w:rsid w:val="00194AF8"/>
    <w:rsid w:val="00196510"/>
    <w:rsid w:val="00196F91"/>
    <w:rsid w:val="001971F7"/>
    <w:rsid w:val="001A0A01"/>
    <w:rsid w:val="001A2496"/>
    <w:rsid w:val="001A4C19"/>
    <w:rsid w:val="001B20DF"/>
    <w:rsid w:val="001B56F9"/>
    <w:rsid w:val="001B66AB"/>
    <w:rsid w:val="001C1D18"/>
    <w:rsid w:val="001C1D6F"/>
    <w:rsid w:val="001C7D15"/>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21A6"/>
    <w:rsid w:val="00206F17"/>
    <w:rsid w:val="0021064F"/>
    <w:rsid w:val="00211440"/>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3917"/>
    <w:rsid w:val="00274CB7"/>
    <w:rsid w:val="00275DA7"/>
    <w:rsid w:val="00276B72"/>
    <w:rsid w:val="00277354"/>
    <w:rsid w:val="00280907"/>
    <w:rsid w:val="00283493"/>
    <w:rsid w:val="0028442E"/>
    <w:rsid w:val="00285E38"/>
    <w:rsid w:val="002912F7"/>
    <w:rsid w:val="0029209E"/>
    <w:rsid w:val="00295101"/>
    <w:rsid w:val="002A1D84"/>
    <w:rsid w:val="002A34F1"/>
    <w:rsid w:val="002A451B"/>
    <w:rsid w:val="002A753C"/>
    <w:rsid w:val="002B19E4"/>
    <w:rsid w:val="002B1F1C"/>
    <w:rsid w:val="002B4324"/>
    <w:rsid w:val="002B446B"/>
    <w:rsid w:val="002B5274"/>
    <w:rsid w:val="002B6241"/>
    <w:rsid w:val="002B655A"/>
    <w:rsid w:val="002B6CA9"/>
    <w:rsid w:val="002C0A27"/>
    <w:rsid w:val="002C182F"/>
    <w:rsid w:val="002C355D"/>
    <w:rsid w:val="002C3BE6"/>
    <w:rsid w:val="002C4624"/>
    <w:rsid w:val="002C48EC"/>
    <w:rsid w:val="002C6579"/>
    <w:rsid w:val="002C6AFE"/>
    <w:rsid w:val="002D09E7"/>
    <w:rsid w:val="002D1154"/>
    <w:rsid w:val="002D4FD1"/>
    <w:rsid w:val="002D5D0F"/>
    <w:rsid w:val="002D6E92"/>
    <w:rsid w:val="002D7318"/>
    <w:rsid w:val="002D7BD6"/>
    <w:rsid w:val="002E287B"/>
    <w:rsid w:val="002E37EB"/>
    <w:rsid w:val="002E643B"/>
    <w:rsid w:val="002E6678"/>
    <w:rsid w:val="002F1298"/>
    <w:rsid w:val="002F4339"/>
    <w:rsid w:val="002F6849"/>
    <w:rsid w:val="002F7A08"/>
    <w:rsid w:val="003002CA"/>
    <w:rsid w:val="00300913"/>
    <w:rsid w:val="00305701"/>
    <w:rsid w:val="003070E6"/>
    <w:rsid w:val="003074E8"/>
    <w:rsid w:val="003108C7"/>
    <w:rsid w:val="00311186"/>
    <w:rsid w:val="0031265B"/>
    <w:rsid w:val="003149CE"/>
    <w:rsid w:val="00315EA6"/>
    <w:rsid w:val="00316C22"/>
    <w:rsid w:val="0031703A"/>
    <w:rsid w:val="003179F3"/>
    <w:rsid w:val="003205E8"/>
    <w:rsid w:val="00323123"/>
    <w:rsid w:val="003233AC"/>
    <w:rsid w:val="003241F4"/>
    <w:rsid w:val="00324547"/>
    <w:rsid w:val="00324D5D"/>
    <w:rsid w:val="00327CBE"/>
    <w:rsid w:val="00327F6F"/>
    <w:rsid w:val="00331C40"/>
    <w:rsid w:val="0033357D"/>
    <w:rsid w:val="00333EBD"/>
    <w:rsid w:val="00334100"/>
    <w:rsid w:val="00334220"/>
    <w:rsid w:val="00334F2E"/>
    <w:rsid w:val="0033609A"/>
    <w:rsid w:val="00336EE7"/>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006"/>
    <w:rsid w:val="00373DCE"/>
    <w:rsid w:val="00373E9C"/>
    <w:rsid w:val="00374CFE"/>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1BF7"/>
    <w:rsid w:val="003C6B10"/>
    <w:rsid w:val="003D139D"/>
    <w:rsid w:val="003D1B3B"/>
    <w:rsid w:val="003D2AC8"/>
    <w:rsid w:val="003D4FB5"/>
    <w:rsid w:val="003D5E54"/>
    <w:rsid w:val="003D6476"/>
    <w:rsid w:val="003D73B9"/>
    <w:rsid w:val="003E4400"/>
    <w:rsid w:val="003E51DA"/>
    <w:rsid w:val="003E6107"/>
    <w:rsid w:val="003E73D7"/>
    <w:rsid w:val="003E7BBC"/>
    <w:rsid w:val="003F0032"/>
    <w:rsid w:val="003F029A"/>
    <w:rsid w:val="003F039F"/>
    <w:rsid w:val="003F25B8"/>
    <w:rsid w:val="003F3611"/>
    <w:rsid w:val="003F396C"/>
    <w:rsid w:val="003F3981"/>
    <w:rsid w:val="003F5F52"/>
    <w:rsid w:val="003F68AA"/>
    <w:rsid w:val="003F6E0C"/>
    <w:rsid w:val="00401BF2"/>
    <w:rsid w:val="00401EFF"/>
    <w:rsid w:val="00404C91"/>
    <w:rsid w:val="00404EA5"/>
    <w:rsid w:val="00405076"/>
    <w:rsid w:val="00405742"/>
    <w:rsid w:val="00405E1E"/>
    <w:rsid w:val="00406000"/>
    <w:rsid w:val="0040612E"/>
    <w:rsid w:val="004061BA"/>
    <w:rsid w:val="00410181"/>
    <w:rsid w:val="004106A2"/>
    <w:rsid w:val="00411A78"/>
    <w:rsid w:val="00421C7E"/>
    <w:rsid w:val="00426E45"/>
    <w:rsid w:val="004302DE"/>
    <w:rsid w:val="00430CFD"/>
    <w:rsid w:val="00430D28"/>
    <w:rsid w:val="00431860"/>
    <w:rsid w:val="00431F33"/>
    <w:rsid w:val="004322CF"/>
    <w:rsid w:val="00433038"/>
    <w:rsid w:val="0043473C"/>
    <w:rsid w:val="004376EA"/>
    <w:rsid w:val="0043781B"/>
    <w:rsid w:val="00440502"/>
    <w:rsid w:val="004418F1"/>
    <w:rsid w:val="00442610"/>
    <w:rsid w:val="00443097"/>
    <w:rsid w:val="00443750"/>
    <w:rsid w:val="00446C33"/>
    <w:rsid w:val="0045229D"/>
    <w:rsid w:val="0045515F"/>
    <w:rsid w:val="004552AC"/>
    <w:rsid w:val="004557EE"/>
    <w:rsid w:val="00456CC5"/>
    <w:rsid w:val="00457690"/>
    <w:rsid w:val="00462EC9"/>
    <w:rsid w:val="0046411D"/>
    <w:rsid w:val="00467D21"/>
    <w:rsid w:val="00474BBD"/>
    <w:rsid w:val="00477A0B"/>
    <w:rsid w:val="004835B0"/>
    <w:rsid w:val="00484278"/>
    <w:rsid w:val="00492D07"/>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342C"/>
    <w:rsid w:val="004E6F8A"/>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19A"/>
    <w:rsid w:val="00515234"/>
    <w:rsid w:val="00515585"/>
    <w:rsid w:val="00521F78"/>
    <w:rsid w:val="00522F4C"/>
    <w:rsid w:val="0052518C"/>
    <w:rsid w:val="00525793"/>
    <w:rsid w:val="005261A0"/>
    <w:rsid w:val="0052677F"/>
    <w:rsid w:val="00527367"/>
    <w:rsid w:val="00530551"/>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CCC"/>
    <w:rsid w:val="00572F56"/>
    <w:rsid w:val="0057481D"/>
    <w:rsid w:val="005758E8"/>
    <w:rsid w:val="0057603B"/>
    <w:rsid w:val="0057620B"/>
    <w:rsid w:val="00577334"/>
    <w:rsid w:val="005820EE"/>
    <w:rsid w:val="0058612C"/>
    <w:rsid w:val="0059004E"/>
    <w:rsid w:val="00595B26"/>
    <w:rsid w:val="005A0F46"/>
    <w:rsid w:val="005A2E1B"/>
    <w:rsid w:val="005A4D0A"/>
    <w:rsid w:val="005A66A4"/>
    <w:rsid w:val="005A6987"/>
    <w:rsid w:val="005B0E93"/>
    <w:rsid w:val="005B1169"/>
    <w:rsid w:val="005B21F7"/>
    <w:rsid w:val="005B5487"/>
    <w:rsid w:val="005B62CC"/>
    <w:rsid w:val="005C1EDF"/>
    <w:rsid w:val="005C450E"/>
    <w:rsid w:val="005C61E8"/>
    <w:rsid w:val="005D1463"/>
    <w:rsid w:val="005D2713"/>
    <w:rsid w:val="005D4EB1"/>
    <w:rsid w:val="005D50F3"/>
    <w:rsid w:val="005D525E"/>
    <w:rsid w:val="005D6B80"/>
    <w:rsid w:val="005E0A06"/>
    <w:rsid w:val="005E1529"/>
    <w:rsid w:val="005E2932"/>
    <w:rsid w:val="005E3BDD"/>
    <w:rsid w:val="005E49EA"/>
    <w:rsid w:val="005E6C2C"/>
    <w:rsid w:val="005E7FBF"/>
    <w:rsid w:val="005F37F1"/>
    <w:rsid w:val="005F43B4"/>
    <w:rsid w:val="005F70F0"/>
    <w:rsid w:val="005F7F7E"/>
    <w:rsid w:val="00600296"/>
    <w:rsid w:val="006063D4"/>
    <w:rsid w:val="006077BF"/>
    <w:rsid w:val="00610FD3"/>
    <w:rsid w:val="006126AF"/>
    <w:rsid w:val="006136E0"/>
    <w:rsid w:val="00615E1C"/>
    <w:rsid w:val="00616CEE"/>
    <w:rsid w:val="00617C79"/>
    <w:rsid w:val="006214DC"/>
    <w:rsid w:val="00621B7D"/>
    <w:rsid w:val="00622C85"/>
    <w:rsid w:val="006232AC"/>
    <w:rsid w:val="0062484D"/>
    <w:rsid w:val="0062499A"/>
    <w:rsid w:val="00624E7B"/>
    <w:rsid w:val="0062506B"/>
    <w:rsid w:val="0062578E"/>
    <w:rsid w:val="006260D7"/>
    <w:rsid w:val="00630E54"/>
    <w:rsid w:val="0064119F"/>
    <w:rsid w:val="00642945"/>
    <w:rsid w:val="006448B1"/>
    <w:rsid w:val="00645EA7"/>
    <w:rsid w:val="0065058B"/>
    <w:rsid w:val="006654FB"/>
    <w:rsid w:val="00667D8F"/>
    <w:rsid w:val="00667ECA"/>
    <w:rsid w:val="0067015F"/>
    <w:rsid w:val="00670DDA"/>
    <w:rsid w:val="00670FD2"/>
    <w:rsid w:val="00673182"/>
    <w:rsid w:val="00674399"/>
    <w:rsid w:val="00674B30"/>
    <w:rsid w:val="00684052"/>
    <w:rsid w:val="006842F0"/>
    <w:rsid w:val="00686AF1"/>
    <w:rsid w:val="00690E96"/>
    <w:rsid w:val="00691335"/>
    <w:rsid w:val="00693948"/>
    <w:rsid w:val="006946C7"/>
    <w:rsid w:val="00694875"/>
    <w:rsid w:val="00694B28"/>
    <w:rsid w:val="0069576F"/>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53FA"/>
    <w:rsid w:val="006D7571"/>
    <w:rsid w:val="006D7E00"/>
    <w:rsid w:val="006E0D38"/>
    <w:rsid w:val="006E0E53"/>
    <w:rsid w:val="006E2CEE"/>
    <w:rsid w:val="006E5BAA"/>
    <w:rsid w:val="006E5E11"/>
    <w:rsid w:val="006E5FEA"/>
    <w:rsid w:val="006E641F"/>
    <w:rsid w:val="006F1976"/>
    <w:rsid w:val="006F4C29"/>
    <w:rsid w:val="006F4FF1"/>
    <w:rsid w:val="006F57D8"/>
    <w:rsid w:val="0070093E"/>
    <w:rsid w:val="00701B96"/>
    <w:rsid w:val="00703C65"/>
    <w:rsid w:val="00703CF9"/>
    <w:rsid w:val="00704768"/>
    <w:rsid w:val="00707B00"/>
    <w:rsid w:val="00711DCE"/>
    <w:rsid w:val="00712C05"/>
    <w:rsid w:val="00713C9F"/>
    <w:rsid w:val="00714520"/>
    <w:rsid w:val="00714CC5"/>
    <w:rsid w:val="007177C5"/>
    <w:rsid w:val="00717A58"/>
    <w:rsid w:val="007218A6"/>
    <w:rsid w:val="007239E2"/>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913"/>
    <w:rsid w:val="00745ACC"/>
    <w:rsid w:val="00746F9C"/>
    <w:rsid w:val="007477C2"/>
    <w:rsid w:val="007526B4"/>
    <w:rsid w:val="00752B8C"/>
    <w:rsid w:val="00753543"/>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C5"/>
    <w:rsid w:val="007929EE"/>
    <w:rsid w:val="00795530"/>
    <w:rsid w:val="00795939"/>
    <w:rsid w:val="00795ED2"/>
    <w:rsid w:val="00797DC2"/>
    <w:rsid w:val="007A3D04"/>
    <w:rsid w:val="007A53D1"/>
    <w:rsid w:val="007A6586"/>
    <w:rsid w:val="007A74A0"/>
    <w:rsid w:val="007B4F3B"/>
    <w:rsid w:val="007B501F"/>
    <w:rsid w:val="007B6014"/>
    <w:rsid w:val="007B62EB"/>
    <w:rsid w:val="007C0EDF"/>
    <w:rsid w:val="007C2D79"/>
    <w:rsid w:val="007C3842"/>
    <w:rsid w:val="007C3BDA"/>
    <w:rsid w:val="007D037D"/>
    <w:rsid w:val="007D19F4"/>
    <w:rsid w:val="007D3BD1"/>
    <w:rsid w:val="007E27BA"/>
    <w:rsid w:val="007E478F"/>
    <w:rsid w:val="007E5C8C"/>
    <w:rsid w:val="007F16B9"/>
    <w:rsid w:val="007F7AFF"/>
    <w:rsid w:val="0080051F"/>
    <w:rsid w:val="008007D1"/>
    <w:rsid w:val="00800911"/>
    <w:rsid w:val="008028DE"/>
    <w:rsid w:val="008033B0"/>
    <w:rsid w:val="0080356A"/>
    <w:rsid w:val="008060A0"/>
    <w:rsid w:val="00813B10"/>
    <w:rsid w:val="00816D53"/>
    <w:rsid w:val="00824CF8"/>
    <w:rsid w:val="0082520B"/>
    <w:rsid w:val="00826856"/>
    <w:rsid w:val="00830680"/>
    <w:rsid w:val="0083179E"/>
    <w:rsid w:val="008334D0"/>
    <w:rsid w:val="008365EB"/>
    <w:rsid w:val="00837EA6"/>
    <w:rsid w:val="008401CE"/>
    <w:rsid w:val="008429D3"/>
    <w:rsid w:val="008461B9"/>
    <w:rsid w:val="00846D79"/>
    <w:rsid w:val="008471F2"/>
    <w:rsid w:val="008511D7"/>
    <w:rsid w:val="0085448D"/>
    <w:rsid w:val="0085724C"/>
    <w:rsid w:val="0085765E"/>
    <w:rsid w:val="00860B01"/>
    <w:rsid w:val="00860BF7"/>
    <w:rsid w:val="008630B5"/>
    <w:rsid w:val="008635B6"/>
    <w:rsid w:val="008643E8"/>
    <w:rsid w:val="00864D35"/>
    <w:rsid w:val="00873379"/>
    <w:rsid w:val="00873EC0"/>
    <w:rsid w:val="00874AEC"/>
    <w:rsid w:val="00876B38"/>
    <w:rsid w:val="00877E41"/>
    <w:rsid w:val="00884716"/>
    <w:rsid w:val="00886445"/>
    <w:rsid w:val="008865CF"/>
    <w:rsid w:val="00890187"/>
    <w:rsid w:val="0089627A"/>
    <w:rsid w:val="008973EF"/>
    <w:rsid w:val="008A05B7"/>
    <w:rsid w:val="008A37BD"/>
    <w:rsid w:val="008A4523"/>
    <w:rsid w:val="008A70B5"/>
    <w:rsid w:val="008A7FD7"/>
    <w:rsid w:val="008B0D20"/>
    <w:rsid w:val="008B1687"/>
    <w:rsid w:val="008B1EF7"/>
    <w:rsid w:val="008B58E5"/>
    <w:rsid w:val="008B76D2"/>
    <w:rsid w:val="008C3437"/>
    <w:rsid w:val="008C39DB"/>
    <w:rsid w:val="008C3EA5"/>
    <w:rsid w:val="008C4CD4"/>
    <w:rsid w:val="008D0E01"/>
    <w:rsid w:val="008D155F"/>
    <w:rsid w:val="008D27C7"/>
    <w:rsid w:val="008D2BB0"/>
    <w:rsid w:val="008D38A4"/>
    <w:rsid w:val="008D513E"/>
    <w:rsid w:val="008D62C6"/>
    <w:rsid w:val="008D6A37"/>
    <w:rsid w:val="008E0636"/>
    <w:rsid w:val="008E113A"/>
    <w:rsid w:val="008E180B"/>
    <w:rsid w:val="008E206B"/>
    <w:rsid w:val="008E6C86"/>
    <w:rsid w:val="008E7937"/>
    <w:rsid w:val="008F2F1C"/>
    <w:rsid w:val="008F614F"/>
    <w:rsid w:val="008F643B"/>
    <w:rsid w:val="00901E73"/>
    <w:rsid w:val="00903FCC"/>
    <w:rsid w:val="00904BF5"/>
    <w:rsid w:val="009109CD"/>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2F2C"/>
    <w:rsid w:val="0095480A"/>
    <w:rsid w:val="009606FD"/>
    <w:rsid w:val="00962CF1"/>
    <w:rsid w:val="009635CD"/>
    <w:rsid w:val="009650D5"/>
    <w:rsid w:val="00965239"/>
    <w:rsid w:val="00965824"/>
    <w:rsid w:val="00966052"/>
    <w:rsid w:val="009665FB"/>
    <w:rsid w:val="00970BD4"/>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C495B"/>
    <w:rsid w:val="009D35A1"/>
    <w:rsid w:val="009D3DC0"/>
    <w:rsid w:val="009D45D2"/>
    <w:rsid w:val="009D6DA2"/>
    <w:rsid w:val="009D75AE"/>
    <w:rsid w:val="009E02A1"/>
    <w:rsid w:val="009E473E"/>
    <w:rsid w:val="009E658C"/>
    <w:rsid w:val="009E6C50"/>
    <w:rsid w:val="009E7176"/>
    <w:rsid w:val="009F107A"/>
    <w:rsid w:val="009F2134"/>
    <w:rsid w:val="009F2B9E"/>
    <w:rsid w:val="009F4380"/>
    <w:rsid w:val="009F4DDA"/>
    <w:rsid w:val="009F68AD"/>
    <w:rsid w:val="009F773C"/>
    <w:rsid w:val="00A109BE"/>
    <w:rsid w:val="00A113FC"/>
    <w:rsid w:val="00A13DA1"/>
    <w:rsid w:val="00A147A8"/>
    <w:rsid w:val="00A14DEB"/>
    <w:rsid w:val="00A168B9"/>
    <w:rsid w:val="00A22365"/>
    <w:rsid w:val="00A22C6D"/>
    <w:rsid w:val="00A23242"/>
    <w:rsid w:val="00A2487E"/>
    <w:rsid w:val="00A3057B"/>
    <w:rsid w:val="00A30994"/>
    <w:rsid w:val="00A32286"/>
    <w:rsid w:val="00A3355A"/>
    <w:rsid w:val="00A34057"/>
    <w:rsid w:val="00A34706"/>
    <w:rsid w:val="00A34EC7"/>
    <w:rsid w:val="00A36718"/>
    <w:rsid w:val="00A37183"/>
    <w:rsid w:val="00A4087E"/>
    <w:rsid w:val="00A42918"/>
    <w:rsid w:val="00A42942"/>
    <w:rsid w:val="00A42E70"/>
    <w:rsid w:val="00A43765"/>
    <w:rsid w:val="00A442D7"/>
    <w:rsid w:val="00A46929"/>
    <w:rsid w:val="00A47267"/>
    <w:rsid w:val="00A472D6"/>
    <w:rsid w:val="00A47F79"/>
    <w:rsid w:val="00A5066D"/>
    <w:rsid w:val="00A52525"/>
    <w:rsid w:val="00A52608"/>
    <w:rsid w:val="00A543E5"/>
    <w:rsid w:val="00A57427"/>
    <w:rsid w:val="00A62097"/>
    <w:rsid w:val="00A6506D"/>
    <w:rsid w:val="00A6537E"/>
    <w:rsid w:val="00A705AB"/>
    <w:rsid w:val="00A7093F"/>
    <w:rsid w:val="00A738E8"/>
    <w:rsid w:val="00A73C5A"/>
    <w:rsid w:val="00A7437C"/>
    <w:rsid w:val="00A74D82"/>
    <w:rsid w:val="00A75A43"/>
    <w:rsid w:val="00A761CA"/>
    <w:rsid w:val="00A76B36"/>
    <w:rsid w:val="00A76D5C"/>
    <w:rsid w:val="00A776C2"/>
    <w:rsid w:val="00A77838"/>
    <w:rsid w:val="00A800F7"/>
    <w:rsid w:val="00A80669"/>
    <w:rsid w:val="00A80807"/>
    <w:rsid w:val="00A80C5E"/>
    <w:rsid w:val="00A82CEC"/>
    <w:rsid w:val="00A83F11"/>
    <w:rsid w:val="00A841AA"/>
    <w:rsid w:val="00A873EA"/>
    <w:rsid w:val="00A90037"/>
    <w:rsid w:val="00A90829"/>
    <w:rsid w:val="00A92105"/>
    <w:rsid w:val="00A92225"/>
    <w:rsid w:val="00A94FAB"/>
    <w:rsid w:val="00A95A67"/>
    <w:rsid w:val="00A97AD2"/>
    <w:rsid w:val="00AA06C9"/>
    <w:rsid w:val="00AA0756"/>
    <w:rsid w:val="00AA5C64"/>
    <w:rsid w:val="00AA6557"/>
    <w:rsid w:val="00AA7176"/>
    <w:rsid w:val="00AA741A"/>
    <w:rsid w:val="00AB1614"/>
    <w:rsid w:val="00AB5002"/>
    <w:rsid w:val="00AB5142"/>
    <w:rsid w:val="00AB5E64"/>
    <w:rsid w:val="00AB6894"/>
    <w:rsid w:val="00AC067E"/>
    <w:rsid w:val="00AC0A31"/>
    <w:rsid w:val="00AC0B19"/>
    <w:rsid w:val="00AC2E3E"/>
    <w:rsid w:val="00AC75BD"/>
    <w:rsid w:val="00AC7B2A"/>
    <w:rsid w:val="00AD007B"/>
    <w:rsid w:val="00AD0D73"/>
    <w:rsid w:val="00AD230F"/>
    <w:rsid w:val="00AD27AE"/>
    <w:rsid w:val="00AD2CF5"/>
    <w:rsid w:val="00AD4CFF"/>
    <w:rsid w:val="00AD5189"/>
    <w:rsid w:val="00AD62E7"/>
    <w:rsid w:val="00AD6A30"/>
    <w:rsid w:val="00AD7BEA"/>
    <w:rsid w:val="00AE0909"/>
    <w:rsid w:val="00AE1C94"/>
    <w:rsid w:val="00AE2556"/>
    <w:rsid w:val="00AE3C36"/>
    <w:rsid w:val="00AE40BA"/>
    <w:rsid w:val="00AE4F25"/>
    <w:rsid w:val="00AE670C"/>
    <w:rsid w:val="00AF28AF"/>
    <w:rsid w:val="00B003B5"/>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53B"/>
    <w:rsid w:val="00B732D1"/>
    <w:rsid w:val="00B768D6"/>
    <w:rsid w:val="00B76E7D"/>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3D7E"/>
    <w:rsid w:val="00BA5CB4"/>
    <w:rsid w:val="00BA755A"/>
    <w:rsid w:val="00BB1A2F"/>
    <w:rsid w:val="00BB4078"/>
    <w:rsid w:val="00BB4594"/>
    <w:rsid w:val="00BB5C0B"/>
    <w:rsid w:val="00BB5C56"/>
    <w:rsid w:val="00BB6F8B"/>
    <w:rsid w:val="00BB7C00"/>
    <w:rsid w:val="00BC1291"/>
    <w:rsid w:val="00BC190A"/>
    <w:rsid w:val="00BD1477"/>
    <w:rsid w:val="00BD23D9"/>
    <w:rsid w:val="00BE18A3"/>
    <w:rsid w:val="00BE420A"/>
    <w:rsid w:val="00BE42F3"/>
    <w:rsid w:val="00BE51BA"/>
    <w:rsid w:val="00BE67D3"/>
    <w:rsid w:val="00BE7E64"/>
    <w:rsid w:val="00BF11EB"/>
    <w:rsid w:val="00BF310E"/>
    <w:rsid w:val="00BF4458"/>
    <w:rsid w:val="00BF56EB"/>
    <w:rsid w:val="00BF6FB5"/>
    <w:rsid w:val="00BF768F"/>
    <w:rsid w:val="00C0107D"/>
    <w:rsid w:val="00C0546F"/>
    <w:rsid w:val="00C0630B"/>
    <w:rsid w:val="00C0787E"/>
    <w:rsid w:val="00C14083"/>
    <w:rsid w:val="00C15B7C"/>
    <w:rsid w:val="00C17717"/>
    <w:rsid w:val="00C261B9"/>
    <w:rsid w:val="00C277A9"/>
    <w:rsid w:val="00C2797C"/>
    <w:rsid w:val="00C307B9"/>
    <w:rsid w:val="00C334F3"/>
    <w:rsid w:val="00C33861"/>
    <w:rsid w:val="00C35659"/>
    <w:rsid w:val="00C40A91"/>
    <w:rsid w:val="00C4103C"/>
    <w:rsid w:val="00C42B38"/>
    <w:rsid w:val="00C42DC7"/>
    <w:rsid w:val="00C47A2B"/>
    <w:rsid w:val="00C50877"/>
    <w:rsid w:val="00C5191F"/>
    <w:rsid w:val="00C51948"/>
    <w:rsid w:val="00C53C14"/>
    <w:rsid w:val="00C55501"/>
    <w:rsid w:val="00C56640"/>
    <w:rsid w:val="00C61DAB"/>
    <w:rsid w:val="00C6684F"/>
    <w:rsid w:val="00C7068F"/>
    <w:rsid w:val="00C71656"/>
    <w:rsid w:val="00C71F73"/>
    <w:rsid w:val="00C720D1"/>
    <w:rsid w:val="00C72B74"/>
    <w:rsid w:val="00C72DEC"/>
    <w:rsid w:val="00C73D2B"/>
    <w:rsid w:val="00C73F20"/>
    <w:rsid w:val="00C764F8"/>
    <w:rsid w:val="00C836CD"/>
    <w:rsid w:val="00C86BDD"/>
    <w:rsid w:val="00C878BF"/>
    <w:rsid w:val="00C954FF"/>
    <w:rsid w:val="00C9605B"/>
    <w:rsid w:val="00C976F6"/>
    <w:rsid w:val="00CA1A45"/>
    <w:rsid w:val="00CA71F6"/>
    <w:rsid w:val="00CB20FE"/>
    <w:rsid w:val="00CB41F1"/>
    <w:rsid w:val="00CB48DF"/>
    <w:rsid w:val="00CB6A25"/>
    <w:rsid w:val="00CB7FF0"/>
    <w:rsid w:val="00CC2369"/>
    <w:rsid w:val="00CC2578"/>
    <w:rsid w:val="00CC2819"/>
    <w:rsid w:val="00CC3D6E"/>
    <w:rsid w:val="00CC67C8"/>
    <w:rsid w:val="00CC712E"/>
    <w:rsid w:val="00CC7783"/>
    <w:rsid w:val="00CD0A84"/>
    <w:rsid w:val="00CD2344"/>
    <w:rsid w:val="00CD3DB3"/>
    <w:rsid w:val="00CD412C"/>
    <w:rsid w:val="00CD45FF"/>
    <w:rsid w:val="00CD5BC4"/>
    <w:rsid w:val="00CD5F5C"/>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77"/>
    <w:rsid w:val="00D068F1"/>
    <w:rsid w:val="00D069FC"/>
    <w:rsid w:val="00D12430"/>
    <w:rsid w:val="00D137EC"/>
    <w:rsid w:val="00D141B4"/>
    <w:rsid w:val="00D16F5B"/>
    <w:rsid w:val="00D21E0C"/>
    <w:rsid w:val="00D244DC"/>
    <w:rsid w:val="00D268E7"/>
    <w:rsid w:val="00D270A1"/>
    <w:rsid w:val="00D316A6"/>
    <w:rsid w:val="00D31D2A"/>
    <w:rsid w:val="00D334E6"/>
    <w:rsid w:val="00D33F65"/>
    <w:rsid w:val="00D417C4"/>
    <w:rsid w:val="00D42833"/>
    <w:rsid w:val="00D43EB6"/>
    <w:rsid w:val="00D44CB1"/>
    <w:rsid w:val="00D45126"/>
    <w:rsid w:val="00D46739"/>
    <w:rsid w:val="00D531CA"/>
    <w:rsid w:val="00D53408"/>
    <w:rsid w:val="00D62BB4"/>
    <w:rsid w:val="00D63AFA"/>
    <w:rsid w:val="00D64018"/>
    <w:rsid w:val="00D6538C"/>
    <w:rsid w:val="00D655C0"/>
    <w:rsid w:val="00D65F90"/>
    <w:rsid w:val="00D663CA"/>
    <w:rsid w:val="00D71A9E"/>
    <w:rsid w:val="00D7203E"/>
    <w:rsid w:val="00D72E42"/>
    <w:rsid w:val="00D76E11"/>
    <w:rsid w:val="00D80C23"/>
    <w:rsid w:val="00D80CC0"/>
    <w:rsid w:val="00D815A1"/>
    <w:rsid w:val="00D81D28"/>
    <w:rsid w:val="00D82180"/>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1BE"/>
    <w:rsid w:val="00DB191E"/>
    <w:rsid w:val="00DB64A0"/>
    <w:rsid w:val="00DB7F7E"/>
    <w:rsid w:val="00DC0509"/>
    <w:rsid w:val="00DC1226"/>
    <w:rsid w:val="00DC12D5"/>
    <w:rsid w:val="00DC5101"/>
    <w:rsid w:val="00DC633C"/>
    <w:rsid w:val="00DC726F"/>
    <w:rsid w:val="00DC7E75"/>
    <w:rsid w:val="00DD011A"/>
    <w:rsid w:val="00DD0B3F"/>
    <w:rsid w:val="00DD1848"/>
    <w:rsid w:val="00DD25BC"/>
    <w:rsid w:val="00DD2B70"/>
    <w:rsid w:val="00DD3B93"/>
    <w:rsid w:val="00DD3D11"/>
    <w:rsid w:val="00DD653A"/>
    <w:rsid w:val="00DE02E4"/>
    <w:rsid w:val="00DE1955"/>
    <w:rsid w:val="00DE1F5C"/>
    <w:rsid w:val="00DE28BA"/>
    <w:rsid w:val="00DF430D"/>
    <w:rsid w:val="00DF6967"/>
    <w:rsid w:val="00E0024B"/>
    <w:rsid w:val="00E03A2C"/>
    <w:rsid w:val="00E06417"/>
    <w:rsid w:val="00E10A62"/>
    <w:rsid w:val="00E11A93"/>
    <w:rsid w:val="00E174F7"/>
    <w:rsid w:val="00E175EB"/>
    <w:rsid w:val="00E208F2"/>
    <w:rsid w:val="00E22D4A"/>
    <w:rsid w:val="00E2375C"/>
    <w:rsid w:val="00E249FF"/>
    <w:rsid w:val="00E256FE"/>
    <w:rsid w:val="00E27B6E"/>
    <w:rsid w:val="00E30785"/>
    <w:rsid w:val="00E30F41"/>
    <w:rsid w:val="00E315D5"/>
    <w:rsid w:val="00E3172E"/>
    <w:rsid w:val="00E34108"/>
    <w:rsid w:val="00E37044"/>
    <w:rsid w:val="00E40594"/>
    <w:rsid w:val="00E40C98"/>
    <w:rsid w:val="00E46E81"/>
    <w:rsid w:val="00E472CF"/>
    <w:rsid w:val="00E52A0C"/>
    <w:rsid w:val="00E52F5A"/>
    <w:rsid w:val="00E57913"/>
    <w:rsid w:val="00E6042D"/>
    <w:rsid w:val="00E60972"/>
    <w:rsid w:val="00E66EFF"/>
    <w:rsid w:val="00E67238"/>
    <w:rsid w:val="00E7080D"/>
    <w:rsid w:val="00E71866"/>
    <w:rsid w:val="00E72267"/>
    <w:rsid w:val="00E7270F"/>
    <w:rsid w:val="00E734D3"/>
    <w:rsid w:val="00E76FD3"/>
    <w:rsid w:val="00E77C38"/>
    <w:rsid w:val="00E8254B"/>
    <w:rsid w:val="00E850BC"/>
    <w:rsid w:val="00E91E05"/>
    <w:rsid w:val="00E94315"/>
    <w:rsid w:val="00E9593C"/>
    <w:rsid w:val="00E973D7"/>
    <w:rsid w:val="00E97FD1"/>
    <w:rsid w:val="00EA16C7"/>
    <w:rsid w:val="00EA1916"/>
    <w:rsid w:val="00EA255A"/>
    <w:rsid w:val="00EA3585"/>
    <w:rsid w:val="00EA3CDD"/>
    <w:rsid w:val="00EA4673"/>
    <w:rsid w:val="00EA5AA7"/>
    <w:rsid w:val="00EA6695"/>
    <w:rsid w:val="00EA67E8"/>
    <w:rsid w:val="00EA6926"/>
    <w:rsid w:val="00EA7F05"/>
    <w:rsid w:val="00EB046D"/>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25C8"/>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25526"/>
    <w:rsid w:val="00F30D05"/>
    <w:rsid w:val="00F32C2B"/>
    <w:rsid w:val="00F342C7"/>
    <w:rsid w:val="00F36446"/>
    <w:rsid w:val="00F37A29"/>
    <w:rsid w:val="00F421F8"/>
    <w:rsid w:val="00F44184"/>
    <w:rsid w:val="00F4637E"/>
    <w:rsid w:val="00F46E6B"/>
    <w:rsid w:val="00F46F6E"/>
    <w:rsid w:val="00F46FF8"/>
    <w:rsid w:val="00F504BC"/>
    <w:rsid w:val="00F515CE"/>
    <w:rsid w:val="00F55965"/>
    <w:rsid w:val="00F55CFC"/>
    <w:rsid w:val="00F5733F"/>
    <w:rsid w:val="00F57DBF"/>
    <w:rsid w:val="00F607DC"/>
    <w:rsid w:val="00F6201A"/>
    <w:rsid w:val="00F66414"/>
    <w:rsid w:val="00F6705E"/>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B08"/>
    <w:rsid w:val="00FD0E94"/>
    <w:rsid w:val="00FD12EB"/>
    <w:rsid w:val="00FD3EE3"/>
    <w:rsid w:val="00FD662A"/>
    <w:rsid w:val="00FE065C"/>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472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qFormat/>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752B8C"/>
    <w:rPr>
      <w:sz w:val="16"/>
      <w:szCs w:val="16"/>
    </w:rPr>
  </w:style>
  <w:style w:type="paragraph" w:styleId="Revision">
    <w:name w:val="Revision"/>
    <w:hidden/>
    <w:uiPriority w:val="99"/>
    <w:semiHidden/>
    <w:rsid w:val="00AA06C9"/>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Pages/Home.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www.ombudsman.parliament.nz/what-we-do" TargetMode="External"/><Relationship Id="rId12" Type="http://schemas.openxmlformats.org/officeDocument/2006/relationships/hyperlink" Target="https://gazette.govt.nz/notice/id/2018-go2603"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t.nz/act/public/1975/0009/latest/DLM430984.html?search=ts_act%40bill%40regulation%40deemedreg_ombudsmen+act_resel_25_a&amp;p=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gislation.govt.nz/act/public/1989/0106/latest/DLM192818.html?search=ts_act%40bill%40regulation%40deemedreg_crimes+of+torture+act_resel_25_h&amp;p=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pt.c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2019-10-23T02:04:00Z</dcterms:created>
  <dcterms:modified xsi:type="dcterms:W3CDTF">2019-10-23T02:04:00Z</dcterms:modified>
  <cp:contentStatus/>
</cp:coreProperties>
</file>