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D2" w:rsidRDefault="00342A19" w:rsidP="009454D2">
      <w:pPr>
        <w:pStyle w:val="HeadingAppendix"/>
        <w:numPr>
          <w:ilvl w:val="0"/>
          <w:numId w:val="0"/>
        </w:numPr>
      </w:pPr>
      <w:bookmarkStart w:id="0" w:name="_Toc485887912"/>
      <w:r>
        <w:t>Charging work sheet</w:t>
      </w:r>
      <w:bookmarkEnd w:id="0"/>
    </w:p>
    <w:p w:rsidR="00340BA3" w:rsidRPr="009454D2" w:rsidRDefault="00342A19" w:rsidP="00340BA3">
      <w:pPr>
        <w:pStyle w:val="Whitespace"/>
      </w:pPr>
    </w:p>
    <w:tbl>
      <w:tblPr>
        <w:tblStyle w:val="TableBox"/>
        <w:tblW w:w="9297" w:type="dxa"/>
        <w:tblInd w:w="283" w:type="dxa"/>
        <w:tblLayout w:type="fixed"/>
        <w:tblLook w:val="04A0" w:firstRow="1" w:lastRow="0" w:firstColumn="1" w:lastColumn="0" w:noHBand="0" w:noVBand="1"/>
      </w:tblPr>
      <w:tblGrid>
        <w:gridCol w:w="9297"/>
      </w:tblGrid>
      <w:tr w:rsidR="00F214D0" w:rsidTr="00DC6AAD">
        <w:tc>
          <w:tcPr>
            <w:tcW w:w="9297" w:type="dxa"/>
          </w:tcPr>
          <w:p w:rsidR="00340BA3" w:rsidRDefault="00342A19" w:rsidP="00DC6AAD">
            <w:pPr>
              <w:pStyle w:val="Headingboxtexttop"/>
              <w:tabs>
                <w:tab w:val="num" w:pos="567"/>
              </w:tabs>
            </w:pPr>
            <w:r w:rsidRPr="009454D2">
              <w:rPr>
                <w:noProof/>
                <w:lang w:eastAsia="en-NZ"/>
              </w:rPr>
              <w:drawing>
                <wp:inline distT="0" distB="0" distL="0" distR="0">
                  <wp:extent cx="206041" cy="180000"/>
                  <wp:effectExtent l="19050" t="0" r="3509" b="0"/>
                  <wp:docPr id="1" name="Picture 1" descr="http://openclipart.org/image/800px/svg_to_png/14428/h0us3s_Signs_Hazard_Warning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08441" name="Picture 1" descr="http://openclipart.org/image/800px/svg_to_png/14428/h0us3s_Signs_Hazard_Warning_9.png"/>
                          <pic:cNvPicPr>
                            <a:picLocks noChangeAspect="1" noChangeArrowheads="1"/>
                          </pic:cNvPicPr>
                        </pic:nvPicPr>
                        <pic:blipFill>
                          <a:blip r:embed="rId8" cstate="print"/>
                          <a:stretch>
                            <a:fillRect/>
                          </a:stretch>
                        </pic:blipFill>
                        <pic:spPr bwMode="auto">
                          <a:xfrm>
                            <a:off x="0" y="0"/>
                            <a:ext cx="206041" cy="180000"/>
                          </a:xfrm>
                          <a:prstGeom prst="rect">
                            <a:avLst/>
                          </a:prstGeom>
                          <a:noFill/>
                          <a:ln w="9525">
                            <a:noFill/>
                            <a:miter lim="800000"/>
                            <a:headEnd/>
                            <a:tailEnd/>
                          </a:ln>
                        </pic:spPr>
                      </pic:pic>
                    </a:graphicData>
                  </a:graphic>
                </wp:inline>
              </w:drawing>
            </w:r>
            <w:r>
              <w:t>Important note</w:t>
            </w:r>
          </w:p>
          <w:p w:rsidR="00340BA3" w:rsidRDefault="00342A19" w:rsidP="00DC6AAD">
            <w:pPr>
              <w:pStyle w:val="Boxsmalltext"/>
              <w:tabs>
                <w:tab w:val="num" w:pos="567"/>
              </w:tabs>
            </w:pPr>
            <w:r>
              <w:t xml:space="preserve">This summary work sheet takes you through the process of deciding whether or not to charge for the supply of official information, and if so, how much. More detailed guidance is found in our guide: </w:t>
            </w:r>
            <w:hyperlink r:id="rId9" w:history="1">
              <w:r w:rsidRPr="00340BA3">
                <w:rPr>
                  <w:rStyle w:val="Hyperlink"/>
                  <w:i/>
                </w:rPr>
                <w:t>Charging</w:t>
              </w:r>
            </w:hyperlink>
            <w:r>
              <w:t>.</w:t>
            </w:r>
            <w:r>
              <w:t xml:space="preserve"> We also have a </w:t>
            </w:r>
            <w:hyperlink r:id="rId10" w:history="1">
              <w:r w:rsidRPr="00097FCC">
                <w:rPr>
                  <w:rStyle w:val="Hyperlink"/>
                </w:rPr>
                <w:t>sample estimate of costs</w:t>
              </w:r>
            </w:hyperlink>
            <w:r>
              <w:t xml:space="preserve"> that can be used to help calculate the charge, and be provided to the requester. </w:t>
            </w:r>
          </w:p>
        </w:tc>
      </w:tr>
    </w:tbl>
    <w:p w:rsidR="00340BA3" w:rsidRDefault="00342A19" w:rsidP="005D7A1D">
      <w:pPr>
        <w:pStyle w:val="BodyText"/>
      </w:pPr>
    </w:p>
    <w:tbl>
      <w:tblPr>
        <w:tblStyle w:val="TableGrid"/>
        <w:tblW w:w="9300" w:type="dxa"/>
        <w:tblInd w:w="108" w:type="dxa"/>
        <w:tblLayout w:type="fixed"/>
        <w:tblLook w:val="0620" w:firstRow="1" w:lastRow="0" w:firstColumn="0" w:lastColumn="0" w:noHBand="1" w:noVBand="1"/>
      </w:tblPr>
      <w:tblGrid>
        <w:gridCol w:w="2695"/>
        <w:gridCol w:w="6605"/>
      </w:tblGrid>
      <w:tr w:rsidR="00F214D0" w:rsidTr="00F214D0">
        <w:trPr>
          <w:cnfStyle w:val="100000000000" w:firstRow="1" w:lastRow="0" w:firstColumn="0" w:lastColumn="0" w:oddVBand="0" w:evenVBand="0" w:oddHBand="0" w:evenHBand="0" w:firstRowFirstColumn="0" w:firstRowLastColumn="0" w:lastRowFirstColumn="0" w:lastRowLastColumn="0"/>
        </w:trPr>
        <w:tc>
          <w:tcPr>
            <w:tcW w:w="2695" w:type="dxa"/>
            <w:tcBorders>
              <w:left w:val="single" w:sz="4" w:space="0" w:color="A6A6A6" w:themeColor="background1" w:themeShade="A6"/>
            </w:tcBorders>
            <w:shd w:val="clear" w:color="auto" w:fill="D3D3D3"/>
            <w:hideMark/>
          </w:tcPr>
          <w:p w:rsidR="001F2080" w:rsidRDefault="00342A19" w:rsidP="00DC6AAD">
            <w:pPr>
              <w:pStyle w:val="Boxsmallnumber-1"/>
              <w:numPr>
                <w:ilvl w:val="0"/>
                <w:numId w:val="45"/>
              </w:numPr>
              <w:rPr>
                <w:rStyle w:val="Emphasis"/>
                <w:b w:val="0"/>
                <w:bCs w:val="0"/>
              </w:rPr>
            </w:pPr>
            <w:r>
              <w:rPr>
                <w:rStyle w:val="Emphasis"/>
              </w:rPr>
              <w:t>Scope the request</w:t>
            </w:r>
          </w:p>
          <w:p w:rsidR="001F2080" w:rsidRDefault="00342A19" w:rsidP="00DC6AAD">
            <w:pPr>
              <w:pStyle w:val="Boxsmallnumber-1"/>
              <w:numPr>
                <w:ilvl w:val="0"/>
                <w:numId w:val="0"/>
              </w:numPr>
              <w:tabs>
                <w:tab w:val="left" w:pos="720"/>
              </w:tabs>
              <w:rPr>
                <w:b/>
                <w:i/>
              </w:rPr>
            </w:pPr>
          </w:p>
        </w:tc>
        <w:tc>
          <w:tcPr>
            <w:tcW w:w="6605" w:type="dxa"/>
            <w:tcBorders>
              <w:right w:val="single" w:sz="4" w:space="0" w:color="A6A6A6" w:themeColor="background1" w:themeShade="A6"/>
            </w:tcBorders>
            <w:shd w:val="clear" w:color="auto" w:fill="auto"/>
            <w:hideMark/>
          </w:tcPr>
          <w:p w:rsidR="001F2080" w:rsidRPr="009649B6" w:rsidRDefault="00342A19" w:rsidP="00DC6AAD">
            <w:pPr>
              <w:pStyle w:val="Boxsmallbullet1"/>
              <w:numPr>
                <w:ilvl w:val="0"/>
                <w:numId w:val="46"/>
              </w:numPr>
            </w:pPr>
            <w:r w:rsidRPr="009649B6">
              <w:t>Wh</w:t>
            </w:r>
            <w:r w:rsidRPr="009649B6">
              <w:t xml:space="preserve">at is the requester asking for? </w:t>
            </w:r>
          </w:p>
          <w:p w:rsidR="001F2080" w:rsidRDefault="00342A19" w:rsidP="00DC6AAD">
            <w:pPr>
              <w:pStyle w:val="Boxsmallbullet1"/>
              <w:numPr>
                <w:ilvl w:val="0"/>
                <w:numId w:val="46"/>
              </w:numPr>
            </w:pPr>
            <w:r w:rsidRPr="009649B6">
              <w:t xml:space="preserve">What </w:t>
            </w:r>
            <w:r>
              <w:t>information is held and where?</w:t>
            </w:r>
          </w:p>
          <w:p w:rsidR="001F2080" w:rsidRDefault="00342A19" w:rsidP="00DC6AAD">
            <w:pPr>
              <w:pStyle w:val="Boxsmallbullet1"/>
              <w:numPr>
                <w:ilvl w:val="0"/>
                <w:numId w:val="46"/>
              </w:numPr>
            </w:pPr>
            <w:r w:rsidRPr="00340BA3">
              <w:t>Engage with the requester</w:t>
            </w:r>
            <w:r>
              <w:t xml:space="preserve"> as early as possible about any ambiguities or scope for refinement of the request.</w:t>
            </w:r>
          </w:p>
        </w:tc>
      </w:tr>
      <w:tr w:rsidR="00F214D0" w:rsidTr="00F214D0">
        <w:trPr>
          <w:cantSplit/>
        </w:trPr>
        <w:tc>
          <w:tcPr>
            <w:tcW w:w="2695" w:type="dxa"/>
            <w:tcBorders>
              <w:left w:val="single" w:sz="4" w:space="0" w:color="A6A6A6" w:themeColor="background1" w:themeShade="A6"/>
            </w:tcBorders>
            <w:shd w:val="clear" w:color="auto" w:fill="D3D3D3"/>
            <w:hideMark/>
          </w:tcPr>
          <w:p w:rsidR="001F2080" w:rsidRDefault="00342A19" w:rsidP="00DC6AAD">
            <w:pPr>
              <w:pStyle w:val="Boxsmallnumber-1"/>
              <w:numPr>
                <w:ilvl w:val="0"/>
                <w:numId w:val="45"/>
              </w:numPr>
              <w:rPr>
                <w:rStyle w:val="Emphasis"/>
              </w:rPr>
            </w:pPr>
            <w:r>
              <w:rPr>
                <w:rStyle w:val="Emphasis"/>
              </w:rPr>
              <w:t>Decide on release</w:t>
            </w:r>
          </w:p>
        </w:tc>
        <w:tc>
          <w:tcPr>
            <w:tcW w:w="6605" w:type="dxa"/>
            <w:tcBorders>
              <w:right w:val="single" w:sz="4" w:space="0" w:color="A6A6A6" w:themeColor="background1" w:themeShade="A6"/>
            </w:tcBorders>
            <w:shd w:val="clear" w:color="auto" w:fill="auto"/>
            <w:hideMark/>
          </w:tcPr>
          <w:p w:rsidR="001F2080" w:rsidRDefault="00342A19" w:rsidP="00DC6AAD">
            <w:pPr>
              <w:pStyle w:val="Boxsmallbullet1"/>
              <w:numPr>
                <w:ilvl w:val="0"/>
                <w:numId w:val="46"/>
              </w:numPr>
            </w:pPr>
            <w:r>
              <w:t>Are you going to release some or all of the information?</w:t>
            </w:r>
          </w:p>
          <w:p w:rsidR="001F2080" w:rsidRPr="00824852" w:rsidRDefault="00342A19" w:rsidP="00DC6AAD">
            <w:pPr>
              <w:pStyle w:val="Boxsmallbullet1"/>
              <w:numPr>
                <w:ilvl w:val="0"/>
                <w:numId w:val="46"/>
              </w:numPr>
            </w:pPr>
            <w:r w:rsidRPr="009649B6">
              <w:t xml:space="preserve">Charging is </w:t>
            </w:r>
            <w:r w:rsidRPr="00CE3BA5">
              <w:rPr>
                <w:rStyle w:val="Emphasis"/>
              </w:rPr>
              <w:t>only</w:t>
            </w:r>
            <w:r>
              <w:t xml:space="preserve"> permissible </w:t>
            </w:r>
            <w:r w:rsidRPr="009649B6">
              <w:t xml:space="preserve">if information is being </w:t>
            </w:r>
            <w:r w:rsidRPr="00CE3BA5">
              <w:t>released</w:t>
            </w:r>
            <w:r w:rsidRPr="009649B6">
              <w:t xml:space="preserve"> in response to the request, so </w:t>
            </w:r>
            <w:r>
              <w:t>you may need to read and review the information first in order to decide to what extent it can be made available.</w:t>
            </w:r>
          </w:p>
        </w:tc>
      </w:tr>
      <w:tr w:rsidR="00F214D0" w:rsidTr="00F214D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hideMark/>
          </w:tcPr>
          <w:p w:rsidR="001F2080" w:rsidRDefault="00342A19" w:rsidP="00DC6AAD">
            <w:pPr>
              <w:pStyle w:val="Boxsmallnumber-1"/>
              <w:numPr>
                <w:ilvl w:val="0"/>
                <w:numId w:val="45"/>
              </w:numPr>
              <w:rPr>
                <w:rStyle w:val="Emphasis"/>
              </w:rPr>
            </w:pPr>
            <w:r>
              <w:rPr>
                <w:rStyle w:val="Emphasis"/>
              </w:rPr>
              <w:t>Consider whether it is reasonable to charge</w:t>
            </w:r>
          </w:p>
          <w:p w:rsidR="001F2080" w:rsidRDefault="00342A19" w:rsidP="00DC6AAD">
            <w:pPr>
              <w:pStyle w:val="Boxsmallnumber-1"/>
              <w:numPr>
                <w:ilvl w:val="0"/>
                <w:numId w:val="0"/>
              </w:numPr>
              <w:rPr>
                <w:rStyle w:val="Emphasis"/>
              </w:rPr>
            </w:pPr>
          </w:p>
        </w:tc>
        <w:tc>
          <w:tcPr>
            <w:tcW w:w="6605" w:type="dxa"/>
            <w:hideMark/>
          </w:tcPr>
          <w:p w:rsidR="001F2080" w:rsidRDefault="00342A19" w:rsidP="00DC6AAD">
            <w:pPr>
              <w:pStyle w:val="Boxsmallbullet1"/>
              <w:numPr>
                <w:ilvl w:val="0"/>
                <w:numId w:val="18"/>
              </w:numPr>
              <w:cnfStyle w:val="000000010000" w:firstRow="0" w:lastRow="0" w:firstColumn="0" w:lastColumn="0" w:oddVBand="0" w:evenVBand="0" w:oddHBand="0" w:evenHBand="1" w:firstRowFirstColumn="0" w:firstRowLastColumn="0" w:lastRowFirstColumn="0" w:lastRowLastColumn="0"/>
            </w:pPr>
            <w:r>
              <w:t xml:space="preserve">Is it reasonable to recover some of the costs involved in releasing the information? </w:t>
            </w:r>
          </w:p>
          <w:p w:rsidR="001F2080" w:rsidRDefault="00342A19" w:rsidP="00DC6AAD">
            <w:pPr>
              <w:pStyle w:val="Boxsmallbullet1"/>
              <w:numPr>
                <w:ilvl w:val="0"/>
                <w:numId w:val="18"/>
              </w:numPr>
              <w:cnfStyle w:val="000000010000" w:firstRow="0" w:lastRow="0" w:firstColumn="0" w:lastColumn="0" w:oddVBand="0" w:evenVBand="0" w:oddHBand="0" w:evenHBand="1" w:firstRowFirstColumn="0" w:firstRowLastColumn="0" w:lastRowFirstColumn="0" w:lastRowLastColumn="0"/>
            </w:pPr>
            <w:r>
              <w:t xml:space="preserve">Relevant questions include: </w:t>
            </w:r>
          </w:p>
          <w:p w:rsidR="001F2080" w:rsidRPr="009649B6" w:rsidRDefault="00342A19" w:rsidP="00DC6AAD">
            <w:pPr>
              <w:pStyle w:val="Boxsmallbullet2"/>
              <w:numPr>
                <w:ilvl w:val="1"/>
                <w:numId w:val="18"/>
              </w:numPr>
              <w:cnfStyle w:val="000000010000" w:firstRow="0" w:lastRow="0" w:firstColumn="0" w:lastColumn="0" w:oddVBand="0" w:evenVBand="0" w:oddHBand="0" w:evenHBand="1" w:firstRowFirstColumn="0" w:firstRowLastColumn="0" w:lastRowFirstColumn="0" w:lastRowLastColumn="0"/>
            </w:pPr>
            <w:r w:rsidRPr="009649B6">
              <w:t xml:space="preserve">Will it require </w:t>
            </w:r>
            <w:r w:rsidRPr="00056691">
              <w:rPr>
                <w:rStyle w:val="Emphasis"/>
              </w:rPr>
              <w:t>considerable</w:t>
            </w:r>
            <w:r w:rsidRPr="009649B6">
              <w:t xml:space="preserve"> labour and materials to release the information?</w:t>
            </w:r>
          </w:p>
          <w:p w:rsidR="001F2080" w:rsidRPr="009649B6" w:rsidRDefault="00342A19" w:rsidP="00DC6AAD">
            <w:pPr>
              <w:pStyle w:val="Boxsmallbullet2"/>
              <w:numPr>
                <w:ilvl w:val="1"/>
                <w:numId w:val="18"/>
              </w:numPr>
              <w:cnfStyle w:val="000000010000" w:firstRow="0" w:lastRow="0" w:firstColumn="0" w:lastColumn="0" w:oddVBand="0" w:evenVBand="0" w:oddHBand="0" w:evenHBand="1" w:firstRowFirstColumn="0" w:firstRowLastColumn="0" w:lastRowFirstColumn="0" w:lastRowLastColumn="0"/>
            </w:pPr>
            <w:r w:rsidRPr="009649B6">
              <w:t xml:space="preserve">Will it have a </w:t>
            </w:r>
            <w:r w:rsidRPr="00056691">
              <w:rPr>
                <w:rStyle w:val="Emphasis"/>
              </w:rPr>
              <w:t>significant</w:t>
            </w:r>
            <w:r w:rsidRPr="009649B6">
              <w:t xml:space="preserve"> impact on the agency</w:t>
            </w:r>
            <w:r>
              <w:t>’</w:t>
            </w:r>
            <w:r w:rsidRPr="009649B6">
              <w:t>s</w:t>
            </w:r>
            <w:r>
              <w:t xml:space="preserve"> ability to carry out its</w:t>
            </w:r>
            <w:r w:rsidRPr="009649B6">
              <w:t xml:space="preserve"> other operations?</w:t>
            </w:r>
          </w:p>
          <w:p w:rsidR="001F2080" w:rsidRPr="00824852" w:rsidRDefault="00342A19" w:rsidP="00DC6AAD">
            <w:pPr>
              <w:pStyle w:val="Boxsmallbullet2"/>
              <w:numPr>
                <w:ilvl w:val="1"/>
                <w:numId w:val="18"/>
              </w:numPr>
              <w:cnfStyle w:val="000000010000" w:firstRow="0" w:lastRow="0" w:firstColumn="0" w:lastColumn="0" w:oddVBand="0" w:evenVBand="0" w:oddHBand="0" w:evenHBand="1" w:firstRowFirstColumn="0" w:firstRowLastColumn="0" w:lastRowFirstColumn="0" w:lastRowLastColumn="0"/>
            </w:pPr>
            <w:r w:rsidRPr="009649B6">
              <w:t xml:space="preserve">Has the requester previously made a </w:t>
            </w:r>
            <w:r w:rsidRPr="00056691">
              <w:rPr>
                <w:rStyle w:val="Emphasis"/>
              </w:rPr>
              <w:t>large volume of time consuming requests</w:t>
            </w:r>
            <w:r>
              <w:t>? Note that some requesters</w:t>
            </w:r>
            <w:r w:rsidRPr="009649B6">
              <w:t xml:space="preserve"> </w:t>
            </w:r>
            <w:r>
              <w:t>(</w:t>
            </w:r>
            <w:r w:rsidRPr="009649B6">
              <w:t xml:space="preserve">for example, </w:t>
            </w:r>
            <w:r w:rsidRPr="00340BA3">
              <w:t>MPs</w:t>
            </w:r>
            <w:r w:rsidRPr="009649B6">
              <w:t xml:space="preserve"> and </w:t>
            </w:r>
            <w:r w:rsidRPr="00340BA3">
              <w:t>members of the news media</w:t>
            </w:r>
            <w:r>
              <w:t>)</w:t>
            </w:r>
            <w:r w:rsidRPr="009649B6">
              <w:t xml:space="preserve"> may have good reasons for making frequent requests for offic</w:t>
            </w:r>
            <w:r w:rsidRPr="009649B6">
              <w:t>ial information</w:t>
            </w:r>
            <w:r>
              <w:t>, and they should not be penalised for this</w:t>
            </w:r>
            <w:r w:rsidRPr="009649B6">
              <w:t>.</w:t>
            </w:r>
          </w:p>
        </w:tc>
      </w:tr>
      <w:tr w:rsidR="00F214D0" w:rsidTr="00F214D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hideMark/>
          </w:tcPr>
          <w:p w:rsidR="001F2080" w:rsidRDefault="00342A19" w:rsidP="00DC6AAD">
            <w:pPr>
              <w:pStyle w:val="Boxsmallnumber-1"/>
              <w:numPr>
                <w:ilvl w:val="0"/>
                <w:numId w:val="45"/>
              </w:numPr>
              <w:rPr>
                <w:rStyle w:val="Emphasis"/>
              </w:rPr>
            </w:pPr>
            <w:r>
              <w:rPr>
                <w:rStyle w:val="Emphasis"/>
              </w:rPr>
              <w:t xml:space="preserve">Engage with the requester </w:t>
            </w:r>
          </w:p>
          <w:p w:rsidR="001F2080" w:rsidRDefault="00342A19" w:rsidP="00DC6AAD">
            <w:pPr>
              <w:pStyle w:val="Boxsmalltext"/>
              <w:rPr>
                <w:rStyle w:val="Emphasis"/>
              </w:rPr>
            </w:pPr>
          </w:p>
        </w:tc>
        <w:tc>
          <w:tcPr>
            <w:tcW w:w="6605" w:type="dxa"/>
            <w:shd w:val="clear" w:color="auto" w:fill="auto"/>
            <w:hideMark/>
          </w:tcPr>
          <w:p w:rsidR="001F2080" w:rsidRPr="00340BA3" w:rsidRDefault="00342A19" w:rsidP="00DC6AAD">
            <w:pPr>
              <w:pStyle w:val="Boxsmallbullet1"/>
              <w:numPr>
                <w:ilvl w:val="0"/>
                <w:numId w:val="18"/>
              </w:numPr>
              <w:cnfStyle w:val="000000100000" w:firstRow="0" w:lastRow="0" w:firstColumn="0" w:lastColumn="0" w:oddVBand="0" w:evenVBand="0" w:oddHBand="1" w:evenHBand="0" w:firstRowFirstColumn="0" w:firstRowLastColumn="0" w:lastRowFirstColumn="0" w:lastRowLastColumn="0"/>
            </w:pPr>
            <w:r w:rsidRPr="00695C98">
              <w:t>Engage with the requester</w:t>
            </w:r>
            <w:r>
              <w:t xml:space="preserve"> to try and help them clarify the request, and change or refine it in a way that reduces or removes the need to charge. You’ll find talking po</w:t>
            </w:r>
            <w:r>
              <w:t xml:space="preserve">ints in our </w:t>
            </w:r>
            <w:hyperlink r:id="rId11" w:history="1">
              <w:r w:rsidRPr="00340BA3">
                <w:rPr>
                  <w:rStyle w:val="Hyperlink"/>
                  <w:i/>
                </w:rPr>
                <w:t>Charging</w:t>
              </w:r>
            </w:hyperlink>
            <w:r>
              <w:rPr>
                <w:i/>
              </w:rPr>
              <w:t xml:space="preserve"> </w:t>
            </w:r>
            <w:r>
              <w:t>guide that can assist with this.</w:t>
            </w:r>
          </w:p>
        </w:tc>
      </w:tr>
      <w:tr w:rsidR="00F214D0" w:rsidTr="00F214D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5" w:type="dxa"/>
            <w:hideMark/>
          </w:tcPr>
          <w:p w:rsidR="001F2080" w:rsidRDefault="00342A19" w:rsidP="00DC6AAD">
            <w:pPr>
              <w:pStyle w:val="Boxsmallnumber-1"/>
              <w:numPr>
                <w:ilvl w:val="0"/>
                <w:numId w:val="45"/>
              </w:numPr>
              <w:rPr>
                <w:rStyle w:val="Emphasis"/>
              </w:rPr>
            </w:pPr>
            <w:r>
              <w:rPr>
                <w:rStyle w:val="Emphasis"/>
              </w:rPr>
              <w:lastRenderedPageBreak/>
              <w:t>Consider</w:t>
            </w:r>
            <w:r w:rsidRPr="0098447F">
              <w:rPr>
                <w:rStyle w:val="Emphasis"/>
              </w:rPr>
              <w:t xml:space="preserve"> other options for reducing or removing the need to charge</w:t>
            </w:r>
          </w:p>
          <w:p w:rsidR="001F2080" w:rsidRPr="0098447F" w:rsidRDefault="00342A19" w:rsidP="00DC6AAD">
            <w:pPr>
              <w:pStyle w:val="Boxsmalltext"/>
              <w:rPr>
                <w:rStyle w:val="Emphasis"/>
              </w:rPr>
            </w:pPr>
          </w:p>
        </w:tc>
        <w:tc>
          <w:tcPr>
            <w:tcW w:w="6605" w:type="dxa"/>
            <w:hideMark/>
          </w:tcPr>
          <w:p w:rsidR="001F2080" w:rsidRDefault="00342A19" w:rsidP="00DC6AAD">
            <w:pPr>
              <w:pStyle w:val="Boxsmallbullet1"/>
              <w:numPr>
                <w:ilvl w:val="0"/>
                <w:numId w:val="18"/>
              </w:numPr>
              <w:cnfStyle w:val="000000010000" w:firstRow="0" w:lastRow="0" w:firstColumn="0" w:lastColumn="0" w:oddVBand="0" w:evenVBand="0" w:oddHBand="0" w:evenHBand="1" w:firstRowFirstColumn="0" w:firstRowLastColumn="0" w:lastRowFirstColumn="0" w:lastRowLastColumn="0"/>
            </w:pPr>
            <w:r>
              <w:t>A</w:t>
            </w:r>
            <w:r w:rsidRPr="00A70DDE">
              <w:t xml:space="preserve">re </w:t>
            </w:r>
            <w:r>
              <w:t xml:space="preserve">there </w:t>
            </w:r>
            <w:r w:rsidRPr="00A70DDE">
              <w:t xml:space="preserve">other </w:t>
            </w:r>
            <w:r>
              <w:t>ways</w:t>
            </w:r>
            <w:r w:rsidRPr="00A70DDE">
              <w:t xml:space="preserve"> to meet the request that would red</w:t>
            </w:r>
            <w:r>
              <w:t>uce or remove the need to charge? For example:</w:t>
            </w:r>
          </w:p>
          <w:p w:rsidR="001F2080" w:rsidRDefault="00342A19" w:rsidP="00DC6AAD">
            <w:pPr>
              <w:pStyle w:val="Boxsmallbullet2"/>
              <w:numPr>
                <w:ilvl w:val="1"/>
                <w:numId w:val="18"/>
              </w:numPr>
              <w:cnfStyle w:val="000000010000" w:firstRow="0" w:lastRow="0" w:firstColumn="0" w:lastColumn="0" w:oddVBand="0" w:evenVBand="0" w:oddHBand="0" w:evenHBand="1" w:firstRowFirstColumn="0" w:firstRowLastColumn="0" w:lastRowFirstColumn="0" w:lastRowLastColumn="0"/>
            </w:pPr>
            <w:r>
              <w:t>providing readily retrievable information;</w:t>
            </w:r>
          </w:p>
          <w:p w:rsidR="001F2080" w:rsidRDefault="00342A19" w:rsidP="00DC6AAD">
            <w:pPr>
              <w:pStyle w:val="Boxsmallbullet2"/>
              <w:numPr>
                <w:ilvl w:val="1"/>
                <w:numId w:val="18"/>
              </w:numPr>
              <w:cnfStyle w:val="000000010000" w:firstRow="0" w:lastRow="0" w:firstColumn="0" w:lastColumn="0" w:oddVBand="0" w:evenVBand="0" w:oddHBand="0" w:evenHBand="1" w:firstRowFirstColumn="0" w:firstRowLastColumn="0" w:lastRowFirstColumn="0" w:lastRowLastColumn="0"/>
            </w:pPr>
            <w:r>
              <w:t>refining the time period covered by the request;</w:t>
            </w:r>
          </w:p>
          <w:p w:rsidR="001F2080" w:rsidRDefault="00342A19" w:rsidP="00DC6AAD">
            <w:pPr>
              <w:pStyle w:val="Boxsmallbullet2"/>
              <w:numPr>
                <w:ilvl w:val="1"/>
                <w:numId w:val="18"/>
              </w:numPr>
              <w:cnfStyle w:val="000000010000" w:firstRow="0" w:lastRow="0" w:firstColumn="0" w:lastColumn="0" w:oddVBand="0" w:evenVBand="0" w:oddHBand="0" w:evenHBand="1" w:firstRowFirstColumn="0" w:firstRowLastColumn="0" w:lastRowFirstColumn="0" w:lastRowLastColumn="0"/>
            </w:pPr>
            <w:r>
              <w:t>refining the types of document covered by the request;</w:t>
            </w:r>
          </w:p>
          <w:p w:rsidR="001F2080" w:rsidRDefault="00342A19" w:rsidP="00DC6AAD">
            <w:pPr>
              <w:pStyle w:val="Boxsmallbullet2"/>
              <w:numPr>
                <w:ilvl w:val="1"/>
                <w:numId w:val="18"/>
              </w:numPr>
              <w:cnfStyle w:val="000000010000" w:firstRow="0" w:lastRow="0" w:firstColumn="0" w:lastColumn="0" w:oddVBand="0" w:evenVBand="0" w:oddHBand="0" w:evenHBand="1" w:firstRowFirstColumn="0" w:firstRowLastColumn="0" w:lastRowFirstColumn="0" w:lastRowLastColumn="0"/>
            </w:pPr>
            <w:r>
              <w:t>providing a list of documen</w:t>
            </w:r>
            <w:r>
              <w:t>ts potentially in scope, so that the requester can refine the request;</w:t>
            </w:r>
          </w:p>
          <w:p w:rsidR="001F2080" w:rsidRDefault="00342A19" w:rsidP="00DC6AAD">
            <w:pPr>
              <w:pStyle w:val="Boxsmallbullet2"/>
              <w:numPr>
                <w:ilvl w:val="1"/>
                <w:numId w:val="18"/>
              </w:numPr>
              <w:cnfStyle w:val="000000010000" w:firstRow="0" w:lastRow="0" w:firstColumn="0" w:lastColumn="0" w:oddVBand="0" w:evenVBand="0" w:oddHBand="0" w:evenHBand="1" w:firstRowFirstColumn="0" w:firstRowLastColumn="0" w:lastRowFirstColumn="0" w:lastRowLastColumn="0"/>
            </w:pPr>
            <w:r>
              <w:t>limiting search terms by agreement with the requester;</w:t>
            </w:r>
          </w:p>
          <w:p w:rsidR="001F2080" w:rsidRDefault="00342A19" w:rsidP="00DC6AAD">
            <w:pPr>
              <w:pStyle w:val="Boxsmallbullet2"/>
              <w:numPr>
                <w:ilvl w:val="1"/>
                <w:numId w:val="18"/>
              </w:numPr>
              <w:cnfStyle w:val="000000010000" w:firstRow="0" w:lastRow="0" w:firstColumn="0" w:lastColumn="0" w:oddVBand="0" w:evenVBand="0" w:oddHBand="0" w:evenHBand="1" w:firstRowFirstColumn="0" w:firstRowLastColumn="0" w:lastRowFirstColumn="0" w:lastRowLastColumn="0"/>
            </w:pPr>
            <w:r>
              <w:t>providing the information in electronic form;</w:t>
            </w:r>
          </w:p>
          <w:p w:rsidR="001F2080" w:rsidRDefault="00342A19" w:rsidP="00DC6AAD">
            <w:pPr>
              <w:pStyle w:val="Boxsmallbullet2"/>
              <w:numPr>
                <w:ilvl w:val="1"/>
                <w:numId w:val="18"/>
              </w:numPr>
              <w:cnfStyle w:val="000000010000" w:firstRow="0" w:lastRow="0" w:firstColumn="0" w:lastColumn="0" w:oddVBand="0" w:evenVBand="0" w:oddHBand="0" w:evenHBand="1" w:firstRowFirstColumn="0" w:firstRowLastColumn="0" w:lastRowFirstColumn="0" w:lastRowLastColumn="0"/>
            </w:pPr>
            <w:r>
              <w:t xml:space="preserve">providing the information in an alternative form (eg, inspection or oral briefing); </w:t>
            </w:r>
            <w:r>
              <w:t>or</w:t>
            </w:r>
          </w:p>
          <w:p w:rsidR="001F2080" w:rsidRPr="00755509" w:rsidRDefault="00342A19" w:rsidP="00DC6AAD">
            <w:pPr>
              <w:pStyle w:val="Boxsmallbullet2"/>
              <w:numPr>
                <w:ilvl w:val="1"/>
                <w:numId w:val="18"/>
              </w:numPr>
              <w:cnfStyle w:val="000000010000" w:firstRow="0" w:lastRow="0" w:firstColumn="0" w:lastColumn="0" w:oddVBand="0" w:evenVBand="0" w:oddHBand="0" w:evenHBand="1" w:firstRowFirstColumn="0" w:firstRowLastColumn="0" w:lastRowFirstColumn="0" w:lastRowLastColumn="0"/>
            </w:pPr>
            <w:r>
              <w:t>providing the information subject to conditions.</w:t>
            </w:r>
          </w:p>
        </w:tc>
      </w:tr>
      <w:tr w:rsidR="00F214D0" w:rsidTr="00F214D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hideMark/>
          </w:tcPr>
          <w:p w:rsidR="001F2080" w:rsidRDefault="00342A19" w:rsidP="00DC6AAD">
            <w:pPr>
              <w:pStyle w:val="Boxsmallnumber-1"/>
              <w:numPr>
                <w:ilvl w:val="0"/>
                <w:numId w:val="45"/>
              </w:numPr>
              <w:rPr>
                <w:rStyle w:val="Emphasis"/>
              </w:rPr>
            </w:pPr>
            <w:r>
              <w:rPr>
                <w:rStyle w:val="Emphasis"/>
              </w:rPr>
              <w:t>Calculate the charge</w:t>
            </w:r>
          </w:p>
          <w:p w:rsidR="001F2080" w:rsidRDefault="00342A19" w:rsidP="00DC6AAD">
            <w:pPr>
              <w:pStyle w:val="Boxsmallnumber-1"/>
              <w:numPr>
                <w:ilvl w:val="0"/>
                <w:numId w:val="0"/>
              </w:numPr>
              <w:ind w:left="360" w:hanging="360"/>
              <w:rPr>
                <w:rStyle w:val="Emphasis"/>
              </w:rPr>
            </w:pPr>
          </w:p>
        </w:tc>
        <w:tc>
          <w:tcPr>
            <w:tcW w:w="6605" w:type="dxa"/>
            <w:shd w:val="clear" w:color="auto" w:fill="auto"/>
            <w:hideMark/>
          </w:tcPr>
          <w:p w:rsidR="001F2080" w:rsidRDefault="00342A19" w:rsidP="00DC6AAD">
            <w:pPr>
              <w:pStyle w:val="Boxsmallbullet1"/>
              <w:numPr>
                <w:ilvl w:val="0"/>
                <w:numId w:val="18"/>
              </w:numPr>
              <w:cnfStyle w:val="000000100000" w:firstRow="0" w:lastRow="0" w:firstColumn="0" w:lastColumn="0" w:oddVBand="0" w:evenVBand="0" w:oddHBand="1" w:evenHBand="0" w:firstRowFirstColumn="0" w:firstRowLastColumn="0" w:lastRowFirstColumn="0" w:lastRowLastColumn="0"/>
            </w:pPr>
            <w:r>
              <w:t>How much information is at issue?</w:t>
            </w:r>
          </w:p>
          <w:p w:rsidR="009800F9" w:rsidRDefault="00342A19" w:rsidP="009800F9">
            <w:pPr>
              <w:pStyle w:val="Boxsmallbullet1"/>
              <w:numPr>
                <w:ilvl w:val="0"/>
                <w:numId w:val="18"/>
              </w:numPr>
              <w:cnfStyle w:val="000000100000" w:firstRow="0" w:lastRow="0" w:firstColumn="0" w:lastColumn="0" w:oddVBand="0" w:evenVBand="0" w:oddHBand="1" w:evenHBand="0" w:firstRowFirstColumn="0" w:firstRowLastColumn="0" w:lastRowFirstColumn="0" w:lastRowLastColumn="0"/>
            </w:pPr>
            <w:r>
              <w:t xml:space="preserve">How long will it take to complete </w:t>
            </w:r>
            <w:r w:rsidRPr="009649B6">
              <w:t xml:space="preserve">the </w:t>
            </w:r>
            <w:r w:rsidRPr="00340BA3">
              <w:t>activities that can be charged for</w:t>
            </w:r>
            <w:r>
              <w:t>, including</w:t>
            </w:r>
            <w:r>
              <w:t>:</w:t>
            </w:r>
          </w:p>
          <w:p w:rsidR="009800F9" w:rsidRDefault="00342A19" w:rsidP="009800F9">
            <w:pPr>
              <w:pStyle w:val="TableBullet2"/>
              <w:cnfStyle w:val="000000100000" w:firstRow="0" w:lastRow="0" w:firstColumn="0" w:lastColumn="0" w:oddVBand="0" w:evenVBand="0" w:oddHBand="1" w:evenHBand="0" w:firstRowFirstColumn="0" w:firstRowLastColumn="0" w:lastRowFirstColumn="0" w:lastRowLastColumn="0"/>
            </w:pPr>
            <w:r>
              <w:t>search and retrieval</w:t>
            </w:r>
            <w:r>
              <w:t>;</w:t>
            </w:r>
          </w:p>
          <w:p w:rsidR="009800F9" w:rsidRDefault="00342A19" w:rsidP="009800F9">
            <w:pPr>
              <w:pStyle w:val="TableBullet2"/>
              <w:cnfStyle w:val="000000100000" w:firstRow="0" w:lastRow="0" w:firstColumn="0" w:lastColumn="0" w:oddVBand="0" w:evenVBand="0" w:oddHBand="1" w:evenHBand="0" w:firstRowFirstColumn="0" w:firstRowLastColumn="0" w:lastRowFirstColumn="0" w:lastRowLastColumn="0"/>
            </w:pPr>
            <w:r>
              <w:t>collation</w:t>
            </w:r>
            <w:r>
              <w:t>;</w:t>
            </w:r>
          </w:p>
          <w:p w:rsidR="009800F9" w:rsidRDefault="00342A19" w:rsidP="009800F9">
            <w:pPr>
              <w:pStyle w:val="TableBullet2"/>
              <w:cnfStyle w:val="000000100000" w:firstRow="0" w:lastRow="0" w:firstColumn="0" w:lastColumn="0" w:oddVBand="0" w:evenVBand="0" w:oddHBand="1" w:evenHBand="0" w:firstRowFirstColumn="0" w:firstRowLastColumn="0" w:lastRowFirstColumn="0" w:lastRowLastColumn="0"/>
            </w:pPr>
            <w:r>
              <w:t xml:space="preserve">research (reading and </w:t>
            </w:r>
            <w:r>
              <w:t>reviewing to identify the information)</w:t>
            </w:r>
            <w:r>
              <w:t>;</w:t>
            </w:r>
          </w:p>
          <w:p w:rsidR="009800F9" w:rsidRDefault="00342A19" w:rsidP="009800F9">
            <w:pPr>
              <w:pStyle w:val="TableBullet2"/>
              <w:cnfStyle w:val="000000100000" w:firstRow="0" w:lastRow="0" w:firstColumn="0" w:lastColumn="0" w:oddVBand="0" w:evenVBand="0" w:oddHBand="1" w:evenHBand="0" w:firstRowFirstColumn="0" w:firstRowLastColumn="0" w:lastRowFirstColumn="0" w:lastRowLastColumn="0"/>
            </w:pPr>
            <w:r>
              <w:t>e</w:t>
            </w:r>
            <w:r w:rsidRPr="009800F9">
              <w:t>diting (excising or redacting information to be withheld)</w:t>
            </w:r>
            <w:r>
              <w:t>;</w:t>
            </w:r>
          </w:p>
          <w:p w:rsidR="009800F9" w:rsidRDefault="00342A19" w:rsidP="009800F9">
            <w:pPr>
              <w:pStyle w:val="TableBullet2"/>
              <w:cnfStyle w:val="000000100000" w:firstRow="0" w:lastRow="0" w:firstColumn="0" w:lastColumn="0" w:oddVBand="0" w:evenVBand="0" w:oddHBand="1" w:evenHBand="0" w:firstRowFirstColumn="0" w:firstRowLastColumn="0" w:lastRowFirstColumn="0" w:lastRowLastColumn="0"/>
            </w:pPr>
            <w:r>
              <w:t>s</w:t>
            </w:r>
            <w:r w:rsidRPr="009800F9">
              <w:t>canning / copying</w:t>
            </w:r>
            <w:r>
              <w:t>; and</w:t>
            </w:r>
          </w:p>
          <w:p w:rsidR="001F2080" w:rsidRPr="009800F9" w:rsidRDefault="00342A19" w:rsidP="009800F9">
            <w:pPr>
              <w:pStyle w:val="TableBullet2"/>
              <w:cnfStyle w:val="000000100000" w:firstRow="0" w:lastRow="0" w:firstColumn="0" w:lastColumn="0" w:oddVBand="0" w:evenVBand="0" w:oddHBand="1" w:evenHBand="0" w:firstRowFirstColumn="0" w:firstRowLastColumn="0" w:lastRowFirstColumn="0" w:lastRowLastColumn="0"/>
            </w:pPr>
            <w:r>
              <w:t>r</w:t>
            </w:r>
            <w:r w:rsidRPr="009800F9">
              <w:t>easonably required peer review to ensure that these tasks have been carried our correctly</w:t>
            </w:r>
            <w:r>
              <w:t>.</w:t>
            </w:r>
          </w:p>
          <w:p w:rsidR="00B954EA" w:rsidRDefault="00342A19" w:rsidP="00DC6AAD">
            <w:pPr>
              <w:pStyle w:val="Boxsmallbullet1"/>
              <w:numPr>
                <w:ilvl w:val="0"/>
                <w:numId w:val="18"/>
              </w:numPr>
              <w:cnfStyle w:val="000000100000" w:firstRow="0" w:lastRow="0" w:firstColumn="0" w:lastColumn="0" w:oddVBand="0" w:evenVBand="0" w:oddHBand="1" w:evenHBand="0" w:firstRowFirstColumn="0" w:firstRowLastColumn="0" w:lastRowFirstColumn="0" w:lastRowLastColumn="0"/>
            </w:pPr>
            <w:r>
              <w:t>Remember to exclude activities that cann</w:t>
            </w:r>
            <w:r>
              <w:t>ot be charged for, including deciding whether or not the information can be released and calculating the charge.</w:t>
            </w:r>
          </w:p>
          <w:p w:rsidR="001F2080" w:rsidRDefault="00342A19" w:rsidP="00DC6AAD">
            <w:pPr>
              <w:pStyle w:val="Boxsmallbullet1"/>
              <w:numPr>
                <w:ilvl w:val="0"/>
                <w:numId w:val="18"/>
              </w:numPr>
              <w:cnfStyle w:val="000000100000" w:firstRow="0" w:lastRow="0" w:firstColumn="0" w:lastColumn="0" w:oddVBand="0" w:evenVBand="0" w:oddHBand="1" w:evenHBand="0" w:firstRowFirstColumn="0" w:firstRowLastColumn="0" w:lastRowFirstColumn="0" w:lastRowLastColumn="0"/>
            </w:pPr>
            <w:r>
              <w:t xml:space="preserve">Calculate the charge in accordance with the rates specified in the Ministry of Justice </w:t>
            </w:r>
            <w:r w:rsidRPr="00D630C5">
              <w:rPr>
                <w:rStyle w:val="Italics"/>
              </w:rPr>
              <w:t>Charging Guidelines</w:t>
            </w:r>
            <w:r>
              <w:rPr>
                <w:rStyle w:val="Italics"/>
              </w:rPr>
              <w:t xml:space="preserve"> </w:t>
            </w:r>
            <w:r>
              <w:rPr>
                <w:rStyle w:val="Italics"/>
                <w:i w:val="0"/>
              </w:rPr>
              <w:t>(</w:t>
            </w:r>
            <w:r>
              <w:t>$38/half hour with the first hour f</w:t>
            </w:r>
            <w:r>
              <w:t>ree</w:t>
            </w:r>
            <w:r>
              <w:rPr>
                <w:rStyle w:val="Italics"/>
                <w:i w:val="0"/>
              </w:rPr>
              <w:t>;</w:t>
            </w:r>
            <w:r>
              <w:t xml:space="preserve"> $0.20/page with the first 20 pages free</w:t>
            </w:r>
            <w:hyperlink r:id="rId12" w:history="1"/>
            <w:r>
              <w:rPr>
                <w:rStyle w:val="Italics"/>
                <w:i w:val="0"/>
              </w:rPr>
              <w:t>)</w:t>
            </w:r>
            <w:r>
              <w:t>.</w:t>
            </w:r>
          </w:p>
          <w:p w:rsidR="001F2080" w:rsidRPr="00824852" w:rsidRDefault="00342A19" w:rsidP="00BA6DB5">
            <w:pPr>
              <w:pStyle w:val="Boxsmallbullet1"/>
              <w:numPr>
                <w:ilvl w:val="0"/>
                <w:numId w:val="18"/>
              </w:numPr>
              <w:cnfStyle w:val="000000100000" w:firstRow="0" w:lastRow="0" w:firstColumn="0" w:lastColumn="0" w:oddVBand="0" w:evenVBand="0" w:oddHBand="1" w:evenHBand="0" w:firstRowFirstColumn="0" w:firstRowLastColumn="0" w:lastRowFirstColumn="0" w:lastRowLastColumn="0"/>
            </w:pPr>
            <w:r>
              <w:t xml:space="preserve">Our </w:t>
            </w:r>
            <w:hyperlink r:id="rId13" w:history="1">
              <w:r w:rsidRPr="000C31F6">
                <w:rPr>
                  <w:rStyle w:val="Hyperlink"/>
                </w:rPr>
                <w:t>sample estimate of costs</w:t>
              </w:r>
            </w:hyperlink>
            <w:r>
              <w:t xml:space="preserve"> can help with this process.</w:t>
            </w:r>
          </w:p>
        </w:tc>
      </w:tr>
      <w:tr w:rsidR="00F214D0" w:rsidTr="00F214D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hideMark/>
          </w:tcPr>
          <w:p w:rsidR="001F2080" w:rsidRPr="00340BA3" w:rsidRDefault="00342A19" w:rsidP="00DC6AAD">
            <w:pPr>
              <w:pStyle w:val="Boxsmallnumber-1"/>
              <w:numPr>
                <w:ilvl w:val="0"/>
                <w:numId w:val="45"/>
              </w:numPr>
              <w:rPr>
                <w:rStyle w:val="Emphasis"/>
              </w:rPr>
            </w:pPr>
            <w:r>
              <w:rPr>
                <w:rStyle w:val="Emphasis"/>
              </w:rPr>
              <w:lastRenderedPageBreak/>
              <w:t>Consider whether the charge should be remitted in full or in part</w:t>
            </w:r>
          </w:p>
        </w:tc>
        <w:tc>
          <w:tcPr>
            <w:tcW w:w="6605" w:type="dxa"/>
            <w:hideMark/>
          </w:tcPr>
          <w:p w:rsidR="001F2080" w:rsidRDefault="00342A19" w:rsidP="00DC6AAD">
            <w:pPr>
              <w:pStyle w:val="Boxsmallbullet1"/>
              <w:numPr>
                <w:ilvl w:val="0"/>
                <w:numId w:val="18"/>
              </w:numPr>
              <w:cnfStyle w:val="000000010000" w:firstRow="0" w:lastRow="0" w:firstColumn="0" w:lastColumn="0" w:oddVBand="0" w:evenVBand="0" w:oddHBand="0" w:evenHBand="1" w:firstRowFirstColumn="0" w:firstRowLastColumn="0" w:lastRowFirstColumn="0" w:lastRowLastColumn="0"/>
            </w:pPr>
            <w:r>
              <w:t>Should the charg</w:t>
            </w:r>
            <w:bookmarkStart w:id="1" w:name="_GoBack"/>
            <w:bookmarkEnd w:id="1"/>
            <w:r>
              <w:t xml:space="preserve">e be remitted in full or part because of the </w:t>
            </w:r>
            <w:r w:rsidRPr="00340BA3">
              <w:t>public interest</w:t>
            </w:r>
            <w:r>
              <w:t xml:space="preserve"> in release? </w:t>
            </w:r>
          </w:p>
          <w:p w:rsidR="001F2080" w:rsidRPr="00824852" w:rsidRDefault="00342A19" w:rsidP="00DC6AAD">
            <w:pPr>
              <w:pStyle w:val="Boxsmallbullet1"/>
              <w:numPr>
                <w:ilvl w:val="0"/>
                <w:numId w:val="18"/>
              </w:numPr>
              <w:cnfStyle w:val="000000010000" w:firstRow="0" w:lastRow="0" w:firstColumn="0" w:lastColumn="0" w:oddVBand="0" w:evenVBand="0" w:oddHBand="0" w:evenHBand="1" w:firstRowFirstColumn="0" w:firstRowLastColumn="0" w:lastRowFirstColumn="0" w:lastRowLastColumn="0"/>
            </w:pPr>
            <w:r>
              <w:t xml:space="preserve">Should the charge should be remitted in full or part because it would cause </w:t>
            </w:r>
            <w:r w:rsidRPr="00340BA3">
              <w:t>hardship</w:t>
            </w:r>
            <w:r>
              <w:t xml:space="preserve"> to the requester?</w:t>
            </w:r>
          </w:p>
        </w:tc>
      </w:tr>
      <w:tr w:rsidR="00F214D0" w:rsidTr="00F214D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hideMark/>
          </w:tcPr>
          <w:p w:rsidR="001F2080" w:rsidRDefault="00342A19" w:rsidP="00DC6AAD">
            <w:pPr>
              <w:pStyle w:val="Boxsmallnumber-1"/>
              <w:numPr>
                <w:ilvl w:val="0"/>
                <w:numId w:val="45"/>
              </w:numPr>
              <w:rPr>
                <w:rStyle w:val="Emphasis"/>
              </w:rPr>
            </w:pPr>
            <w:r>
              <w:rPr>
                <w:rStyle w:val="Emphasis"/>
              </w:rPr>
              <w:t>Communicate the decision to release subject to a charge</w:t>
            </w:r>
          </w:p>
          <w:p w:rsidR="001F2080" w:rsidRDefault="00342A19" w:rsidP="00DC6AAD">
            <w:pPr>
              <w:pStyle w:val="Boxsmalltext"/>
              <w:rPr>
                <w:rStyle w:val="Emphasis"/>
              </w:rPr>
            </w:pPr>
          </w:p>
        </w:tc>
        <w:tc>
          <w:tcPr>
            <w:tcW w:w="6605" w:type="dxa"/>
            <w:shd w:val="clear" w:color="auto" w:fill="auto"/>
            <w:hideMark/>
          </w:tcPr>
          <w:p w:rsidR="001F2080" w:rsidRDefault="00342A19" w:rsidP="00DC6AAD">
            <w:pPr>
              <w:pStyle w:val="Boxsmallbullet1"/>
              <w:numPr>
                <w:ilvl w:val="0"/>
                <w:numId w:val="18"/>
              </w:numPr>
              <w:cnfStyle w:val="000000100000" w:firstRow="0" w:lastRow="0" w:firstColumn="0" w:lastColumn="0" w:oddVBand="0" w:evenVBand="0" w:oddHBand="1" w:evenHBand="0" w:firstRowFirstColumn="0" w:firstRowLastColumn="0" w:lastRowFirstColumn="0" w:lastRowLastColumn="0"/>
            </w:pPr>
            <w:r>
              <w:t>This must be done as soon as reasonably practicable and within 20 working days of receipt of th</w:t>
            </w:r>
            <w:r>
              <w:t xml:space="preserve">e request (unless that timeframe is extended). </w:t>
            </w:r>
          </w:p>
          <w:p w:rsidR="001F2080" w:rsidRDefault="00342A19" w:rsidP="00BA6DB5">
            <w:pPr>
              <w:pStyle w:val="Boxsmallbullet1"/>
              <w:cnfStyle w:val="000000100000" w:firstRow="0" w:lastRow="0" w:firstColumn="0" w:lastColumn="0" w:oddVBand="0" w:evenVBand="0" w:oddHBand="1" w:evenHBand="0" w:firstRowFirstColumn="0" w:firstRowLastColumn="0" w:lastRowFirstColumn="0" w:lastRowLastColumn="0"/>
            </w:pPr>
            <w:r>
              <w:t xml:space="preserve">Our </w:t>
            </w:r>
            <w:r w:rsidRPr="00BA6DB5">
              <w:t xml:space="preserve">template </w:t>
            </w:r>
            <w:hyperlink r:id="rId14" w:history="1">
              <w:r w:rsidRPr="000C31F6">
                <w:rPr>
                  <w:rStyle w:val="Hyperlink"/>
                </w:rPr>
                <w:t>charging letter</w:t>
              </w:r>
            </w:hyperlink>
            <w:r>
              <w:t xml:space="preserve"> can assist with this.</w:t>
            </w:r>
          </w:p>
          <w:p w:rsidR="001F2080" w:rsidRPr="00824852" w:rsidRDefault="00342A19" w:rsidP="00DC6AAD">
            <w:pPr>
              <w:pStyle w:val="Boxsmallbullet1"/>
              <w:numPr>
                <w:ilvl w:val="0"/>
                <w:numId w:val="18"/>
              </w:numPr>
              <w:cnfStyle w:val="000000100000" w:firstRow="0" w:lastRow="0" w:firstColumn="0" w:lastColumn="0" w:oddVBand="0" w:evenVBand="0" w:oddHBand="1" w:evenHBand="0" w:firstRowFirstColumn="0" w:firstRowLastColumn="0" w:lastRowFirstColumn="0" w:lastRowLastColumn="0"/>
            </w:pPr>
            <w:r>
              <w:t xml:space="preserve">Ensure that someone is available to the requester to assist them to change or refine their request in order to reduce or remove the need to charge. </w:t>
            </w:r>
          </w:p>
        </w:tc>
      </w:tr>
      <w:tr w:rsidR="00F214D0" w:rsidTr="00F214D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hideMark/>
          </w:tcPr>
          <w:p w:rsidR="001F2080" w:rsidRDefault="00342A19" w:rsidP="00DC6AAD">
            <w:pPr>
              <w:pStyle w:val="Boxsmallnumber-1"/>
              <w:numPr>
                <w:ilvl w:val="0"/>
                <w:numId w:val="45"/>
              </w:numPr>
              <w:rPr>
                <w:rStyle w:val="Emphasis"/>
              </w:rPr>
            </w:pPr>
            <w:r>
              <w:rPr>
                <w:rStyle w:val="Emphasis"/>
              </w:rPr>
              <w:t xml:space="preserve">Prepare the information </w:t>
            </w:r>
          </w:p>
        </w:tc>
        <w:tc>
          <w:tcPr>
            <w:tcW w:w="6605" w:type="dxa"/>
            <w:hideMark/>
          </w:tcPr>
          <w:p w:rsidR="001F2080" w:rsidRPr="00824852" w:rsidRDefault="00342A19" w:rsidP="00DC6AAD">
            <w:pPr>
              <w:pStyle w:val="Boxsmallbullet1"/>
              <w:numPr>
                <w:ilvl w:val="0"/>
                <w:numId w:val="18"/>
              </w:numPr>
              <w:cnfStyle w:val="000000010000" w:firstRow="0" w:lastRow="0" w:firstColumn="0" w:lastColumn="0" w:oddVBand="0" w:evenVBand="0" w:oddHBand="0" w:evenHBand="1" w:firstRowFirstColumn="0" w:firstRowLastColumn="0" w:lastRowFirstColumn="0" w:lastRowLastColumn="0"/>
            </w:pPr>
            <w:r>
              <w:t xml:space="preserve">Once the requester has accepted the charge and met any part of it required to be </w:t>
            </w:r>
            <w:r>
              <w:t>paid in advance, prepare the information for release.</w:t>
            </w:r>
          </w:p>
        </w:tc>
      </w:tr>
      <w:tr w:rsidR="00F214D0" w:rsidTr="00F214D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hideMark/>
          </w:tcPr>
          <w:p w:rsidR="001F2080" w:rsidRDefault="00342A19" w:rsidP="00DC6AAD">
            <w:pPr>
              <w:pStyle w:val="Boxsmallnumber-1"/>
              <w:numPr>
                <w:ilvl w:val="0"/>
                <w:numId w:val="45"/>
              </w:numPr>
              <w:rPr>
                <w:rStyle w:val="Emphasis"/>
              </w:rPr>
            </w:pPr>
            <w:r>
              <w:rPr>
                <w:rStyle w:val="Emphasis"/>
              </w:rPr>
              <w:t xml:space="preserve">Release the information </w:t>
            </w:r>
          </w:p>
        </w:tc>
        <w:tc>
          <w:tcPr>
            <w:tcW w:w="6605" w:type="dxa"/>
            <w:shd w:val="clear" w:color="auto" w:fill="auto"/>
            <w:hideMark/>
          </w:tcPr>
          <w:p w:rsidR="001F2080" w:rsidRPr="00824852" w:rsidRDefault="00342A19" w:rsidP="00DC6AAD">
            <w:pPr>
              <w:pStyle w:val="Boxsmallbullet1"/>
              <w:numPr>
                <w:ilvl w:val="0"/>
                <w:numId w:val="18"/>
              </w:numPr>
              <w:cnfStyle w:val="000000100000" w:firstRow="0" w:lastRow="0" w:firstColumn="0" w:lastColumn="0" w:oddVBand="0" w:evenVBand="0" w:oddHBand="1" w:evenHBand="0" w:firstRowFirstColumn="0" w:firstRowLastColumn="0" w:lastRowFirstColumn="0" w:lastRowLastColumn="0"/>
            </w:pPr>
            <w:r>
              <w:t>Release the information without undue delay, and within the time period indicated in your letter of decision. Keep the requester up-to-date if unforeseen circumstances delay th</w:t>
            </w:r>
            <w:r>
              <w:t xml:space="preserve">e release. </w:t>
            </w:r>
          </w:p>
        </w:tc>
      </w:tr>
    </w:tbl>
    <w:p w:rsidR="001F2080" w:rsidRPr="001F2080" w:rsidRDefault="00342A19" w:rsidP="00340BA3">
      <w:pPr>
        <w:pStyle w:val="Whitespace"/>
        <w:rPr>
          <w:b/>
        </w:rPr>
      </w:pPr>
    </w:p>
    <w:sectPr w:rsidR="001F2080" w:rsidRPr="001F2080" w:rsidSect="00B33F0E">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2A19">
      <w:pPr>
        <w:spacing w:after="0" w:line="240" w:lineRule="auto"/>
      </w:pPr>
      <w:r>
        <w:separator/>
      </w:r>
    </w:p>
  </w:endnote>
  <w:endnote w:type="continuationSeparator" w:id="0">
    <w:p w:rsidR="00000000" w:rsidRDefault="0034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342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342A19" w:rsidP="008D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342A19" w:rsidP="008D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2A19">
      <w:pPr>
        <w:spacing w:after="0" w:line="240" w:lineRule="auto"/>
      </w:pPr>
      <w:r>
        <w:separator/>
      </w:r>
    </w:p>
  </w:footnote>
  <w:footnote w:type="continuationSeparator" w:id="0">
    <w:p w:rsidR="00000000" w:rsidRDefault="00342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342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342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34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C756B904"/>
    <w:lvl w:ilvl="0">
      <w:start w:val="1"/>
      <w:numFmt w:val="decimal"/>
      <w:pStyle w:val="Boxsmallnumber-1"/>
      <w:lvlText w:val="%1."/>
      <w:lvlJc w:val="left"/>
      <w:pPr>
        <w:tabs>
          <w:tab w:val="num" w:pos="357"/>
        </w:tabs>
        <w:ind w:left="360" w:hanging="360"/>
      </w:pPr>
      <w:rPr>
        <w:rFonts w:hint="default"/>
        <w:b/>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2"/>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True"/>
    <w:docVar w:name="OOTOTemplate" w:val="OOTO General\OOTO_Blank.dotm"/>
    <w:docVar w:name="ShowFooter" w:val="True"/>
    <w:docVar w:name="ShowLogo" w:val="False"/>
  </w:docVars>
  <w:rsids>
    <w:rsidRoot w:val="00F214D0"/>
    <w:rsid w:val="00097FCC"/>
    <w:rsid w:val="00342A19"/>
    <w:rsid w:val="00F214D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340BA3"/>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qFormat/>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2"/>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table" w:customStyle="1" w:styleId="TableGrid1">
    <w:name w:val="Table Grid1"/>
    <w:basedOn w:val="TableNormal"/>
    <w:next w:val="TableGrid"/>
    <w:uiPriority w:val="59"/>
    <w:rsid w:val="009454D2"/>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styleId="DocumentMap">
    <w:name w:val="Document Map"/>
    <w:basedOn w:val="Normal"/>
    <w:link w:val="DocumentMapChar"/>
    <w:uiPriority w:val="99"/>
    <w:semiHidden/>
    <w:unhideWhenUsed/>
    <w:rsid w:val="009454D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54D2"/>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mbudsman.parliament.nz/resources/sample-estimate-cos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ustice.govt.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budsman.parliament.nz/resources/charging-guide-charging-official-information-under-oia-and-lgoim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mbudsman.parliament.nz/resources/sample-estimate-cos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mbudsman.parliament.nz/resources/charging-guide-charging-official-information-under-oia-and-lgoima" TargetMode="External"/><Relationship Id="rId14" Type="http://schemas.openxmlformats.org/officeDocument/2006/relationships/hyperlink" Target="Https://ombudsman.parliament.nz/resources/template-letter-7-charging-letter" TargetMode="External"/><Relationship Id="rId22" Type="http://schemas.openxmlformats.org/officeDocument/2006/relationships/theme" Target="theme/theme1.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F262-528C-48CA-BFF7-BC179BA0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2019-08-14T21:31:00Z</dcterms:created>
  <dcterms:modified xsi:type="dcterms:W3CDTF">2019-08-14T21:31:00Z</dcterms:modified>
</cp:coreProperties>
</file>