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A0" w:rsidRDefault="00CA1EA0" w:rsidP="00CA1EA0">
      <w:pPr>
        <w:pStyle w:val="HeadingAppendix"/>
        <w:numPr>
          <w:ilvl w:val="0"/>
          <w:numId w:val="0"/>
        </w:numPr>
      </w:pPr>
      <w:bookmarkStart w:id="0" w:name="_Toc512514975"/>
      <w:bookmarkStart w:id="1" w:name="_Toc531765403"/>
      <w:r>
        <w:t>Commercial information work sheet</w:t>
      </w:r>
      <w:bookmarkEnd w:id="0"/>
      <w:bookmarkEnd w:id="1"/>
    </w:p>
    <w:tbl>
      <w:tblPr>
        <w:tblStyle w:val="TableBox"/>
        <w:tblW w:w="9639" w:type="dxa"/>
        <w:tblInd w:w="142" w:type="dxa"/>
        <w:tblLayout w:type="fixed"/>
        <w:tblLook w:val="04A0" w:firstRow="1" w:lastRow="0" w:firstColumn="1" w:lastColumn="0" w:noHBand="0" w:noVBand="1"/>
        <w:tblCaption w:val="Box to emphasise text"/>
      </w:tblPr>
      <w:tblGrid>
        <w:gridCol w:w="9639"/>
      </w:tblGrid>
      <w:tr w:rsidR="00CA1EA0" w:rsidTr="008F7849">
        <w:tc>
          <w:tcPr>
            <w:tcW w:w="9639" w:type="dxa"/>
          </w:tcPr>
          <w:p w:rsidR="00CA1EA0" w:rsidRDefault="00CA1EA0" w:rsidP="00CA1EA0">
            <w:pPr>
              <w:pStyle w:val="Headingboxtexttop"/>
              <w:tabs>
                <w:tab w:val="num" w:pos="567"/>
              </w:tabs>
            </w:pPr>
            <w:r w:rsidRPr="009454D2">
              <w:rPr>
                <w:noProof/>
                <w:lang w:eastAsia="en-NZ"/>
              </w:rPr>
              <w:drawing>
                <wp:inline distT="0" distB="0" distL="0" distR="0" wp14:anchorId="6286C6CC" wp14:editId="67856975">
                  <wp:extent cx="206041" cy="180000"/>
                  <wp:effectExtent l="19050" t="0" r="3509" b="0"/>
                  <wp:docPr id="6" name="Picture 1" descr="http://openclipart.org/image/800px/svg_to_png/14428/h0us3s_Signs_Hazard_Warning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8441" name="Picture 1" descr="http://openclipart.org/image/800px/svg_to_png/14428/h0us3s_Signs_Hazard_Warning_9.png"/>
                          <pic:cNvPicPr>
                            <a:picLocks noChangeAspect="1" noChangeArrowheads="1"/>
                          </pic:cNvPicPr>
                        </pic:nvPicPr>
                        <pic:blipFill>
                          <a:blip r:embed="rId8" cstate="print"/>
                          <a:stretch>
                            <a:fillRect/>
                          </a:stretch>
                        </pic:blipFill>
                        <pic:spPr bwMode="auto">
                          <a:xfrm>
                            <a:off x="0" y="0"/>
                            <a:ext cx="206041" cy="180000"/>
                          </a:xfrm>
                          <a:prstGeom prst="rect">
                            <a:avLst/>
                          </a:prstGeom>
                          <a:noFill/>
                          <a:ln w="9525">
                            <a:noFill/>
                            <a:miter lim="800000"/>
                            <a:headEnd/>
                            <a:tailEnd/>
                          </a:ln>
                        </pic:spPr>
                      </pic:pic>
                    </a:graphicData>
                  </a:graphic>
                </wp:inline>
              </w:drawing>
            </w:r>
            <w:r>
              <w:t xml:space="preserve"> Important note</w:t>
            </w:r>
          </w:p>
          <w:p w:rsidR="00EF7065" w:rsidRDefault="00CA1EA0" w:rsidP="00A564ED">
            <w:pPr>
              <w:pStyle w:val="Boxsmalltext"/>
              <w:widowControl w:val="0"/>
            </w:pPr>
            <w:r>
              <w:t xml:space="preserve">This </w:t>
            </w:r>
            <w:r w:rsidR="00EF7065">
              <w:t xml:space="preserve">summary </w:t>
            </w:r>
            <w:r>
              <w:t xml:space="preserve">work sheet is about the </w:t>
            </w:r>
            <w:r w:rsidR="00EF7065">
              <w:t xml:space="preserve">most </w:t>
            </w:r>
            <w:r>
              <w:t>commonly used grounds for wit</w:t>
            </w:r>
            <w:r w:rsidR="00EF7065">
              <w:t>hholding commercial information:</w:t>
            </w:r>
          </w:p>
          <w:p w:rsidR="00EF7065" w:rsidRDefault="00EF7065" w:rsidP="00EF7065">
            <w:pPr>
              <w:pStyle w:val="Boxsmallbullet1"/>
              <w:widowControl w:val="0"/>
              <w:numPr>
                <w:ilvl w:val="0"/>
                <w:numId w:val="45"/>
              </w:numPr>
            </w:pPr>
            <w:r>
              <w:t>section</w:t>
            </w:r>
            <w:r w:rsidR="00CA1EA0">
              <w:t xml:space="preserve"> 9(2)(b)(ii)</w:t>
            </w:r>
            <w:r w:rsidR="00091092">
              <w:t xml:space="preserve"> OIA / 7(2)(b)(ii) LGOIMA</w:t>
            </w:r>
            <w:r w:rsidR="00CA1EA0">
              <w:t xml:space="preserve"> </w:t>
            </w:r>
            <w:r w:rsidR="004D5C44">
              <w:t xml:space="preserve">which provides good reason to withhold official information (subject to a public interest test) if, and only if, it is necessary to </w:t>
            </w:r>
            <w:r w:rsidR="004D5C44" w:rsidRPr="00034CE2">
              <w:rPr>
                <w:i/>
              </w:rPr>
              <w:t xml:space="preserve">‘protect information where the making available of the information </w:t>
            </w:r>
            <w:r w:rsidR="004D5C44" w:rsidRPr="00061704">
              <w:rPr>
                <w:i/>
              </w:rPr>
              <w:t>would be likely unreasonably to prejudice the commercial position of the person who supplied or who is the subject of the information</w:t>
            </w:r>
            <w:r w:rsidR="004D5C44">
              <w:rPr>
                <w:i/>
              </w:rPr>
              <w:t>’</w:t>
            </w:r>
            <w:r>
              <w:t>; and</w:t>
            </w:r>
          </w:p>
          <w:p w:rsidR="00EF7065" w:rsidRDefault="00EF7065" w:rsidP="00EF7065">
            <w:pPr>
              <w:pStyle w:val="Boxsmallbullet1"/>
              <w:widowControl w:val="0"/>
              <w:numPr>
                <w:ilvl w:val="0"/>
                <w:numId w:val="45"/>
              </w:numPr>
            </w:pPr>
            <w:r>
              <w:t xml:space="preserve">section </w:t>
            </w:r>
            <w:r w:rsidR="00CA1EA0">
              <w:t>9(2)(i)</w:t>
            </w:r>
            <w:r w:rsidR="00091092">
              <w:t xml:space="preserve"> OIA / 7(2)(h) LGOIMA</w:t>
            </w:r>
            <w:r w:rsidR="00CA1EA0">
              <w:t xml:space="preserve"> </w:t>
            </w:r>
            <w:r w:rsidR="004D5C44">
              <w:t xml:space="preserve">which provides good reason to withhold official information (subject to a public interest test) if, and only if, it is necessary to </w:t>
            </w:r>
            <w:r w:rsidR="004D5C44" w:rsidRPr="00E8155A">
              <w:rPr>
                <w:i/>
              </w:rPr>
              <w:t xml:space="preserve">‘enable a Minister </w:t>
            </w:r>
            <w:r w:rsidR="004D5C44">
              <w:rPr>
                <w:i/>
              </w:rPr>
              <w:t>[or agency]</w:t>
            </w:r>
            <w:r w:rsidR="004D5C44" w:rsidRPr="00E8155A">
              <w:rPr>
                <w:i/>
              </w:rPr>
              <w:t xml:space="preserve"> holding the information to carry out, without prejudice or disad</w:t>
            </w:r>
            <w:r w:rsidR="004D5C44">
              <w:rPr>
                <w:i/>
              </w:rPr>
              <w:t>vantage, commercial activities’</w:t>
            </w:r>
            <w:r w:rsidR="00CA1EA0">
              <w:t xml:space="preserve">. </w:t>
            </w:r>
          </w:p>
          <w:p w:rsidR="00CA1EA0" w:rsidRDefault="00CA1EA0" w:rsidP="006F76B1">
            <w:pPr>
              <w:pStyle w:val="Boxsmalltext"/>
              <w:widowControl w:val="0"/>
            </w:pPr>
            <w:r>
              <w:t xml:space="preserve">Other withholding grounds may </w:t>
            </w:r>
            <w:r w:rsidR="00EF7065">
              <w:t xml:space="preserve">also </w:t>
            </w:r>
            <w:r>
              <w:t>be relevant, including sections 9(2)(b)(i)</w:t>
            </w:r>
            <w:r w:rsidR="00091092">
              <w:t xml:space="preserve"> OIA / 7(2)(b)(i) LGOIMA</w:t>
            </w:r>
            <w:r>
              <w:t xml:space="preserve"> (trade secrets), 9(2)(ba) </w:t>
            </w:r>
            <w:r w:rsidR="00091092">
              <w:t>OIA</w:t>
            </w:r>
            <w:r w:rsidR="00EF7065">
              <w:t xml:space="preserve"> / 7(2)(c) LGOIMA</w:t>
            </w:r>
            <w:r w:rsidR="00091092">
              <w:t xml:space="preserve"> </w:t>
            </w:r>
            <w:r>
              <w:t xml:space="preserve">(confidentiality) and 9(2)(j) </w:t>
            </w:r>
            <w:r w:rsidR="00EF7065">
              <w:t xml:space="preserve">OIA / 7(2)(i) LGOIMA </w:t>
            </w:r>
            <w:r>
              <w:t>(negotiations).</w:t>
            </w:r>
            <w:r w:rsidR="006F6903">
              <w:t xml:space="preserve"> For more detailed guidance </w:t>
            </w:r>
            <w:r w:rsidR="00AD40C3">
              <w:t xml:space="preserve">on the withholding grounds see our </w:t>
            </w:r>
            <w:hyperlink r:id="rId9" w:history="1">
              <w:r w:rsidR="00AD40C3" w:rsidRPr="00AD40C3">
                <w:rPr>
                  <w:rStyle w:val="Hyperlink"/>
                </w:rPr>
                <w:t>official information legislation guides</w:t>
              </w:r>
            </w:hyperlink>
            <w:r w:rsidR="006F6903">
              <w:t>.</w:t>
            </w:r>
          </w:p>
        </w:tc>
      </w:tr>
    </w:tbl>
    <w:p w:rsidR="00CA1EA0" w:rsidRPr="000E0B40" w:rsidRDefault="00CA1EA0" w:rsidP="000D0496">
      <w:pPr>
        <w:pStyle w:val="Whitespace"/>
      </w:pPr>
    </w:p>
    <w:tbl>
      <w:tblPr>
        <w:tblStyle w:val="TableGrid"/>
        <w:tblW w:w="9639" w:type="dxa"/>
        <w:tblInd w:w="108" w:type="dxa"/>
        <w:tblLayout w:type="fixed"/>
        <w:tblLook w:val="0620" w:firstRow="1" w:lastRow="0" w:firstColumn="0" w:lastColumn="0" w:noHBand="1" w:noVBand="1"/>
      </w:tblPr>
      <w:tblGrid>
        <w:gridCol w:w="2695"/>
        <w:gridCol w:w="6944"/>
      </w:tblGrid>
      <w:tr w:rsidR="00CA1EA0" w:rsidRPr="009649B6" w:rsidTr="00A564ED">
        <w:trPr>
          <w:cnfStyle w:val="100000000000" w:firstRow="1" w:lastRow="0" w:firstColumn="0" w:lastColumn="0" w:oddVBand="0" w:evenVBand="0" w:oddHBand="0" w:evenHBand="0" w:firstRowFirstColumn="0" w:firstRowLastColumn="0" w:lastRowFirstColumn="0" w:lastRowLastColumn="0"/>
          <w:cantSplit/>
          <w:tblHeader w:val="0"/>
        </w:trPr>
        <w:tc>
          <w:tcPr>
            <w:tcW w:w="2695" w:type="dxa"/>
            <w:tcBorders>
              <w:left w:val="single" w:sz="4" w:space="0" w:color="A6A6A6" w:themeColor="background1" w:themeShade="A6"/>
            </w:tcBorders>
            <w:shd w:val="clear" w:color="auto" w:fill="D3D3D3"/>
            <w:hideMark/>
          </w:tcPr>
          <w:p w:rsidR="00CA1EA0" w:rsidRPr="000E0B40" w:rsidRDefault="00CA1EA0" w:rsidP="00CA1EA0">
            <w:pPr>
              <w:pStyle w:val="Boxsmallnumber-1"/>
              <w:widowControl w:val="0"/>
              <w:numPr>
                <w:ilvl w:val="0"/>
                <w:numId w:val="46"/>
              </w:numPr>
              <w:rPr>
                <w:b/>
              </w:rPr>
            </w:pPr>
            <w:r w:rsidRPr="000E0B40">
              <w:rPr>
                <w:b/>
              </w:rPr>
              <w:t>Whose interests are at stake?</w:t>
            </w:r>
          </w:p>
        </w:tc>
        <w:tc>
          <w:tcPr>
            <w:tcW w:w="6944" w:type="dxa"/>
            <w:tcBorders>
              <w:right w:val="single" w:sz="4" w:space="0" w:color="A6A6A6" w:themeColor="background1" w:themeShade="A6"/>
            </w:tcBorders>
            <w:shd w:val="clear" w:color="auto" w:fill="auto"/>
            <w:hideMark/>
          </w:tcPr>
          <w:p w:rsidR="00CA1EA0" w:rsidRDefault="00CA1EA0" w:rsidP="00CA1EA0">
            <w:pPr>
              <w:pStyle w:val="Boxsmallbullet1"/>
              <w:widowControl w:val="0"/>
              <w:numPr>
                <w:ilvl w:val="0"/>
                <w:numId w:val="45"/>
              </w:numPr>
            </w:pPr>
            <w:r>
              <w:t>If you are concerned about the commercial position of a third party other than the agency, go to step 2.</w:t>
            </w:r>
          </w:p>
          <w:p w:rsidR="00CA1EA0" w:rsidRPr="009649B6" w:rsidRDefault="00CA1EA0" w:rsidP="00CA1EA0">
            <w:pPr>
              <w:pStyle w:val="Boxsmallbullet1"/>
              <w:widowControl w:val="0"/>
              <w:numPr>
                <w:ilvl w:val="0"/>
                <w:numId w:val="45"/>
              </w:numPr>
            </w:pPr>
            <w:r>
              <w:t>If you are concerned about the commercial activities of the agency, go to step 3.</w:t>
            </w:r>
          </w:p>
        </w:tc>
      </w:tr>
      <w:tr w:rsidR="00CA1EA0" w:rsidRPr="009649B6" w:rsidTr="00A564ED">
        <w:tc>
          <w:tcPr>
            <w:tcW w:w="2695" w:type="dxa"/>
            <w:tcBorders>
              <w:left w:val="single" w:sz="4" w:space="0" w:color="A6A6A6" w:themeColor="background1" w:themeShade="A6"/>
            </w:tcBorders>
            <w:shd w:val="clear" w:color="auto" w:fill="D3D3D3"/>
          </w:tcPr>
          <w:p w:rsidR="00CA1EA0" w:rsidRDefault="00CA1EA0" w:rsidP="00CA1EA0">
            <w:pPr>
              <w:pStyle w:val="Boxsmallnumber-1"/>
              <w:widowControl w:val="0"/>
              <w:numPr>
                <w:ilvl w:val="0"/>
                <w:numId w:val="46"/>
              </w:numPr>
              <w:rPr>
                <w:b/>
              </w:rPr>
            </w:pPr>
            <w:r w:rsidRPr="009E7C81">
              <w:rPr>
                <w:b/>
              </w:rPr>
              <w:t xml:space="preserve">Does section 9(2)(b)(ii) </w:t>
            </w:r>
            <w:r w:rsidR="00670260">
              <w:rPr>
                <w:b/>
              </w:rPr>
              <w:t xml:space="preserve">OIA / 7(2)(b)(ii) LGOIMA </w:t>
            </w:r>
            <w:r w:rsidRPr="009E7C81">
              <w:rPr>
                <w:b/>
              </w:rPr>
              <w:t>apply?</w:t>
            </w:r>
          </w:p>
          <w:p w:rsidR="00CA1EA0" w:rsidRPr="009E7C81" w:rsidRDefault="00CA1EA0" w:rsidP="00A564ED">
            <w:pPr>
              <w:pStyle w:val="Boxsmalltext"/>
              <w:widowControl w:val="0"/>
            </w:pPr>
          </w:p>
        </w:tc>
        <w:tc>
          <w:tcPr>
            <w:tcW w:w="6944" w:type="dxa"/>
            <w:tcBorders>
              <w:right w:val="single" w:sz="4" w:space="0" w:color="A6A6A6" w:themeColor="background1" w:themeShade="A6"/>
            </w:tcBorders>
            <w:shd w:val="clear" w:color="auto" w:fill="auto"/>
          </w:tcPr>
          <w:p w:rsidR="00CA1EA0" w:rsidRDefault="00CA1EA0" w:rsidP="00CA1EA0">
            <w:pPr>
              <w:pStyle w:val="Boxsmallbullet1"/>
              <w:widowControl w:val="0"/>
              <w:numPr>
                <w:ilvl w:val="0"/>
                <w:numId w:val="45"/>
              </w:numPr>
            </w:pPr>
            <w:r>
              <w:t>Was the information supplied by the third party, or is it about them?</w:t>
            </w:r>
          </w:p>
          <w:p w:rsidR="00CA1EA0" w:rsidRPr="000D0496" w:rsidRDefault="00CA1EA0" w:rsidP="00CA1EA0">
            <w:pPr>
              <w:pStyle w:val="Boxsmallbullet1"/>
              <w:widowControl w:val="0"/>
              <w:numPr>
                <w:ilvl w:val="0"/>
                <w:numId w:val="45"/>
              </w:numPr>
            </w:pPr>
            <w:r>
              <w:t xml:space="preserve">Does the third party have </w:t>
            </w:r>
            <w:r w:rsidRPr="000D0496">
              <w:t xml:space="preserve">a commercial position? To have a commercial position they must be engaged in commercial activities. Commercial activities are ones carried out for the predominant purpose of generating profit or gain. </w:t>
            </w:r>
          </w:p>
          <w:p w:rsidR="00CA1EA0" w:rsidRPr="000D0496" w:rsidRDefault="00CA1EA0" w:rsidP="00CA1EA0">
            <w:pPr>
              <w:pStyle w:val="Boxsmallbullet1"/>
              <w:widowControl w:val="0"/>
              <w:numPr>
                <w:ilvl w:val="0"/>
                <w:numId w:val="45"/>
              </w:numPr>
            </w:pPr>
            <w:r w:rsidRPr="000D0496">
              <w:t xml:space="preserve">Would release be likely unreasonably to prejudice their commercial position? </w:t>
            </w:r>
          </w:p>
          <w:p w:rsidR="00CA1EA0" w:rsidRPr="000D0496" w:rsidRDefault="00CA1EA0" w:rsidP="00CA1EA0">
            <w:pPr>
              <w:pStyle w:val="Boxsmallbullet2"/>
              <w:widowControl w:val="0"/>
              <w:numPr>
                <w:ilvl w:val="1"/>
                <w:numId w:val="18"/>
              </w:numPr>
            </w:pPr>
            <w:r w:rsidRPr="000D0496">
              <w:t>Identify the nature of the prejudice.</w:t>
            </w:r>
          </w:p>
          <w:p w:rsidR="00CA1EA0" w:rsidRPr="000D0496" w:rsidRDefault="00CA1EA0" w:rsidP="00CA1EA0">
            <w:pPr>
              <w:pStyle w:val="Boxsmallbullet2"/>
              <w:widowControl w:val="0"/>
              <w:numPr>
                <w:ilvl w:val="1"/>
                <w:numId w:val="18"/>
              </w:numPr>
            </w:pPr>
            <w:r w:rsidRPr="000D0496">
              <w:t>Consider the likelihood of the prejudice. There must be a serious or real and substantial risk. Relevant factors include the nature and content of the information, the extent to which the information is in the public domain, the age and currency of the information, and the commercial context.</w:t>
            </w:r>
          </w:p>
          <w:p w:rsidR="00CA1EA0" w:rsidRPr="000D0496" w:rsidRDefault="00CA1EA0" w:rsidP="00CA1EA0">
            <w:pPr>
              <w:pStyle w:val="Boxsmallbullet2"/>
              <w:widowControl w:val="0"/>
              <w:numPr>
                <w:ilvl w:val="1"/>
                <w:numId w:val="18"/>
              </w:numPr>
            </w:pPr>
            <w:r w:rsidRPr="000D0496">
              <w:lastRenderedPageBreak/>
              <w:t>Consider whether the prejudice would be unreasonable. Prejudice that is minor or insignificant may not be unreasonable. Prejudice that is warranted or justified may not be unreasonable.</w:t>
            </w:r>
          </w:p>
          <w:p w:rsidR="00CA1EA0" w:rsidRDefault="00CA1EA0" w:rsidP="00CA1EA0">
            <w:pPr>
              <w:pStyle w:val="Boxsmallbullet1"/>
              <w:widowControl w:val="0"/>
              <w:numPr>
                <w:ilvl w:val="0"/>
                <w:numId w:val="18"/>
              </w:numPr>
            </w:pPr>
            <w:r>
              <w:t xml:space="preserve">Consider </w:t>
            </w:r>
            <w:r w:rsidRPr="00176B2D">
              <w:t xml:space="preserve">consulting the third party </w:t>
            </w:r>
            <w:r>
              <w:t>before making a decision. Find detailed advice and template letters in our</w:t>
            </w:r>
            <w:r>
              <w:rPr>
                <w:bCs/>
                <w:i/>
                <w:iCs/>
              </w:rPr>
              <w:t xml:space="preserve"> </w:t>
            </w:r>
            <w:hyperlink r:id="rId10" w:history="1">
              <w:r w:rsidR="000762A5" w:rsidRPr="00513648">
                <w:rPr>
                  <w:rStyle w:val="Hyperlink"/>
                  <w:bCs/>
                  <w:i/>
                  <w:iCs/>
                </w:rPr>
                <w:t>Consulting third parties</w:t>
              </w:r>
            </w:hyperlink>
            <w:r>
              <w:rPr>
                <w:bCs/>
                <w:i/>
                <w:iCs/>
              </w:rPr>
              <w:t xml:space="preserve"> </w:t>
            </w:r>
            <w:r>
              <w:rPr>
                <w:bCs/>
                <w:iCs/>
              </w:rPr>
              <w:t>guide</w:t>
            </w:r>
            <w:r>
              <w:t xml:space="preserve">. </w:t>
            </w:r>
          </w:p>
          <w:p w:rsidR="00CA1EA0" w:rsidRDefault="00CA1EA0" w:rsidP="00CA1EA0">
            <w:pPr>
              <w:pStyle w:val="Boxsmallbullet1"/>
              <w:widowControl w:val="0"/>
              <w:numPr>
                <w:ilvl w:val="0"/>
                <w:numId w:val="45"/>
              </w:numPr>
            </w:pPr>
            <w:r>
              <w:t>Consider whether it is possible to release the information in part.</w:t>
            </w:r>
          </w:p>
          <w:p w:rsidR="00CA1EA0" w:rsidRDefault="00CA1EA0" w:rsidP="00A44628">
            <w:pPr>
              <w:pStyle w:val="Boxsmallbullet1"/>
              <w:widowControl w:val="0"/>
              <w:numPr>
                <w:ilvl w:val="0"/>
                <w:numId w:val="45"/>
              </w:numPr>
            </w:pPr>
            <w:r>
              <w:t xml:space="preserve">If section 9(2)(b)(ii) </w:t>
            </w:r>
            <w:r w:rsidR="00587890">
              <w:t xml:space="preserve">OIA / 7(2)(b)(ii) LGOIMA </w:t>
            </w:r>
            <w:r>
              <w:t xml:space="preserve">applies, go to step </w:t>
            </w:r>
            <w:r w:rsidR="00A44628">
              <w:t>4</w:t>
            </w:r>
            <w:r>
              <w:t>. Otherwise release the information (unless another withholding ground applies).</w:t>
            </w:r>
          </w:p>
        </w:tc>
      </w:tr>
      <w:tr w:rsidR="00CA1EA0" w:rsidRPr="009649B6" w:rsidTr="00A564ED">
        <w:trPr>
          <w:cantSplit/>
        </w:trPr>
        <w:tc>
          <w:tcPr>
            <w:tcW w:w="2695" w:type="dxa"/>
            <w:tcBorders>
              <w:left w:val="single" w:sz="4" w:space="0" w:color="A6A6A6" w:themeColor="background1" w:themeShade="A6"/>
            </w:tcBorders>
            <w:shd w:val="clear" w:color="auto" w:fill="D3D3D3"/>
          </w:tcPr>
          <w:p w:rsidR="00CA1EA0" w:rsidRDefault="00CA1EA0" w:rsidP="00CA1EA0">
            <w:pPr>
              <w:pStyle w:val="Boxsmallnumber-1"/>
              <w:widowControl w:val="0"/>
              <w:numPr>
                <w:ilvl w:val="0"/>
                <w:numId w:val="46"/>
              </w:numPr>
              <w:rPr>
                <w:b/>
              </w:rPr>
            </w:pPr>
            <w:r w:rsidRPr="009E7C81">
              <w:rPr>
                <w:b/>
              </w:rPr>
              <w:lastRenderedPageBreak/>
              <w:t xml:space="preserve">Does section 9(2)(i) </w:t>
            </w:r>
            <w:r w:rsidR="00670260">
              <w:rPr>
                <w:b/>
              </w:rPr>
              <w:t xml:space="preserve">OIA / 7(2)(h) LGOIMA </w:t>
            </w:r>
            <w:r w:rsidRPr="009E7C81">
              <w:rPr>
                <w:b/>
              </w:rPr>
              <w:t>apply?</w:t>
            </w:r>
          </w:p>
          <w:p w:rsidR="00CA1EA0" w:rsidRPr="00222254" w:rsidRDefault="00CA1EA0" w:rsidP="00A564ED">
            <w:pPr>
              <w:pStyle w:val="Boxsmallnumber-1"/>
              <w:widowControl w:val="0"/>
              <w:numPr>
                <w:ilvl w:val="0"/>
                <w:numId w:val="0"/>
              </w:numPr>
            </w:pPr>
          </w:p>
        </w:tc>
        <w:tc>
          <w:tcPr>
            <w:tcW w:w="6944" w:type="dxa"/>
            <w:tcBorders>
              <w:right w:val="single" w:sz="4" w:space="0" w:color="A6A6A6" w:themeColor="background1" w:themeShade="A6"/>
            </w:tcBorders>
            <w:shd w:val="clear" w:color="auto" w:fill="auto"/>
          </w:tcPr>
          <w:p w:rsidR="00CA1EA0" w:rsidRPr="000D0496" w:rsidRDefault="00CA1EA0" w:rsidP="00CA1EA0">
            <w:pPr>
              <w:pStyle w:val="Boxsmallbullet1"/>
              <w:widowControl w:val="0"/>
              <w:numPr>
                <w:ilvl w:val="0"/>
                <w:numId w:val="18"/>
              </w:numPr>
            </w:pPr>
            <w:r>
              <w:t xml:space="preserve">Is the agency engaged in </w:t>
            </w:r>
            <w:r w:rsidRPr="000D0496">
              <w:t xml:space="preserve">commercial activities? Commercial activities are ones carried out for the predominant purpose of generating profit or gain. </w:t>
            </w:r>
          </w:p>
          <w:p w:rsidR="00CA1EA0" w:rsidRPr="000D0496" w:rsidRDefault="00CA1EA0" w:rsidP="00CA1EA0">
            <w:pPr>
              <w:pStyle w:val="Boxsmallbullet1"/>
              <w:widowControl w:val="0"/>
              <w:numPr>
                <w:ilvl w:val="0"/>
                <w:numId w:val="18"/>
              </w:numPr>
            </w:pPr>
            <w:r w:rsidRPr="000D0496">
              <w:t>Would release of the information at issue prejudice or disadvantage them in carrying out those activities?</w:t>
            </w:r>
          </w:p>
          <w:p w:rsidR="00CA1EA0" w:rsidRPr="000D0496" w:rsidRDefault="00CA1EA0" w:rsidP="00CA1EA0">
            <w:pPr>
              <w:pStyle w:val="Boxsmallbullet2"/>
              <w:widowControl w:val="0"/>
              <w:numPr>
                <w:ilvl w:val="1"/>
                <w:numId w:val="18"/>
              </w:numPr>
            </w:pPr>
            <w:r w:rsidRPr="000D0496">
              <w:t>Identify the nature of the prejudice or disadvantage.</w:t>
            </w:r>
          </w:p>
          <w:p w:rsidR="00CA1EA0" w:rsidRPr="000D0496" w:rsidRDefault="00CA1EA0" w:rsidP="00CA1EA0">
            <w:pPr>
              <w:pStyle w:val="Boxsmallbullet2"/>
              <w:widowControl w:val="0"/>
              <w:numPr>
                <w:ilvl w:val="1"/>
                <w:numId w:val="18"/>
              </w:numPr>
            </w:pPr>
            <w:r w:rsidRPr="000D0496">
              <w:t>Consider the likelihood of the prejudice or disadvantage. It should be so likely that withholding is reasonably necessary. Relevant factors include the nature and content of the information, the extent to which the information is in the public domain, the age and currency of the information, and the commercial context.</w:t>
            </w:r>
          </w:p>
          <w:p w:rsidR="00CA1EA0" w:rsidRDefault="00350088" w:rsidP="00CA1EA0">
            <w:pPr>
              <w:pStyle w:val="Boxsmallbullet1"/>
              <w:widowControl w:val="0"/>
              <w:numPr>
                <w:ilvl w:val="0"/>
                <w:numId w:val="18"/>
              </w:numPr>
            </w:pPr>
            <w:r>
              <w:t>C</w:t>
            </w:r>
            <w:r w:rsidR="00CA1EA0">
              <w:t>onsider whether it is possible to release the information in part.</w:t>
            </w:r>
          </w:p>
          <w:p w:rsidR="00CA1EA0" w:rsidRDefault="00CA1EA0" w:rsidP="00CA1EA0">
            <w:pPr>
              <w:pStyle w:val="Boxsmallbullet1"/>
              <w:widowControl w:val="0"/>
              <w:numPr>
                <w:ilvl w:val="0"/>
                <w:numId w:val="18"/>
              </w:numPr>
            </w:pPr>
            <w:r>
              <w:t>If section 9(2)(i)</w:t>
            </w:r>
            <w:r w:rsidR="00587890">
              <w:t xml:space="preserve"> OIA / 7(2)(h) LGOIMA</w:t>
            </w:r>
            <w:r>
              <w:t xml:space="preserve"> applies, go to step 4. Otherwise release the information (unless another withholding ground applies).</w:t>
            </w:r>
          </w:p>
        </w:tc>
      </w:tr>
      <w:tr w:rsidR="00CA1EA0" w:rsidRPr="009649B6" w:rsidTr="00A564ED">
        <w:trPr>
          <w:cantSplit/>
        </w:trPr>
        <w:tc>
          <w:tcPr>
            <w:tcW w:w="2695" w:type="dxa"/>
            <w:tcBorders>
              <w:left w:val="single" w:sz="4" w:space="0" w:color="A6A6A6" w:themeColor="background1" w:themeShade="A6"/>
            </w:tcBorders>
            <w:shd w:val="clear" w:color="auto" w:fill="D3D3D3"/>
          </w:tcPr>
          <w:p w:rsidR="00CA1EA0" w:rsidRDefault="00CA1EA0" w:rsidP="00CA1EA0">
            <w:pPr>
              <w:pStyle w:val="Boxsmallnumber-1"/>
              <w:widowControl w:val="0"/>
              <w:numPr>
                <w:ilvl w:val="0"/>
                <w:numId w:val="46"/>
              </w:numPr>
              <w:rPr>
                <w:rStyle w:val="Emphasis"/>
              </w:rPr>
            </w:pPr>
            <w:r>
              <w:rPr>
                <w:rStyle w:val="Emphasis"/>
              </w:rPr>
              <w:t>Apply the public interest test</w:t>
            </w:r>
          </w:p>
          <w:p w:rsidR="00CA1EA0" w:rsidRPr="00405250" w:rsidRDefault="00CA1EA0" w:rsidP="00A564ED">
            <w:pPr>
              <w:pStyle w:val="Boxsmallnumber-1"/>
              <w:widowControl w:val="0"/>
              <w:numPr>
                <w:ilvl w:val="0"/>
                <w:numId w:val="0"/>
              </w:numPr>
              <w:rPr>
                <w:rStyle w:val="Emphasis"/>
                <w:b w:val="0"/>
              </w:rPr>
            </w:pPr>
          </w:p>
        </w:tc>
        <w:tc>
          <w:tcPr>
            <w:tcW w:w="6944" w:type="dxa"/>
            <w:tcBorders>
              <w:right w:val="single" w:sz="4" w:space="0" w:color="A6A6A6" w:themeColor="background1" w:themeShade="A6"/>
            </w:tcBorders>
            <w:shd w:val="clear" w:color="auto" w:fill="auto"/>
          </w:tcPr>
          <w:p w:rsidR="00CA1EA0" w:rsidRDefault="00CA1EA0" w:rsidP="00CA1EA0">
            <w:pPr>
              <w:pStyle w:val="Boxsmallbullet1"/>
              <w:widowControl w:val="0"/>
              <w:numPr>
                <w:ilvl w:val="0"/>
                <w:numId w:val="18"/>
              </w:numPr>
            </w:pPr>
            <w:r>
              <w:t>Identify any public interest considerations in favour of disclosure, for example, transparency in procurement processes, accountability for spending public money, accountability for performing regulatory functions, and promoting public safety and consumer protection.</w:t>
            </w:r>
          </w:p>
          <w:p w:rsidR="00CA1EA0" w:rsidRDefault="00CA1EA0" w:rsidP="00CA1EA0">
            <w:pPr>
              <w:pStyle w:val="Boxsmallbullet1"/>
              <w:widowControl w:val="0"/>
              <w:numPr>
                <w:ilvl w:val="0"/>
                <w:numId w:val="18"/>
              </w:numPr>
            </w:pPr>
            <w:r>
              <w:t xml:space="preserve">Consider whether these outweigh the need to withhold. </w:t>
            </w:r>
          </w:p>
          <w:p w:rsidR="00CA1EA0" w:rsidRPr="00204FCD" w:rsidRDefault="00CA1EA0" w:rsidP="00CA1EA0">
            <w:pPr>
              <w:pStyle w:val="Boxsmallbullet1"/>
              <w:widowControl w:val="0"/>
              <w:numPr>
                <w:ilvl w:val="0"/>
                <w:numId w:val="18"/>
              </w:numPr>
            </w:pPr>
            <w:r>
              <w:t xml:space="preserve">See </w:t>
            </w:r>
            <w:hyperlink r:id="rId11" w:history="1">
              <w:r w:rsidRPr="005E2975">
                <w:rPr>
                  <w:rStyle w:val="Hyperlink"/>
                  <w:i/>
                </w:rPr>
                <w:t>Public interest—A guide to the public interest test in section 9(1) of the OIA and section 7(1) of the LGOIMA</w:t>
              </w:r>
            </w:hyperlink>
            <w:r>
              <w:t xml:space="preserve"> for more information.</w:t>
            </w:r>
          </w:p>
        </w:tc>
      </w:tr>
      <w:tr w:rsidR="00CA1EA0" w:rsidRPr="009649B6" w:rsidTr="00A564ED">
        <w:trPr>
          <w:cantSplit/>
        </w:trPr>
        <w:tc>
          <w:tcPr>
            <w:tcW w:w="2695" w:type="dxa"/>
            <w:tcBorders>
              <w:left w:val="single" w:sz="4" w:space="0" w:color="A6A6A6" w:themeColor="background1" w:themeShade="A6"/>
            </w:tcBorders>
            <w:shd w:val="clear" w:color="auto" w:fill="D3D3D3"/>
          </w:tcPr>
          <w:p w:rsidR="00CA1EA0" w:rsidRDefault="00CA1EA0" w:rsidP="00CA1EA0">
            <w:pPr>
              <w:pStyle w:val="Boxsmallnumber-1"/>
              <w:widowControl w:val="0"/>
              <w:numPr>
                <w:ilvl w:val="0"/>
                <w:numId w:val="46"/>
              </w:numPr>
              <w:rPr>
                <w:rStyle w:val="Emphasis"/>
              </w:rPr>
            </w:pPr>
            <w:r>
              <w:rPr>
                <w:rStyle w:val="Emphasis"/>
              </w:rPr>
              <w:t>Make a decision on the request</w:t>
            </w:r>
          </w:p>
        </w:tc>
        <w:tc>
          <w:tcPr>
            <w:tcW w:w="6944" w:type="dxa"/>
            <w:tcBorders>
              <w:right w:val="single" w:sz="4" w:space="0" w:color="A6A6A6" w:themeColor="background1" w:themeShade="A6"/>
            </w:tcBorders>
            <w:shd w:val="clear" w:color="auto" w:fill="auto"/>
          </w:tcPr>
          <w:p w:rsidR="00CA1EA0" w:rsidRDefault="00CA1EA0" w:rsidP="00CA1EA0">
            <w:pPr>
              <w:pStyle w:val="Boxsmallbullet1"/>
              <w:numPr>
                <w:ilvl w:val="0"/>
                <w:numId w:val="45"/>
              </w:numPr>
            </w:pPr>
            <w:r>
              <w:t xml:space="preserve">If the public interest in disclosure outweighs the need to withhold, the information must be released. If it doesn’t, then it is open to the agency to refuse the request. </w:t>
            </w:r>
          </w:p>
          <w:p w:rsidR="00CA1EA0" w:rsidRDefault="00CA1EA0" w:rsidP="00CA1EA0">
            <w:pPr>
              <w:pStyle w:val="Boxsmallbullet1"/>
              <w:numPr>
                <w:ilvl w:val="0"/>
                <w:numId w:val="45"/>
              </w:numPr>
            </w:pPr>
            <w:r>
              <w:t xml:space="preserve">Before refusing in full, consider partial release, release of summary information, or release of other information, in recognition of the public interest considerations discussed above. </w:t>
            </w:r>
          </w:p>
          <w:p w:rsidR="00CA1EA0" w:rsidRDefault="00CA1EA0" w:rsidP="00CA1EA0">
            <w:pPr>
              <w:pStyle w:val="Boxsmallbullet1"/>
              <w:widowControl w:val="0"/>
              <w:numPr>
                <w:ilvl w:val="0"/>
                <w:numId w:val="45"/>
              </w:numPr>
            </w:pPr>
            <w:r>
              <w:t xml:space="preserve">See our </w:t>
            </w:r>
            <w:hyperlink r:id="rId12" w:history="1">
              <w:r w:rsidRPr="001B5B3F">
                <w:rPr>
                  <w:rStyle w:val="Hyperlink"/>
                </w:rPr>
                <w:t>Template letter 6: Letter communicating the decision on a request</w:t>
              </w:r>
            </w:hyperlink>
            <w:bookmarkStart w:id="2" w:name="_GoBack"/>
            <w:bookmarkEnd w:id="2"/>
            <w:r>
              <w:t>.</w:t>
            </w:r>
          </w:p>
        </w:tc>
      </w:tr>
    </w:tbl>
    <w:p w:rsidR="00E52A0C" w:rsidRDefault="00E52A0C" w:rsidP="00215479">
      <w:pPr>
        <w:pStyle w:val="BodyText"/>
      </w:pPr>
    </w:p>
    <w:sectPr w:rsidR="00E52A0C" w:rsidSect="00AB5002">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B4" w:rsidRPr="00D45126" w:rsidRDefault="001851B4" w:rsidP="00554FCD">
      <w:pPr>
        <w:spacing w:after="0" w:line="240" w:lineRule="auto"/>
        <w:rPr>
          <w:color w:val="4D4D4D"/>
        </w:rPr>
      </w:pPr>
      <w:r w:rsidRPr="00D45126">
        <w:rPr>
          <w:color w:val="4D4D4D"/>
        </w:rPr>
        <w:separator/>
      </w:r>
    </w:p>
  </w:endnote>
  <w:endnote w:type="continuationSeparator" w:id="0">
    <w:p w:rsidR="001851B4" w:rsidRPr="00D45126" w:rsidRDefault="001851B4" w:rsidP="00554FCD">
      <w:pPr>
        <w:spacing w:after="0" w:line="240" w:lineRule="auto"/>
        <w:rPr>
          <w:color w:val="4D4D4D"/>
        </w:rPr>
      </w:pPr>
      <w:r w:rsidRPr="00D45126">
        <w:rPr>
          <w:color w:val="4D4D4D"/>
        </w:rPr>
        <w:continuationSeparator/>
      </w:r>
    </w:p>
  </w:endnote>
  <w:endnote w:type="continuationNotice" w:id="1">
    <w:p w:rsidR="001851B4" w:rsidRDefault="00185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24" w:rsidRDefault="0018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24" w:rsidRDefault="00182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24" w:rsidRDefault="0018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B4" w:rsidRPr="00D45126" w:rsidRDefault="001851B4" w:rsidP="002B446B">
      <w:pPr>
        <w:spacing w:after="0" w:line="240" w:lineRule="auto"/>
        <w:rPr>
          <w:color w:val="4D4D4D"/>
        </w:rPr>
      </w:pPr>
      <w:r w:rsidRPr="00D45126">
        <w:rPr>
          <w:color w:val="4D4D4D"/>
        </w:rPr>
        <w:separator/>
      </w:r>
    </w:p>
  </w:footnote>
  <w:footnote w:type="continuationSeparator" w:id="0">
    <w:p w:rsidR="001851B4" w:rsidRPr="00C14083" w:rsidRDefault="001851B4" w:rsidP="00554FCD">
      <w:pPr>
        <w:spacing w:after="0" w:line="240" w:lineRule="auto"/>
        <w:rPr>
          <w:color w:val="4D4D4D"/>
        </w:rPr>
      </w:pPr>
      <w:r w:rsidRPr="00C14083">
        <w:rPr>
          <w:color w:val="4D4D4D"/>
        </w:rPr>
        <w:continuationSeparator/>
      </w:r>
    </w:p>
  </w:footnote>
  <w:footnote w:type="continuationNotice" w:id="1">
    <w:p w:rsidR="001851B4" w:rsidRDefault="00185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24" w:rsidRDefault="00182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24" w:rsidRDefault="00182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24" w:rsidRDefault="0018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CA1EA0"/>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762A5"/>
    <w:rsid w:val="00080A86"/>
    <w:rsid w:val="00080EEE"/>
    <w:rsid w:val="00083F90"/>
    <w:rsid w:val="00084EC9"/>
    <w:rsid w:val="0008644C"/>
    <w:rsid w:val="00087367"/>
    <w:rsid w:val="00090481"/>
    <w:rsid w:val="00091092"/>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0496"/>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2424"/>
    <w:rsid w:val="001851B4"/>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0242"/>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0088"/>
    <w:rsid w:val="003516B6"/>
    <w:rsid w:val="003531C6"/>
    <w:rsid w:val="003539AD"/>
    <w:rsid w:val="00354081"/>
    <w:rsid w:val="00355D52"/>
    <w:rsid w:val="003567EB"/>
    <w:rsid w:val="0036078D"/>
    <w:rsid w:val="00360C6C"/>
    <w:rsid w:val="00361953"/>
    <w:rsid w:val="00363724"/>
    <w:rsid w:val="003659EA"/>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D5C44"/>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648"/>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87890"/>
    <w:rsid w:val="0059004E"/>
    <w:rsid w:val="00595B26"/>
    <w:rsid w:val="005A0F46"/>
    <w:rsid w:val="005A0F5B"/>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260"/>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6F6903"/>
    <w:rsid w:val="006F76B1"/>
    <w:rsid w:val="00701B96"/>
    <w:rsid w:val="00703C65"/>
    <w:rsid w:val="00703CF9"/>
    <w:rsid w:val="00704768"/>
    <w:rsid w:val="00707B00"/>
    <w:rsid w:val="00711DCE"/>
    <w:rsid w:val="0071203F"/>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44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8F7849"/>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4525"/>
    <w:rsid w:val="0097570E"/>
    <w:rsid w:val="009779D9"/>
    <w:rsid w:val="0098217E"/>
    <w:rsid w:val="00985871"/>
    <w:rsid w:val="00987E16"/>
    <w:rsid w:val="0099066A"/>
    <w:rsid w:val="00990783"/>
    <w:rsid w:val="009A3E0C"/>
    <w:rsid w:val="009A4676"/>
    <w:rsid w:val="009A7EA6"/>
    <w:rsid w:val="009B0A78"/>
    <w:rsid w:val="009B210B"/>
    <w:rsid w:val="009B4B79"/>
    <w:rsid w:val="009B618E"/>
    <w:rsid w:val="009C1083"/>
    <w:rsid w:val="009C1890"/>
    <w:rsid w:val="009C375B"/>
    <w:rsid w:val="009C4723"/>
    <w:rsid w:val="009D35A1"/>
    <w:rsid w:val="009D75AE"/>
    <w:rsid w:val="009E02A1"/>
    <w:rsid w:val="009E02DD"/>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0497"/>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4628"/>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0C3"/>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1EA0"/>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79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2128"/>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EF7065"/>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CA1EA0"/>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qFormat/>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qFormat/>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budsman.parliament.nz/resources/template-letter-6-letter-communicating-decision-reque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man.parliament.nz/resources/public-interest-guide-public-interest-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mbudsman.parliament.nz/resources/consulting-third-par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mbudsman.parliament.nz/resources?f%5B0%5D=category%3A2146" TargetMode="External"/><Relationship Id="rId14" Type="http://schemas.openxmlformats.org/officeDocument/2006/relationships/header" Target="header2.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619-E869-4AC2-963A-3669B4B2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Commercial information work sheet</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2019-08-14T22:15:00Z</dcterms:created>
  <dcterms:modified xsi:type="dcterms:W3CDTF">2019-08-14T22:15:00Z</dcterms:modified>
  <cp:contentStatus/>
</cp:coreProperties>
</file>