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7F4A70"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E03AC8" w:rsidP="00947D5A">
            <w:pPr>
              <w:pStyle w:val="Title"/>
            </w:pPr>
            <w:r>
              <w:t xml:space="preserve">Department of Corrections </w:t>
            </w:r>
            <w:r w:rsidR="00947D5A">
              <w:t xml:space="preserve">not unreasonable to </w:t>
            </w:r>
            <w:r>
              <w:t xml:space="preserve">decline </w:t>
            </w:r>
            <w:r w:rsidR="00947D5A">
              <w:t>f</w:t>
            </w:r>
            <w:r>
              <w:t xml:space="preserve">ace to face interview </w:t>
            </w:r>
            <w:r w:rsidR="00947D5A">
              <w:t xml:space="preserve">between prisoner and journalist </w:t>
            </w:r>
            <w:r w:rsidR="00997C2D">
              <w:t>in particular case</w:t>
            </w:r>
          </w:p>
        </w:tc>
      </w:tr>
      <w:tr w:rsidR="00051017" w:rsidTr="004F393F">
        <w:trPr>
          <w:trHeight w:hRule="exact" w:val="340"/>
        </w:trPr>
        <w:tc>
          <w:tcPr>
            <w:tcW w:w="9441" w:type="dxa"/>
            <w:shd w:val="clear" w:color="auto" w:fill="auto"/>
            <w:vAlign w:val="bottom"/>
          </w:tcPr>
          <w:p w:rsidR="00B841FB" w:rsidRDefault="007F4A70" w:rsidP="00B841FB"/>
        </w:tc>
      </w:tr>
      <w:tr w:rsidR="00051017" w:rsidTr="004F393F">
        <w:trPr>
          <w:trHeight w:val="2098"/>
        </w:trPr>
        <w:tc>
          <w:tcPr>
            <w:tcW w:w="9441" w:type="dxa"/>
            <w:shd w:val="clear" w:color="auto" w:fill="auto"/>
          </w:tcPr>
          <w:p w:rsidR="00B841FB" w:rsidRPr="009A61CE" w:rsidRDefault="00830A8D" w:rsidP="009A61CE">
            <w:pPr>
              <w:pStyle w:val="Heading1-Subnonboldtext"/>
              <w:rPr>
                <w:b/>
              </w:rPr>
            </w:pPr>
            <w:r w:rsidRPr="00F417FD">
              <w:rPr>
                <w:rStyle w:val="Heading1-Sub"/>
              </w:rPr>
              <w:t>Legislation</w:t>
            </w:r>
            <w:r>
              <w:tab/>
            </w:r>
            <w:r w:rsidR="004F393F">
              <w:t>Ombudsmen Act 1975</w:t>
            </w:r>
            <w:r w:rsidR="007F4A70">
              <w:t>, Corrections Act 2004</w:t>
            </w:r>
            <w:r w:rsidR="004F393F">
              <w:t xml:space="preserve"> </w:t>
            </w:r>
          </w:p>
          <w:p w:rsidR="0089058E" w:rsidRDefault="00830A8D" w:rsidP="00B841FB">
            <w:pPr>
              <w:pStyle w:val="Heading1-Subnonboldtext"/>
            </w:pPr>
            <w:r w:rsidRPr="00F417FD">
              <w:rPr>
                <w:rStyle w:val="Heading1-Sub"/>
              </w:rPr>
              <w:t>Ombudsman</w:t>
            </w:r>
            <w:r>
              <w:tab/>
            </w:r>
            <w:r w:rsidR="00E03AC8">
              <w:t xml:space="preserve">Leo Donnelly </w:t>
            </w:r>
          </w:p>
          <w:p w:rsidR="000054D7" w:rsidRDefault="00830A8D" w:rsidP="000054D7">
            <w:pPr>
              <w:pStyle w:val="Heading1-Subnonboldtext"/>
            </w:pPr>
            <w:r w:rsidRPr="00F417FD">
              <w:rPr>
                <w:rStyle w:val="Heading1-Sub"/>
              </w:rPr>
              <w:t>Case number(s)</w:t>
            </w:r>
            <w:r>
              <w:tab/>
            </w:r>
            <w:r w:rsidR="00E03AC8">
              <w:t>423792 (previously unpublished)</w:t>
            </w:r>
          </w:p>
          <w:p w:rsidR="00B841FB" w:rsidRPr="00F417FD" w:rsidRDefault="00830A8D" w:rsidP="000054D7">
            <w:pPr>
              <w:pStyle w:val="Heading1-Subnonboldtext"/>
            </w:pPr>
            <w:r w:rsidRPr="00F417FD">
              <w:rPr>
                <w:rStyle w:val="Heading1-Sub"/>
              </w:rPr>
              <w:t>Date</w:t>
            </w:r>
            <w:r>
              <w:tab/>
            </w:r>
            <w:r w:rsidR="00E03AC8">
              <w:t>2017</w:t>
            </w:r>
          </w:p>
        </w:tc>
      </w:tr>
    </w:tbl>
    <w:p w:rsidR="00DD3808" w:rsidRDefault="00DD3808" w:rsidP="009A61CE">
      <w:pPr>
        <w:pStyle w:val="BodyText"/>
        <w:rPr>
          <w:lang w:eastAsia="en-NZ"/>
        </w:rPr>
      </w:pPr>
    </w:p>
    <w:p w:rsidR="0089058E" w:rsidRPr="007F4A70" w:rsidRDefault="00E03AC8" w:rsidP="007F4A70">
      <w:pPr>
        <w:pStyle w:val="BodyText"/>
        <w:rPr>
          <w:i/>
        </w:rPr>
      </w:pPr>
      <w:r w:rsidRPr="007F4A70">
        <w:rPr>
          <w:i/>
        </w:rPr>
        <w:t>Prisoner requested face to face interview with journalist</w:t>
      </w:r>
      <w:r w:rsidR="007F4A70">
        <w:rPr>
          <w:i/>
        </w:rPr>
        <w:t>—</w:t>
      </w:r>
      <w:r w:rsidRPr="007F4A70">
        <w:rPr>
          <w:i/>
        </w:rPr>
        <w:t>request declined</w:t>
      </w:r>
      <w:r w:rsidR="007F4A70">
        <w:rPr>
          <w:i/>
        </w:rPr>
        <w:t>—</w:t>
      </w:r>
      <w:r w:rsidRPr="007F4A70">
        <w:rPr>
          <w:i/>
        </w:rPr>
        <w:t>Ombudsman noted journalist had offered to conduct interview by AVL, notwithstanding preference for face to face</w:t>
      </w:r>
      <w:r w:rsidR="007F4A70">
        <w:rPr>
          <w:i/>
        </w:rPr>
        <w:t>—</w:t>
      </w:r>
      <w:r w:rsidRPr="007F4A70">
        <w:rPr>
          <w:i/>
        </w:rPr>
        <w:t xml:space="preserve">Ombudsman concluded that on this basis Department had not acted unreasonably in this instance </w:t>
      </w:r>
      <w:r w:rsidR="0089058E" w:rsidRPr="007F4A70">
        <w:rPr>
          <w:i/>
        </w:rPr>
        <w:t>     </w:t>
      </w:r>
    </w:p>
    <w:p w:rsidR="00593806" w:rsidRPr="003A639B" w:rsidRDefault="00E03AC8" w:rsidP="007F4A70">
      <w:pPr>
        <w:pStyle w:val="BodyText"/>
        <w:rPr>
          <w:color w:val="auto"/>
        </w:rPr>
      </w:pPr>
      <w:r>
        <w:t>Complainant believed the Department</w:t>
      </w:r>
      <w:r w:rsidR="007F4A70">
        <w:t>’</w:t>
      </w:r>
      <w:r>
        <w:t xml:space="preserve">s decision was contrary to law </w:t>
      </w:r>
      <w:r w:rsidR="00593806">
        <w:t xml:space="preserve">(a recent Court of Appeal </w:t>
      </w:r>
      <w:r w:rsidR="00997C2D">
        <w:t xml:space="preserve">decision left the way open for media interviews to be considered) </w:t>
      </w:r>
      <w:r w:rsidR="00C85D0C">
        <w:t xml:space="preserve">- </w:t>
      </w:r>
      <w:r>
        <w:t xml:space="preserve">and unjust and </w:t>
      </w:r>
      <w:r w:rsidRPr="003A639B">
        <w:rPr>
          <w:color w:val="auto"/>
        </w:rPr>
        <w:t xml:space="preserve">unreasonable </w:t>
      </w:r>
      <w:r>
        <w:rPr>
          <w:color w:val="auto"/>
        </w:rPr>
        <w:t xml:space="preserve">in terms of </w:t>
      </w:r>
      <w:r w:rsidRPr="003A639B">
        <w:rPr>
          <w:color w:val="auto"/>
        </w:rPr>
        <w:t>sections 6(1)(f)(ii) and 6(1)(g) of the Corrections Act 2004</w:t>
      </w:r>
      <w:r w:rsidR="00593806">
        <w:rPr>
          <w:color w:val="auto"/>
        </w:rPr>
        <w:t xml:space="preserve"> (sentences and orders must not be administered more restrictively than is reasonably necessary to ensure maintenance of the law and safety of the public). The complainant claimed that the journalist had advised the </w:t>
      </w:r>
      <w:r w:rsidRPr="003A639B">
        <w:rPr>
          <w:color w:val="auto"/>
        </w:rPr>
        <w:t xml:space="preserve">Department </w:t>
      </w:r>
      <w:r w:rsidR="00C85D0C">
        <w:rPr>
          <w:color w:val="auto"/>
        </w:rPr>
        <w:t xml:space="preserve">of </w:t>
      </w:r>
      <w:r w:rsidR="00593806">
        <w:rPr>
          <w:color w:val="auto"/>
        </w:rPr>
        <w:t>the complainant</w:t>
      </w:r>
      <w:r w:rsidR="007F4A70">
        <w:rPr>
          <w:color w:val="auto"/>
        </w:rPr>
        <w:t>’</w:t>
      </w:r>
      <w:r w:rsidR="00593806">
        <w:rPr>
          <w:color w:val="auto"/>
        </w:rPr>
        <w:t>s preference (</w:t>
      </w:r>
      <w:r w:rsidRPr="003A639B">
        <w:rPr>
          <w:color w:val="auto"/>
        </w:rPr>
        <w:t>face to face interview</w:t>
      </w:r>
      <w:r w:rsidR="00593806">
        <w:rPr>
          <w:color w:val="auto"/>
        </w:rPr>
        <w:t>) and that an interview by Audio-Visual-Link (AVL) was not preferred. The complainant also claimed that the</w:t>
      </w:r>
      <w:r w:rsidRPr="003A639B">
        <w:rPr>
          <w:color w:val="auto"/>
        </w:rPr>
        <w:t xml:space="preserve"> Department imposed the AVL condition, </w:t>
      </w:r>
      <w:r w:rsidR="00593806">
        <w:rPr>
          <w:color w:val="auto"/>
        </w:rPr>
        <w:t xml:space="preserve">which was subsequently accepted </w:t>
      </w:r>
      <w:r w:rsidR="007F4A70">
        <w:rPr>
          <w:color w:val="auto"/>
        </w:rPr>
        <w:t>‘</w:t>
      </w:r>
      <w:r w:rsidR="00C85D0C" w:rsidRPr="00C85D0C">
        <w:rPr>
          <w:color w:val="auto"/>
        </w:rPr>
        <w:t>under duress</w:t>
      </w:r>
      <w:r w:rsidR="007F4A70">
        <w:rPr>
          <w:color w:val="auto"/>
        </w:rPr>
        <w:t>’</w:t>
      </w:r>
      <w:r w:rsidR="00C85D0C">
        <w:rPr>
          <w:color w:val="auto"/>
        </w:rPr>
        <w:t xml:space="preserve"> </w:t>
      </w:r>
      <w:r w:rsidR="00593806">
        <w:rPr>
          <w:color w:val="auto"/>
        </w:rPr>
        <w:t xml:space="preserve">because it seemed to have been the only way for the interview to be done and he believed there were no safety or </w:t>
      </w:r>
      <w:r w:rsidRPr="003A639B">
        <w:rPr>
          <w:color w:val="auto"/>
        </w:rPr>
        <w:t>security considerations that would have justified imposing the AVL condition</w:t>
      </w:r>
      <w:r w:rsidR="00593806">
        <w:rPr>
          <w:color w:val="auto"/>
        </w:rPr>
        <w:t>.</w:t>
      </w:r>
      <w:r w:rsidRPr="003A639B">
        <w:rPr>
          <w:color w:val="auto"/>
        </w:rPr>
        <w:t xml:space="preserve"> </w:t>
      </w:r>
    </w:p>
    <w:p w:rsidR="00947D5A" w:rsidRDefault="00593806" w:rsidP="007F4A70">
      <w:pPr>
        <w:pStyle w:val="BodyText"/>
        <w:rPr>
          <w:color w:val="auto"/>
        </w:rPr>
      </w:pPr>
      <w:r>
        <w:rPr>
          <w:color w:val="auto"/>
        </w:rPr>
        <w:t>The complainant further noted that the Department had breached his right to freedom of expression and that by only allowing the interview to go ahead under AVL conditions, the Department was seeking to lessen the impact of the interview</w:t>
      </w:r>
      <w:r w:rsidR="007F4A70">
        <w:rPr>
          <w:color w:val="auto"/>
        </w:rPr>
        <w:t xml:space="preserve">. </w:t>
      </w:r>
      <w:r>
        <w:rPr>
          <w:color w:val="auto"/>
        </w:rPr>
        <w:t xml:space="preserve"> </w:t>
      </w:r>
    </w:p>
    <w:p w:rsidR="00E03AC8" w:rsidRDefault="00947D5A" w:rsidP="007F4A70">
      <w:pPr>
        <w:pStyle w:val="BodyText"/>
        <w:rPr>
          <w:color w:val="auto"/>
        </w:rPr>
      </w:pPr>
      <w:r>
        <w:rPr>
          <w:color w:val="auto"/>
        </w:rPr>
        <w:t xml:space="preserve">The Ombudsman did not uphold this complaint, noting that the journalist had told the Department that </w:t>
      </w:r>
      <w:r w:rsidR="00E03AC8" w:rsidRPr="003A639B">
        <w:rPr>
          <w:color w:val="auto"/>
        </w:rPr>
        <w:t xml:space="preserve">she was agreeable to </w:t>
      </w:r>
      <w:r>
        <w:rPr>
          <w:color w:val="auto"/>
        </w:rPr>
        <w:t xml:space="preserve">conducting an AVL interview (although her preference </w:t>
      </w:r>
      <w:r>
        <w:rPr>
          <w:color w:val="auto"/>
        </w:rPr>
        <w:lastRenderedPageBreak/>
        <w:t xml:space="preserve">was </w:t>
      </w:r>
      <w:r w:rsidR="00C85D0C">
        <w:rPr>
          <w:color w:val="auto"/>
        </w:rPr>
        <w:t xml:space="preserve">also </w:t>
      </w:r>
      <w:r>
        <w:rPr>
          <w:color w:val="auto"/>
        </w:rPr>
        <w:t xml:space="preserve">for a face to face interview). However, in these </w:t>
      </w:r>
      <w:r w:rsidR="00E03AC8" w:rsidRPr="003A639B">
        <w:rPr>
          <w:color w:val="auto"/>
        </w:rPr>
        <w:t xml:space="preserve">circumstances, it was difficult for </w:t>
      </w:r>
      <w:r>
        <w:rPr>
          <w:color w:val="auto"/>
        </w:rPr>
        <w:t xml:space="preserve">the Ombudsman to </w:t>
      </w:r>
      <w:r w:rsidR="00E03AC8" w:rsidRPr="003A639B">
        <w:rPr>
          <w:color w:val="auto"/>
        </w:rPr>
        <w:t xml:space="preserve">see how the Department acted unreasonably in giving effect to </w:t>
      </w:r>
      <w:r>
        <w:rPr>
          <w:color w:val="auto"/>
        </w:rPr>
        <w:t>the journalist</w:t>
      </w:r>
      <w:r w:rsidR="007F4A70">
        <w:rPr>
          <w:color w:val="auto"/>
        </w:rPr>
        <w:t>’</w:t>
      </w:r>
      <w:r>
        <w:rPr>
          <w:color w:val="auto"/>
        </w:rPr>
        <w:t xml:space="preserve">s </w:t>
      </w:r>
      <w:r w:rsidR="00E03AC8" w:rsidRPr="003A639B">
        <w:rPr>
          <w:color w:val="auto"/>
        </w:rPr>
        <w:t>request</w:t>
      </w:r>
      <w:r>
        <w:rPr>
          <w:color w:val="auto"/>
        </w:rPr>
        <w:t xml:space="preserve"> to go with the AVL interview.</w:t>
      </w:r>
      <w:r w:rsidR="00E03AC8">
        <w:rPr>
          <w:color w:val="auto"/>
        </w:rPr>
        <w:t xml:space="preserve"> </w:t>
      </w:r>
      <w:r>
        <w:rPr>
          <w:color w:val="auto"/>
        </w:rPr>
        <w:t>The Ombudsman also considered that in light of this fact, it was unnecessary to consider the complainant</w:t>
      </w:r>
      <w:r w:rsidR="007F4A70">
        <w:rPr>
          <w:color w:val="auto"/>
        </w:rPr>
        <w:t>’</w:t>
      </w:r>
      <w:r>
        <w:rPr>
          <w:color w:val="auto"/>
        </w:rPr>
        <w:t xml:space="preserve">s </w:t>
      </w:r>
      <w:r w:rsidR="00E03AC8">
        <w:rPr>
          <w:color w:val="auto"/>
        </w:rPr>
        <w:t xml:space="preserve">submission </w:t>
      </w:r>
      <w:r>
        <w:rPr>
          <w:color w:val="auto"/>
        </w:rPr>
        <w:t xml:space="preserve">about whether </w:t>
      </w:r>
      <w:r w:rsidR="00E03AC8">
        <w:rPr>
          <w:color w:val="auto"/>
        </w:rPr>
        <w:t xml:space="preserve">the AVL condition was </w:t>
      </w:r>
      <w:r>
        <w:rPr>
          <w:color w:val="auto"/>
        </w:rPr>
        <w:t xml:space="preserve">agreed </w:t>
      </w:r>
      <w:r w:rsidR="00997C2D">
        <w:rPr>
          <w:color w:val="auto"/>
        </w:rPr>
        <w:t xml:space="preserve">on the basis that it was </w:t>
      </w:r>
      <w:r w:rsidR="00E03AC8">
        <w:rPr>
          <w:color w:val="auto"/>
        </w:rPr>
        <w:t>reasonably necessary to maintain the security and order of the prison</w:t>
      </w:r>
      <w:r>
        <w:rPr>
          <w:color w:val="auto"/>
        </w:rPr>
        <w:t xml:space="preserve">. </w:t>
      </w:r>
    </w:p>
    <w:p w:rsidR="00E03AC8" w:rsidRDefault="00997C2D" w:rsidP="007F4A70">
      <w:pPr>
        <w:pStyle w:val="BodyText"/>
      </w:pPr>
      <w:r>
        <w:rPr>
          <w:color w:val="auto"/>
        </w:rPr>
        <w:t xml:space="preserve">As the journalist had advised the </w:t>
      </w:r>
      <w:r w:rsidR="00E03AC8" w:rsidRPr="004E448A">
        <w:t xml:space="preserve">Department </w:t>
      </w:r>
      <w:r w:rsidR="00E03AC8">
        <w:t xml:space="preserve">in writing that </w:t>
      </w:r>
      <w:r w:rsidR="00E03AC8" w:rsidRPr="004E448A">
        <w:t xml:space="preserve">she was agreeable to interviewing </w:t>
      </w:r>
      <w:r>
        <w:t xml:space="preserve">the complainant </w:t>
      </w:r>
      <w:r w:rsidR="00E03AC8" w:rsidRPr="004E448A">
        <w:t>by AVL</w:t>
      </w:r>
      <w:r>
        <w:t xml:space="preserve"> it could not be said that the </w:t>
      </w:r>
      <w:r w:rsidR="00E03AC8">
        <w:t xml:space="preserve">Department </w:t>
      </w:r>
      <w:r>
        <w:t xml:space="preserve">had not </w:t>
      </w:r>
      <w:r w:rsidR="00E03AC8">
        <w:t xml:space="preserve">agreed to an option offered by the applicant. </w:t>
      </w:r>
      <w:r>
        <w:t xml:space="preserve">The Ombudsman concluded that the </w:t>
      </w:r>
      <w:r w:rsidR="00E03AC8">
        <w:t xml:space="preserve">decision to proceed with the AVL interview was not made under </w:t>
      </w:r>
      <w:r w:rsidR="007F4A70">
        <w:rPr>
          <w:rStyle w:val="Quotationwithinthesentence"/>
        </w:rPr>
        <w:t>‘</w:t>
      </w:r>
      <w:r w:rsidR="00E03AC8" w:rsidRPr="00170B0E">
        <w:rPr>
          <w:rStyle w:val="Quotationwithinthesentence"/>
        </w:rPr>
        <w:t>duress</w:t>
      </w:r>
      <w:r w:rsidR="007F4A70">
        <w:rPr>
          <w:rStyle w:val="Quotationwithinthesentence"/>
        </w:rPr>
        <w:t>’</w:t>
      </w:r>
      <w:r>
        <w:rPr>
          <w:rStyle w:val="Quotationwithinthesentence"/>
        </w:rPr>
        <w:t xml:space="preserve"> </w:t>
      </w:r>
      <w:r w:rsidRPr="00997C2D">
        <w:rPr>
          <w:rStyle w:val="Quotationwithinthesentence"/>
          <w:i w:val="0"/>
        </w:rPr>
        <w:t>and t</w:t>
      </w:r>
      <w:r w:rsidR="00E03AC8">
        <w:t xml:space="preserve">here </w:t>
      </w:r>
      <w:r>
        <w:t>wa</w:t>
      </w:r>
      <w:r w:rsidR="00E03AC8">
        <w:t xml:space="preserve">s no basis for </w:t>
      </w:r>
      <w:r>
        <w:t xml:space="preserve">the Ombudsman to form the </w:t>
      </w:r>
      <w:r w:rsidR="00E03AC8">
        <w:t xml:space="preserve">opinion that the Department acted unreasonably in agreeing to one of the interview options </w:t>
      </w:r>
      <w:r>
        <w:t xml:space="preserve">which the journalist </w:t>
      </w:r>
      <w:r w:rsidR="00E03AC8">
        <w:t>had said would satisfy her application.</w:t>
      </w:r>
    </w:p>
    <w:p w:rsidR="00E03AC8" w:rsidRDefault="00997C2D" w:rsidP="007F4A70">
      <w:pPr>
        <w:pStyle w:val="BodyText"/>
      </w:pPr>
      <w:r>
        <w:t xml:space="preserve">The Ombudsman noted that his </w:t>
      </w:r>
      <w:r w:rsidR="00E03AC8">
        <w:t xml:space="preserve">opinion </w:t>
      </w:r>
      <w:r>
        <w:t>i</w:t>
      </w:r>
      <w:r w:rsidR="00E03AC8">
        <w:t xml:space="preserve">s specific to the particulars of </w:t>
      </w:r>
      <w:r>
        <w:t>the journalist</w:t>
      </w:r>
      <w:r w:rsidR="007F4A70">
        <w:t>’</w:t>
      </w:r>
      <w:r>
        <w:t xml:space="preserve">s </w:t>
      </w:r>
      <w:r w:rsidR="00E03AC8">
        <w:t>application</w:t>
      </w:r>
      <w:r>
        <w:t xml:space="preserve"> and does not </w:t>
      </w:r>
      <w:r w:rsidR="00E03AC8">
        <w:t xml:space="preserve">foreshadow the approach </w:t>
      </w:r>
      <w:r>
        <w:t xml:space="preserve">he might </w:t>
      </w:r>
      <w:r w:rsidR="00E03AC8">
        <w:t>take in any future case as the details and circumstances of each application would be different.</w:t>
      </w:r>
    </w:p>
    <w:p w:rsidR="007F4A70" w:rsidRPr="007F4A70" w:rsidRDefault="007F4A70" w:rsidP="007F4A70">
      <w:pPr>
        <w:pStyle w:val="BodyText"/>
        <w:rPr>
          <w:i/>
          <w:iCs/>
        </w:rPr>
      </w:pPr>
      <w:r w:rsidRPr="007F4A70">
        <w:rPr>
          <w:i/>
          <w:iCs/>
        </w:rPr>
        <w:t xml:space="preserve">This case note is published under the authority of the </w:t>
      </w:r>
      <w:hyperlink r:id="rId8" w:history="1">
        <w:r w:rsidRPr="007F4A70">
          <w:rPr>
            <w:rStyle w:val="Hyperlink"/>
            <w:i/>
            <w:iCs/>
          </w:rPr>
          <w:t>Ombudsmen Rules 1989</w:t>
        </w:r>
      </w:hyperlink>
      <w:r w:rsidRPr="007F4A70">
        <w:rPr>
          <w:i/>
          <w:iCs/>
        </w:rPr>
        <w:t>. It sets out an Ombudsman</w:t>
      </w:r>
      <w:r>
        <w:rPr>
          <w:i/>
          <w:iCs/>
        </w:rPr>
        <w:t>’</w:t>
      </w:r>
      <w:r w:rsidRPr="007F4A70">
        <w:rPr>
          <w:i/>
          <w:iCs/>
        </w:rPr>
        <w:t>s view on the facts of a particular case. It should not be taken as establishing any legal precedent that would bind an Ombudsman in future.</w:t>
      </w:r>
    </w:p>
    <w:p w:rsidR="007F4A70" w:rsidRPr="007F4A70" w:rsidRDefault="007F4A70" w:rsidP="00E03AC8">
      <w:pPr>
        <w:pStyle w:val="BodyText"/>
        <w:rPr>
          <w:i/>
        </w:rPr>
      </w:pPr>
      <w:bookmarkStart w:id="1" w:name="_GoBack"/>
      <w:bookmarkEnd w:id="1"/>
    </w:p>
    <w:p w:rsidR="007F4A70" w:rsidRDefault="007F4A70" w:rsidP="00E03AC8">
      <w:pPr>
        <w:pStyle w:val="BodyText"/>
      </w:pPr>
    </w:p>
    <w:sectPr w:rsidR="007F4A70"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F4A70" w:rsidP="00B841FB">
    <w:pPr>
      <w:pStyle w:val="Footerline"/>
    </w:pPr>
  </w:p>
  <w:p w:rsidR="00F200AB" w:rsidRPr="0059155D" w:rsidRDefault="007F4A70" w:rsidP="00B841FB">
    <w:pPr>
      <w:pStyle w:val="Footerline"/>
    </w:pPr>
  </w:p>
  <w:p w:rsidR="00F200AB" w:rsidRPr="005533D8" w:rsidRDefault="007F4A70" w:rsidP="00B841FB">
    <w:pPr>
      <w:pStyle w:val="Footer"/>
    </w:pPr>
    <w:r>
      <w:fldChar w:fldCharType="begin"/>
    </w:r>
    <w:r>
      <w:instrText xml:space="preserve"> DOCVARIABLE  dvShortText </w:instrText>
    </w:r>
    <w:r>
      <w:fldChar w:fldCharType="separate"/>
    </w:r>
    <w:r>
      <w:t>Case note 423792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F4A70" w:rsidP="00B841FB">
    <w:pPr>
      <w:pStyle w:val="Footerline"/>
    </w:pPr>
  </w:p>
  <w:p w:rsidR="00F200AB" w:rsidRPr="0059155D" w:rsidRDefault="007F4A70" w:rsidP="00B841FB">
    <w:pPr>
      <w:pStyle w:val="Footerline"/>
    </w:pPr>
  </w:p>
  <w:p w:rsidR="00F200AB" w:rsidRPr="005533D8" w:rsidRDefault="007F4A70" w:rsidP="00B841FB">
    <w:pPr>
      <w:pStyle w:val="Footer"/>
    </w:pPr>
    <w:r>
      <w:fldChar w:fldCharType="begin"/>
    </w:r>
    <w:r>
      <w:instrText xml:space="preserve"> DOCVARIABLE  dvShortText </w:instrText>
    </w:r>
    <w:r>
      <w:fldChar w:fldCharType="separate"/>
    </w:r>
    <w:r>
      <w:t>Case note 423792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7F4A70"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23792 |"/>
    <w:docVar w:name="dvShortTextFrm" w:val="Case note 423792"/>
    <w:docVar w:name="IsfirstTb" w:val="True"/>
    <w:docVar w:name="IsInTable" w:val="False"/>
    <w:docVar w:name="OOTOTemplate" w:val="OOTO General\Case note.dotm"/>
  </w:docVars>
  <w:rsids>
    <w:rsidRoot w:val="00051017"/>
    <w:rsid w:val="000054D7"/>
    <w:rsid w:val="00051017"/>
    <w:rsid w:val="00152A27"/>
    <w:rsid w:val="00175E33"/>
    <w:rsid w:val="001C1C8F"/>
    <w:rsid w:val="001C2D91"/>
    <w:rsid w:val="00212827"/>
    <w:rsid w:val="00311F55"/>
    <w:rsid w:val="00343B77"/>
    <w:rsid w:val="00403044"/>
    <w:rsid w:val="004275BC"/>
    <w:rsid w:val="00485BB3"/>
    <w:rsid w:val="004F393F"/>
    <w:rsid w:val="00502D89"/>
    <w:rsid w:val="00562870"/>
    <w:rsid w:val="00593806"/>
    <w:rsid w:val="0060106C"/>
    <w:rsid w:val="00665FBB"/>
    <w:rsid w:val="006F57EC"/>
    <w:rsid w:val="007D336D"/>
    <w:rsid w:val="007E531C"/>
    <w:rsid w:val="007F4A70"/>
    <w:rsid w:val="00830A8D"/>
    <w:rsid w:val="0089058E"/>
    <w:rsid w:val="008A6715"/>
    <w:rsid w:val="00947D5A"/>
    <w:rsid w:val="00997C2D"/>
    <w:rsid w:val="009A61CE"/>
    <w:rsid w:val="00A85538"/>
    <w:rsid w:val="00C85D0C"/>
    <w:rsid w:val="00DD3808"/>
    <w:rsid w:val="00DE48AC"/>
    <w:rsid w:val="00E03087"/>
    <w:rsid w:val="00E03AC8"/>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7C80"/>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13"/>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3"/>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3"/>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3"/>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E206-735A-41ED-A50C-EB98DFE4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9</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Susan Gifford</cp:lastModifiedBy>
  <cp:revision>3</cp:revision>
  <cp:lastPrinted>2017-06-28T00:53:00Z</cp:lastPrinted>
  <dcterms:created xsi:type="dcterms:W3CDTF">2018-06-28T23:00:00Z</dcterms:created>
  <dcterms:modified xsi:type="dcterms:W3CDTF">2018-10-25T03:50:00Z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