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082CEB" w:rsidP="00B841FB">
      <w:pPr>
        <w:pStyle w:val="BodyText1"/>
      </w:pPr>
      <w:bookmarkStart w:id="0" w:name="TemplateGuide"/>
      <w:bookmarkEnd w:id="0"/>
    </w:p>
    <w:tbl>
      <w:tblPr>
        <w:tblStyle w:val="TableGrid"/>
        <w:tblW w:w="9441" w:type="dxa"/>
        <w:tblInd w:w="-34" w:type="dxa"/>
        <w:tblLook w:val="0620" w:firstRow="1" w:lastRow="0" w:firstColumn="0" w:lastColumn="0" w:noHBand="1" w:noVBand="1"/>
      </w:tblPr>
      <w:tblGrid>
        <w:gridCol w:w="9441"/>
      </w:tblGrid>
      <w:tr w:rsidR="00051017" w:rsidTr="00FD5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4"/>
        </w:trPr>
        <w:tc>
          <w:tcPr>
            <w:tcW w:w="9441" w:type="dxa"/>
            <w:shd w:val="clear" w:color="auto" w:fill="auto"/>
            <w:vAlign w:val="bottom"/>
          </w:tcPr>
          <w:p w:rsidR="00B841FB" w:rsidRPr="000E36A8" w:rsidRDefault="0092328B" w:rsidP="006F2E5C">
            <w:pPr>
              <w:pStyle w:val="Title"/>
            </w:pPr>
            <w:r>
              <w:t>Meridian Energy</w:t>
            </w:r>
            <w:r w:rsidR="00BF3B43">
              <w:t>’</w:t>
            </w:r>
            <w:r w:rsidR="001848A7">
              <w:t>s</w:t>
            </w:r>
            <w:r>
              <w:t xml:space="preserve"> </w:t>
            </w:r>
            <w:r w:rsidR="00042C0E">
              <w:t xml:space="preserve">process </w:t>
            </w:r>
            <w:r w:rsidR="006F2E5C">
              <w:t>for</w:t>
            </w:r>
            <w:r w:rsidR="00042C0E">
              <w:t xml:space="preserve"> </w:t>
            </w:r>
            <w:r w:rsidR="001848A7">
              <w:t>purchas</w:t>
            </w:r>
            <w:r w:rsidR="006F2E5C">
              <w:t>ing</w:t>
            </w:r>
            <w:r w:rsidR="001848A7">
              <w:t xml:space="preserve">  property </w:t>
            </w:r>
            <w:r w:rsidR="006F2E5C">
              <w:t>not</w:t>
            </w:r>
            <w:r w:rsidR="00042C0E">
              <w:t xml:space="preserve"> </w:t>
            </w:r>
            <w:r w:rsidR="006F2E5C">
              <w:t>un</w:t>
            </w:r>
            <w:r w:rsidR="001848A7">
              <w:t>reasonabl</w:t>
            </w:r>
            <w:r w:rsidR="00042C0E">
              <w:t>e</w:t>
            </w:r>
            <w:r w:rsidR="001848A7">
              <w:t xml:space="preserve"> </w:t>
            </w:r>
          </w:p>
        </w:tc>
      </w:tr>
      <w:tr w:rsidR="00051017" w:rsidTr="005C70BE">
        <w:trPr>
          <w:trHeight w:val="2098"/>
        </w:trPr>
        <w:tc>
          <w:tcPr>
            <w:tcW w:w="9441" w:type="dxa"/>
          </w:tcPr>
          <w:p w:rsidR="000A0EBB" w:rsidRDefault="000A0EBB" w:rsidP="009A61CE">
            <w:pPr>
              <w:pStyle w:val="Heading1-Subnonboldtext"/>
              <w:rPr>
                <w:rStyle w:val="Heading1-Sub"/>
              </w:rPr>
            </w:pPr>
          </w:p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4F393F">
              <w:t>Ombudsmen Act 1975</w:t>
            </w:r>
            <w:r w:rsidR="001848A7">
              <w:t>, State Owned Enterprises Act 1986</w:t>
            </w:r>
          </w:p>
          <w:p w:rsidR="006F2E5C" w:rsidRDefault="006F2E5C" w:rsidP="006F2E5C">
            <w:pPr>
              <w:pStyle w:val="Heading1-Subnonboldtext"/>
            </w:pPr>
            <w:r>
              <w:rPr>
                <w:rStyle w:val="Heading1-Sub"/>
              </w:rPr>
              <w:t>Agency</w:t>
            </w:r>
            <w:r>
              <w:tab/>
              <w:t>Meridian Energy</w:t>
            </w:r>
          </w:p>
          <w:p w:rsidR="0089058E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9726F9">
              <w:t>Dame Beverley Wakem</w:t>
            </w:r>
          </w:p>
          <w:p w:rsidR="000054D7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9726F9">
              <w:t>324738</w:t>
            </w:r>
            <w:r w:rsidR="005C70BE">
              <w:t xml:space="preserve"> (previously unpublished)</w:t>
            </w:r>
          </w:p>
          <w:p w:rsidR="00B841FB" w:rsidRPr="00F417FD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8B0726">
              <w:t>2012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89058E" w:rsidRPr="00BF3B43" w:rsidRDefault="001848A7" w:rsidP="00BF3B43">
      <w:pPr>
        <w:pStyle w:val="BodyText"/>
        <w:rPr>
          <w:i/>
        </w:rPr>
      </w:pPr>
      <w:r w:rsidRPr="00BF3B43">
        <w:rPr>
          <w:i/>
        </w:rPr>
        <w:t xml:space="preserve">Complaint about price Meridian </w:t>
      </w:r>
      <w:r w:rsidR="005C70BE" w:rsidRPr="00BF3B43">
        <w:rPr>
          <w:i/>
        </w:rPr>
        <w:t>E</w:t>
      </w:r>
      <w:r w:rsidRPr="00BF3B43">
        <w:rPr>
          <w:i/>
        </w:rPr>
        <w:t>nergy paid for a property</w:t>
      </w:r>
      <w:r w:rsidR="00BF3B43">
        <w:rPr>
          <w:i/>
        </w:rPr>
        <w:t>—</w:t>
      </w:r>
      <w:r w:rsidRPr="00BF3B43">
        <w:rPr>
          <w:i/>
        </w:rPr>
        <w:t xml:space="preserve">Ombudsman found the process had been reasonable </w:t>
      </w:r>
      <w:r w:rsidR="0089058E" w:rsidRPr="00BF3B43">
        <w:rPr>
          <w:i/>
        </w:rPr>
        <w:t xml:space="preserve">      </w:t>
      </w:r>
    </w:p>
    <w:p w:rsidR="000054D7" w:rsidRDefault="006F2E5C" w:rsidP="00BF3B43">
      <w:pPr>
        <w:pStyle w:val="BodyText"/>
      </w:pPr>
      <w:r>
        <w:t>Meridian Energy required access to the complainant’s farm, and due to its strategic importance entered discussions to purchase the property. The c</w:t>
      </w:r>
      <w:r w:rsidR="001848A7">
        <w:t xml:space="preserve">omplainant </w:t>
      </w:r>
      <w:r w:rsidR="00200A0C">
        <w:t xml:space="preserve">believed </w:t>
      </w:r>
      <w:r>
        <w:t xml:space="preserve">that </w:t>
      </w:r>
      <w:r w:rsidR="00200A0C">
        <w:t xml:space="preserve">Meridian Energy </w:t>
      </w:r>
      <w:r>
        <w:t xml:space="preserve">had </w:t>
      </w:r>
      <w:r w:rsidR="00200A0C">
        <w:t>offered a sale price which was below an earlier offer and b</w:t>
      </w:r>
      <w:r>
        <w:t>elow the value of the property, and made a complaint to the Ombudsman.</w:t>
      </w:r>
    </w:p>
    <w:p w:rsidR="00200A0C" w:rsidRDefault="00200A0C" w:rsidP="00BF3B43">
      <w:pPr>
        <w:pStyle w:val="BodyText"/>
      </w:pPr>
      <w:r>
        <w:t>Meridian Energy advised the Ombudsman that a commercial transaction was outside the Ombudsman</w:t>
      </w:r>
      <w:r w:rsidR="00BF3B43">
        <w:t>’</w:t>
      </w:r>
      <w:r>
        <w:t>s jurisdiction</w:t>
      </w:r>
      <w:r w:rsidR="006F2E5C">
        <w:t>,</w:t>
      </w:r>
      <w:r>
        <w:t xml:space="preserve"> claiming that it was unclear how the purchase of the property was a </w:t>
      </w:r>
      <w:r w:rsidR="00BF3B43">
        <w:t>‘</w:t>
      </w:r>
      <w:r>
        <w:t>matter of administration</w:t>
      </w:r>
      <w:r w:rsidR="00BF3B43">
        <w:t>’</w:t>
      </w:r>
      <w:r>
        <w:t xml:space="preserve"> under the Ombudsmen Act. The Ombu</w:t>
      </w:r>
      <w:r w:rsidR="006F2E5C">
        <w:t>dsman advised Meridian that its</w:t>
      </w:r>
      <w:r>
        <w:t xml:space="preserve"> status as a State-Owned </w:t>
      </w:r>
      <w:r w:rsidR="005C70BE">
        <w:t>E</w:t>
      </w:r>
      <w:r>
        <w:t xml:space="preserve">nterprise </w:t>
      </w:r>
      <w:r w:rsidR="006F2E5C">
        <w:t xml:space="preserve">meant </w:t>
      </w:r>
      <w:r>
        <w:t>that</w:t>
      </w:r>
      <w:r w:rsidR="006F2E5C">
        <w:t xml:space="preserve"> it</w:t>
      </w:r>
      <w:r>
        <w:t xml:space="preserve"> had been subject to the OA since its incorporation.</w:t>
      </w:r>
      <w:r w:rsidR="006F2E5C">
        <w:rPr>
          <w:rStyle w:val="FootnoteReference"/>
        </w:rPr>
        <w:footnoteReference w:id="1"/>
      </w:r>
      <w:r>
        <w:t xml:space="preserve"> The Ombudsman noted that an entity performing functions under the legislation, is acting, for the purposes of the OA, in relation to a matter of administration. That this includes commercial transactions was held to be the case by the Canadian Supreme Court decision in </w:t>
      </w:r>
      <w:r w:rsidRPr="000A0EBB">
        <w:rPr>
          <w:i/>
        </w:rPr>
        <w:t>re British Columbia Development Corporation and Friedman</w:t>
      </w:r>
      <w:r w:rsidRPr="00200A0C">
        <w:t xml:space="preserve"> </w:t>
      </w:r>
      <w:r>
        <w:t>(1984) 14 DLR (4</w:t>
      </w:r>
      <w:r w:rsidRPr="00200A0C">
        <w:rPr>
          <w:vertAlign w:val="superscript"/>
        </w:rPr>
        <w:t>th</w:t>
      </w:r>
      <w:r>
        <w:t>) 129), a decision that confirmed the commonly understood position. Furthermore, the Privy Council has observed that while a state owned enterprise is structured so it is separate from the Crown, as its title indicates</w:t>
      </w:r>
      <w:r w:rsidR="005C70BE">
        <w:t>,</w:t>
      </w:r>
      <w:r>
        <w:t xml:space="preserve"> it remains very much the Crown</w:t>
      </w:r>
      <w:r w:rsidR="00BF3B43">
        <w:t>’</w:t>
      </w:r>
      <w:r>
        <w:t xml:space="preserve">s creature. </w:t>
      </w:r>
    </w:p>
    <w:p w:rsidR="00200A0C" w:rsidRDefault="00200A0C" w:rsidP="00BF3B43">
      <w:pPr>
        <w:pStyle w:val="BodyText"/>
      </w:pPr>
      <w:r>
        <w:t>The Ombudsman concluded that Meridian Energy</w:t>
      </w:r>
      <w:r w:rsidR="00BF3B43">
        <w:t>’</w:t>
      </w:r>
      <w:r>
        <w:t xml:space="preserve">s processes </w:t>
      </w:r>
      <w:r w:rsidR="005C70BE">
        <w:t xml:space="preserve">during the purchase negotiations, </w:t>
      </w:r>
      <w:r>
        <w:t>were</w:t>
      </w:r>
      <w:r w:rsidR="000A0EBB">
        <w:t xml:space="preserve"> not un</w:t>
      </w:r>
      <w:r>
        <w:t xml:space="preserve"> reasonable. The SOE had made an offer several years earlier</w:t>
      </w:r>
      <w:r w:rsidR="000A0EBB">
        <w:t>,</w:t>
      </w:r>
      <w:r>
        <w:t xml:space="preserve"> which </w:t>
      </w:r>
      <w:r>
        <w:lastRenderedPageBreak/>
        <w:t>had subsequently lapsed. When a se</w:t>
      </w:r>
      <w:r w:rsidR="005C70BE">
        <w:t>c</w:t>
      </w:r>
      <w:r>
        <w:t>ond offer was on the table, the property owner considered that it should reach the amo</w:t>
      </w:r>
      <w:r w:rsidR="005C70BE">
        <w:t>unt suggested at an earlier time</w:t>
      </w:r>
      <w:r>
        <w:t xml:space="preserve">. </w:t>
      </w:r>
      <w:r w:rsidR="005C70BE">
        <w:t>However, as Meridian pointed out, this was not feasible or necessary.</w:t>
      </w:r>
    </w:p>
    <w:p w:rsidR="00200A0C" w:rsidRDefault="005C70BE" w:rsidP="00BF3B43">
      <w:pPr>
        <w:pStyle w:val="BodyText"/>
      </w:pPr>
      <w:r>
        <w:t xml:space="preserve">The Ombudsman noted that </w:t>
      </w:r>
      <w:r w:rsidR="00200A0C">
        <w:t>Meridian had obtained valuations of the property at the time of the second purchase negotiations and had offered the higher of the two prices</w:t>
      </w:r>
      <w:r w:rsidR="00042C0E">
        <w:t xml:space="preserve"> to the vendor</w:t>
      </w:r>
      <w:r w:rsidR="00200A0C">
        <w:t>. The Ombudsman concluded that the fact that this offer did not match the property owner</w:t>
      </w:r>
      <w:r w:rsidR="00BF3B43">
        <w:t>’</w:t>
      </w:r>
      <w:r w:rsidR="00200A0C">
        <w:t xml:space="preserve">s </w:t>
      </w:r>
      <w:r w:rsidR="00042C0E">
        <w:t xml:space="preserve">expectations, </w:t>
      </w:r>
      <w:r>
        <w:t xml:space="preserve">(or an amount indicated when the initial offer was being discussed) </w:t>
      </w:r>
      <w:r w:rsidR="00042C0E">
        <w:t xml:space="preserve">was not unreasonable or unfair. Meridian noted that if the seller had objected to the valuations, </w:t>
      </w:r>
      <w:r>
        <w:t>action could have been</w:t>
      </w:r>
      <w:r w:rsidR="00042C0E">
        <w:t xml:space="preserve"> taken action under the Valuers Act 1948. </w:t>
      </w:r>
      <w:r>
        <w:t>However the vendor agreed to sell at the price offered.</w:t>
      </w:r>
      <w:r w:rsidR="00200A0C">
        <w:t xml:space="preserve"> </w:t>
      </w:r>
    </w:p>
    <w:p w:rsidR="00042C0E" w:rsidRDefault="00042C0E" w:rsidP="00BF3B43">
      <w:pPr>
        <w:pStyle w:val="BodyText"/>
        <w:rPr>
          <w:rFonts w:cs="Calibri"/>
          <w:szCs w:val="24"/>
        </w:rPr>
      </w:pPr>
      <w:r>
        <w:rPr>
          <w:rFonts w:cs="Calibri"/>
          <w:szCs w:val="24"/>
        </w:rPr>
        <w:t>The complainant maintained that Meridian</w:t>
      </w:r>
      <w:r w:rsidR="00BF3B43">
        <w:rPr>
          <w:rFonts w:cs="Calibri"/>
          <w:szCs w:val="24"/>
        </w:rPr>
        <w:t>’</w:t>
      </w:r>
      <w:r>
        <w:rPr>
          <w:rFonts w:cs="Calibri"/>
          <w:szCs w:val="24"/>
        </w:rPr>
        <w:t>s ac</w:t>
      </w:r>
      <w:bookmarkStart w:id="1" w:name="_GoBack"/>
      <w:bookmarkEnd w:id="1"/>
      <w:r>
        <w:rPr>
          <w:rFonts w:cs="Calibri"/>
          <w:szCs w:val="24"/>
        </w:rPr>
        <w:t xml:space="preserve">tions were </w:t>
      </w:r>
      <w:r w:rsidRPr="007511BA">
        <w:rPr>
          <w:rFonts w:cs="Calibri"/>
          <w:szCs w:val="24"/>
        </w:rPr>
        <w:t>inconsistent with its obligation under sectio</w:t>
      </w:r>
      <w:r w:rsidR="000A0EBB">
        <w:rPr>
          <w:rFonts w:cs="Calibri"/>
          <w:szCs w:val="24"/>
        </w:rPr>
        <w:t>n 4(1)(c) of the SOE Act to be ‘</w:t>
      </w:r>
      <w:r w:rsidRPr="000A0EBB">
        <w:rPr>
          <w:rStyle w:val="Quotationwithinthesentence"/>
        </w:rPr>
        <w:t>an organisation that exhibits a sense of social responsibility by having regard to the interests of the community in which it operates and by endeavouring to accommodate or enc</w:t>
      </w:r>
      <w:r w:rsidR="000A0EBB" w:rsidRPr="000A0EBB">
        <w:rPr>
          <w:rStyle w:val="Quotationwithinthesentence"/>
        </w:rPr>
        <w:t>ourage these when able to do so</w:t>
      </w:r>
      <w:r w:rsidRPr="000A0EBB">
        <w:rPr>
          <w:rStyle w:val="Quotationwithinthesentence"/>
        </w:rPr>
        <w:t>.</w:t>
      </w:r>
      <w:r w:rsidR="000A0EBB">
        <w:rPr>
          <w:rFonts w:cs="Calibri"/>
          <w:szCs w:val="24"/>
        </w:rPr>
        <w:t>’</w:t>
      </w:r>
      <w:r>
        <w:rPr>
          <w:rFonts w:cs="Calibri"/>
          <w:szCs w:val="24"/>
        </w:rPr>
        <w:t xml:space="preserve"> The Ombudsman did not agree (Meridian having followed a reasonable process)</w:t>
      </w:r>
      <w:r w:rsidR="000A0EBB">
        <w:rPr>
          <w:rFonts w:cs="Calibri"/>
          <w:szCs w:val="24"/>
        </w:rPr>
        <w:t>,</w:t>
      </w:r>
      <w:r>
        <w:rPr>
          <w:rFonts w:cs="Calibri"/>
          <w:szCs w:val="24"/>
        </w:rPr>
        <w:t xml:space="preserve"> and the complaint was not sustained. </w:t>
      </w:r>
    </w:p>
    <w:p w:rsidR="00BF3B43" w:rsidRPr="00BF3B43" w:rsidRDefault="00BF3B43" w:rsidP="00BF3B43">
      <w:pPr>
        <w:pStyle w:val="BodyText"/>
        <w:rPr>
          <w:i/>
          <w:iCs/>
        </w:rPr>
      </w:pPr>
      <w:r w:rsidRPr="00BF3B43">
        <w:rPr>
          <w:i/>
          <w:iCs/>
        </w:rPr>
        <w:t xml:space="preserve">This case note is published under the authority of the </w:t>
      </w:r>
      <w:hyperlink r:id="rId8" w:history="1">
        <w:r w:rsidRPr="00BF3B43">
          <w:rPr>
            <w:rStyle w:val="Hyperlink"/>
            <w:i/>
            <w:iCs/>
          </w:rPr>
          <w:t>Ombudsmen Rules 1989</w:t>
        </w:r>
      </w:hyperlink>
      <w:r w:rsidRPr="00BF3B43">
        <w:rPr>
          <w:i/>
          <w:iCs/>
        </w:rPr>
        <w:t>. It sets out an Ombudsman</w:t>
      </w:r>
      <w:r>
        <w:rPr>
          <w:i/>
          <w:iCs/>
        </w:rPr>
        <w:t>’</w:t>
      </w:r>
      <w:r w:rsidRPr="00BF3B43">
        <w:rPr>
          <w:i/>
          <w:iCs/>
        </w:rPr>
        <w:t>s view on the facts of a particular case. It should not be taken as establishing any legal precedent that would bind an Ombudsman in future.</w:t>
      </w:r>
    </w:p>
    <w:p w:rsidR="00BF3B43" w:rsidRDefault="00BF3B43" w:rsidP="00042C0E">
      <w:pPr>
        <w:tabs>
          <w:tab w:val="left" w:pos="567"/>
          <w:tab w:val="left" w:pos="1134"/>
          <w:tab w:val="left" w:pos="1701"/>
        </w:tabs>
        <w:jc w:val="both"/>
        <w:rPr>
          <w:rFonts w:cs="Calibri"/>
          <w:szCs w:val="24"/>
        </w:rPr>
      </w:pPr>
    </w:p>
    <w:p w:rsidR="00BF3B43" w:rsidRPr="007511BA" w:rsidRDefault="00BF3B43" w:rsidP="00042C0E">
      <w:pPr>
        <w:tabs>
          <w:tab w:val="left" w:pos="567"/>
          <w:tab w:val="left" w:pos="1134"/>
          <w:tab w:val="left" w:pos="1701"/>
        </w:tabs>
        <w:jc w:val="both"/>
        <w:rPr>
          <w:rFonts w:cs="Calibri"/>
          <w:szCs w:val="24"/>
        </w:rPr>
      </w:pPr>
    </w:p>
    <w:p w:rsidR="00042C0E" w:rsidRDefault="00042C0E" w:rsidP="0089058E">
      <w:pPr>
        <w:pStyle w:val="NormalWeb"/>
      </w:pPr>
    </w:p>
    <w:p w:rsidR="00200A0C" w:rsidRDefault="00200A0C" w:rsidP="0089058E">
      <w:pPr>
        <w:pStyle w:val="NormalWeb"/>
      </w:pPr>
    </w:p>
    <w:sectPr w:rsidR="00200A0C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EB" w:rsidRDefault="00082CEB">
      <w:pPr>
        <w:spacing w:after="0" w:line="240" w:lineRule="auto"/>
      </w:pPr>
      <w:r>
        <w:separator/>
      </w:r>
    </w:p>
  </w:endnote>
  <w:endnote w:type="continuationSeparator" w:id="0">
    <w:p w:rsidR="00082CEB" w:rsidRDefault="0008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082CEB" w:rsidP="00B841FB">
    <w:pPr>
      <w:pStyle w:val="Footerline"/>
    </w:pPr>
  </w:p>
  <w:p w:rsidR="00F200AB" w:rsidRPr="0059155D" w:rsidRDefault="00082CEB" w:rsidP="00B841FB">
    <w:pPr>
      <w:pStyle w:val="Footerline"/>
    </w:pPr>
  </w:p>
  <w:p w:rsidR="00F200AB" w:rsidRPr="005533D8" w:rsidRDefault="006F2E5C" w:rsidP="00B841FB">
    <w:pPr>
      <w:pStyle w:val="Footer"/>
    </w:pPr>
    <w:fldSimple w:instr=" DOCVARIABLE  dvShortText ">
      <w:r w:rsidR="00BF3B43">
        <w:t>Case note 324738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0A0EBB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082CEB" w:rsidP="00B841FB">
    <w:pPr>
      <w:pStyle w:val="Footerline"/>
    </w:pPr>
  </w:p>
  <w:p w:rsidR="00F200AB" w:rsidRPr="0059155D" w:rsidRDefault="00082CEB" w:rsidP="00B841FB">
    <w:pPr>
      <w:pStyle w:val="Footerline"/>
    </w:pPr>
  </w:p>
  <w:p w:rsidR="00F200AB" w:rsidRPr="005533D8" w:rsidRDefault="006F2E5C" w:rsidP="00B841FB">
    <w:pPr>
      <w:pStyle w:val="Footer"/>
    </w:pPr>
    <w:fldSimple w:instr=" DOCVARIABLE  dvShortText ">
      <w:r w:rsidR="00BF3B43">
        <w:t>Case note 324738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082CEB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EB" w:rsidRDefault="00082CEB">
      <w:pPr>
        <w:spacing w:after="0" w:line="240" w:lineRule="auto"/>
      </w:pPr>
      <w:r>
        <w:separator/>
      </w:r>
    </w:p>
  </w:footnote>
  <w:footnote w:type="continuationSeparator" w:id="0">
    <w:p w:rsidR="00082CEB" w:rsidRDefault="00082CEB">
      <w:pPr>
        <w:spacing w:after="0" w:line="240" w:lineRule="auto"/>
      </w:pPr>
      <w:r>
        <w:continuationSeparator/>
      </w:r>
    </w:p>
  </w:footnote>
  <w:footnote w:id="1">
    <w:p w:rsidR="006F2E5C" w:rsidRDefault="006F2E5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Meridian Energy is no longer a State Owned Enterprise subject to the Ombudsman’s jurisdiction.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082CEB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activeWritingStyle w:appName="MSWord" w:lang="en-NZ" w:vendorID="64" w:dllVersion="131078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324738 |"/>
    <w:docVar w:name="dvShortTextFrm" w:val="Case note 324738"/>
    <w:docVar w:name="IsfirstTb" w:val="True"/>
    <w:docVar w:name="IsInTable" w:val="False"/>
    <w:docVar w:name="OOTOTemplate" w:val="OOTO General\Case note.dotm"/>
  </w:docVars>
  <w:rsids>
    <w:rsidRoot w:val="00051017"/>
    <w:rsid w:val="000054D7"/>
    <w:rsid w:val="00042C0E"/>
    <w:rsid w:val="00051017"/>
    <w:rsid w:val="00082CEB"/>
    <w:rsid w:val="000A0EBB"/>
    <w:rsid w:val="00152A27"/>
    <w:rsid w:val="00175E33"/>
    <w:rsid w:val="001848A7"/>
    <w:rsid w:val="001C1C8F"/>
    <w:rsid w:val="001C2D91"/>
    <w:rsid w:val="00200A0C"/>
    <w:rsid w:val="00212827"/>
    <w:rsid w:val="00311F55"/>
    <w:rsid w:val="00343B77"/>
    <w:rsid w:val="00403044"/>
    <w:rsid w:val="004275BC"/>
    <w:rsid w:val="00485BB3"/>
    <w:rsid w:val="004F393F"/>
    <w:rsid w:val="00502D89"/>
    <w:rsid w:val="00562870"/>
    <w:rsid w:val="005C70BE"/>
    <w:rsid w:val="0060106C"/>
    <w:rsid w:val="00665FBB"/>
    <w:rsid w:val="006F2E5C"/>
    <w:rsid w:val="006F57EC"/>
    <w:rsid w:val="007D336D"/>
    <w:rsid w:val="007E531C"/>
    <w:rsid w:val="00830A8D"/>
    <w:rsid w:val="0089058E"/>
    <w:rsid w:val="008A6715"/>
    <w:rsid w:val="008B0726"/>
    <w:rsid w:val="0092328B"/>
    <w:rsid w:val="009726F9"/>
    <w:rsid w:val="009A61CE"/>
    <w:rsid w:val="00A85538"/>
    <w:rsid w:val="00BF3B43"/>
    <w:rsid w:val="00DD3808"/>
    <w:rsid w:val="00DE48AC"/>
    <w:rsid w:val="00E03087"/>
    <w:rsid w:val="00E11A0D"/>
    <w:rsid w:val="00E9396C"/>
    <w:rsid w:val="00EB186F"/>
    <w:rsid w:val="00EF7876"/>
    <w:rsid w:val="00F15F51"/>
    <w:rsid w:val="00FD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C8A10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3E966-4797-4FD1-BB08-3E7C3CBB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15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Aimee Bryant</cp:lastModifiedBy>
  <cp:revision>5</cp:revision>
  <cp:lastPrinted>2017-06-28T00:53:00Z</cp:lastPrinted>
  <dcterms:created xsi:type="dcterms:W3CDTF">2018-06-17T23:24:00Z</dcterms:created>
  <dcterms:modified xsi:type="dcterms:W3CDTF">2019-03-27T00:52:00Z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