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24" w:rsidRDefault="00E96424" w:rsidP="00283F3B">
      <w:pPr>
        <w:pStyle w:val="BodyText1"/>
      </w:pPr>
    </w:p>
    <w:tbl>
      <w:tblPr>
        <w:tblStyle w:val="TableGridnoborders"/>
        <w:tblW w:w="9299" w:type="dxa"/>
        <w:tblInd w:w="0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  <w:tblCaption w:val="Table for formatting purposes"/>
      </w:tblPr>
      <w:tblGrid>
        <w:gridCol w:w="9299"/>
      </w:tblGrid>
      <w:tr w:rsidR="00ED0181" w:rsidTr="00354896">
        <w:trPr>
          <w:trHeight w:hRule="exact" w:val="3158"/>
        </w:trPr>
        <w:tc>
          <w:tcPr>
            <w:tcW w:w="9299" w:type="dxa"/>
            <w:tcMar>
              <w:top w:w="794" w:type="dxa"/>
            </w:tcMar>
            <w:vAlign w:val="bottom"/>
          </w:tcPr>
          <w:p w:rsidR="00354896" w:rsidRPr="00F65B9C" w:rsidRDefault="00354896" w:rsidP="00354896">
            <w:pPr>
              <w:pStyle w:val="Title"/>
            </w:pPr>
            <w:r>
              <w:t>Ministry of Social Development should m</w:t>
            </w:r>
            <w:r w:rsidRPr="00F65B9C">
              <w:t>ake ex-gratia payment for accidental disclosure of an informant</w:t>
            </w:r>
            <w:r>
              <w:t>’</w:t>
            </w:r>
            <w:r w:rsidRPr="00F65B9C">
              <w:t>s identity</w:t>
            </w:r>
          </w:p>
          <w:p w:rsidR="00166C30" w:rsidRPr="000E36A8" w:rsidRDefault="00166C30" w:rsidP="00F96393">
            <w:pPr>
              <w:pStyle w:val="Title"/>
            </w:pPr>
          </w:p>
        </w:tc>
      </w:tr>
      <w:tr w:rsidR="00C87D78" w:rsidTr="004B6DF7">
        <w:trPr>
          <w:trHeight w:hRule="exact" w:val="340"/>
        </w:trPr>
        <w:tc>
          <w:tcPr>
            <w:tcW w:w="9299" w:type="dxa"/>
            <w:vAlign w:val="bottom"/>
          </w:tcPr>
          <w:p w:rsidR="00C87D78" w:rsidRDefault="00C87D78" w:rsidP="00C731DE"/>
        </w:tc>
      </w:tr>
      <w:tr w:rsidR="00F417FD" w:rsidTr="004B6DF7">
        <w:trPr>
          <w:trHeight w:val="2098"/>
        </w:trPr>
        <w:tc>
          <w:tcPr>
            <w:tcW w:w="9299" w:type="dxa"/>
          </w:tcPr>
          <w:p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Legislation</w:t>
            </w:r>
            <w:r w:rsidRPr="00971749">
              <w:tab/>
            </w:r>
            <w:r w:rsidR="00354896">
              <w:t>Ombudsmen Act 1975</w:t>
            </w:r>
          </w:p>
          <w:p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Agency</w:t>
            </w:r>
            <w:r w:rsidRPr="00971749">
              <w:tab/>
            </w:r>
            <w:r w:rsidR="00354896">
              <w:t>Child Youth and Family</w:t>
            </w:r>
          </w:p>
          <w:p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Ombudsman</w:t>
            </w:r>
            <w:r w:rsidRPr="00971749">
              <w:tab/>
            </w:r>
            <w:r w:rsidR="00354896">
              <w:t>Beverley Wakem</w:t>
            </w:r>
          </w:p>
          <w:p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Case number(s)</w:t>
            </w:r>
            <w:r w:rsidRPr="00971749">
              <w:tab/>
            </w:r>
            <w:r w:rsidR="00354896">
              <w:t>171992 (W53520)</w:t>
            </w:r>
          </w:p>
          <w:p w:rsidR="00F417FD" w:rsidRPr="00F417FD" w:rsidRDefault="00F417FD" w:rsidP="00354896">
            <w:pPr>
              <w:pStyle w:val="Heading1-Subnonboldtext"/>
            </w:pPr>
            <w:r w:rsidRPr="00971749">
              <w:rPr>
                <w:rStyle w:val="Heading1-Sub"/>
              </w:rPr>
              <w:t>Date</w:t>
            </w:r>
            <w:r w:rsidRPr="00971749">
              <w:tab/>
            </w:r>
            <w:r w:rsidR="00354896">
              <w:t>May 2006</w:t>
            </w:r>
          </w:p>
        </w:tc>
      </w:tr>
    </w:tbl>
    <w:p w:rsidR="00354896" w:rsidRDefault="00354896" w:rsidP="00B50B0C">
      <w:pPr>
        <w:pStyle w:val="Whitespace"/>
      </w:pPr>
      <w:bookmarkStart w:id="0" w:name="TemplateCaseNote"/>
      <w:bookmarkEnd w:id="0"/>
    </w:p>
    <w:p w:rsidR="00354896" w:rsidRPr="00354896" w:rsidRDefault="00354896" w:rsidP="00354896">
      <w:pPr>
        <w:pStyle w:val="BodyText"/>
        <w:rPr>
          <w:i/>
        </w:rPr>
      </w:pPr>
      <w:r w:rsidRPr="00354896">
        <w:rPr>
          <w:i/>
        </w:rPr>
        <w:t>Whether Child Youth and Family (CYF), a service of the Ministry of Social Development (MSD) which received information from an informant about alleged offending by another individual, was reas</w:t>
      </w:r>
      <w:r w:rsidR="00717FFD">
        <w:rPr>
          <w:i/>
        </w:rPr>
        <w:t>onable to accidentally disclose</w:t>
      </w:r>
      <w:r w:rsidRPr="00354896">
        <w:rPr>
          <w:i/>
        </w:rPr>
        <w:t xml:space="preserve"> the identity of this informant to the alleged offender – Ombudsman found CYF</w:t>
      </w:r>
      <w:r>
        <w:rPr>
          <w:i/>
        </w:rPr>
        <w:t>’</w:t>
      </w:r>
      <w:r w:rsidRPr="00354896">
        <w:rPr>
          <w:i/>
        </w:rPr>
        <w:t>s procedures for protecting the identity of informants had not been followed in this case</w:t>
      </w:r>
    </w:p>
    <w:p w:rsidR="00354896" w:rsidRDefault="00354896" w:rsidP="00354896">
      <w:pPr>
        <w:pStyle w:val="BodyText"/>
      </w:pPr>
      <w:r>
        <w:t xml:space="preserve">The complainant </w:t>
      </w:r>
      <w:r w:rsidR="00B50B0C">
        <w:t xml:space="preserve">(the informant) </w:t>
      </w:r>
      <w:r>
        <w:t xml:space="preserve">was concerned that CYF had mistakenly released her signature when a staff member </w:t>
      </w:r>
      <w:r w:rsidR="00717FFD">
        <w:t>forgot</w:t>
      </w:r>
      <w:r>
        <w:t xml:space="preserve"> to delete </w:t>
      </w:r>
      <w:r w:rsidR="00717FFD">
        <w:t>it</w:t>
      </w:r>
      <w:r>
        <w:t xml:space="preserve"> from the bottom of </w:t>
      </w:r>
      <w:r w:rsidR="00717FFD">
        <w:t>a document</w:t>
      </w:r>
      <w:bookmarkStart w:id="1" w:name="_GoBack"/>
      <w:bookmarkEnd w:id="1"/>
      <w:r>
        <w:t xml:space="preserve"> sent to CYF. As a result of the accidental disclosure, the i</w:t>
      </w:r>
      <w:r w:rsidRPr="00F65B9C">
        <w:t>nformant</w:t>
      </w:r>
      <w:r>
        <w:t xml:space="preserve"> was</w:t>
      </w:r>
      <w:r w:rsidRPr="00F65B9C">
        <w:t xml:space="preserve"> subject</w:t>
      </w:r>
      <w:r>
        <w:t>ed</w:t>
      </w:r>
      <w:r w:rsidRPr="00F65B9C">
        <w:t xml:space="preserve"> to verbal abuse and threatening behaviour from the alleged offender</w:t>
      </w:r>
      <w:r>
        <w:t xml:space="preserve">. The informant then complained to the Ombudsman about CYF’s failure to adequately remove her identity from the documents before disclosing these to the alleged offender. </w:t>
      </w:r>
    </w:p>
    <w:p w:rsidR="00354896" w:rsidRDefault="00354896" w:rsidP="00354896">
      <w:pPr>
        <w:pStyle w:val="BodyText"/>
      </w:pPr>
      <w:r w:rsidRPr="005410F8">
        <w:t>The Ombudsman accepted that, before the disclosure of the informant</w:t>
      </w:r>
      <w:r>
        <w:t>’</w:t>
      </w:r>
      <w:r w:rsidRPr="005410F8">
        <w:t>s signature, members of her community had their suspicions about the identity of the informant</w:t>
      </w:r>
      <w:r>
        <w:t xml:space="preserve">. </w:t>
      </w:r>
      <w:r w:rsidRPr="005410F8">
        <w:t xml:space="preserve">However, </w:t>
      </w:r>
      <w:r>
        <w:t xml:space="preserve">these suspicions were confirmed when the signature was disclosed and, </w:t>
      </w:r>
      <w:r w:rsidRPr="005410F8">
        <w:t>in the Ombudsman</w:t>
      </w:r>
      <w:r>
        <w:t>’</w:t>
      </w:r>
      <w:r w:rsidRPr="005410F8">
        <w:t xml:space="preserve">s </w:t>
      </w:r>
      <w:r>
        <w:t>opinion</w:t>
      </w:r>
      <w:r w:rsidRPr="005410F8">
        <w:t>, the agency could not reasonably argue that the action of releasing the signature caused no adverse consequences to the informant</w:t>
      </w:r>
      <w:r>
        <w:t xml:space="preserve">. </w:t>
      </w:r>
      <w:r w:rsidRPr="005410F8">
        <w:t>The Ombudsman was satisfied that there was a causal link between the disclosure of the informant</w:t>
      </w:r>
      <w:r>
        <w:t>’</w:t>
      </w:r>
      <w:r w:rsidRPr="005410F8">
        <w:t>s signature and the retaliatory action that followed</w:t>
      </w:r>
      <w:r>
        <w:t xml:space="preserve">. </w:t>
      </w:r>
    </w:p>
    <w:p w:rsidR="00354896" w:rsidRDefault="00354896" w:rsidP="00354896">
      <w:pPr>
        <w:pStyle w:val="BodyText"/>
      </w:pPr>
      <w:r>
        <w:t>The Ombudsman formed the opinion that CYF’s</w:t>
      </w:r>
      <w:r w:rsidRPr="00F65B9C">
        <w:t xml:space="preserve"> failure to </w:t>
      </w:r>
      <w:r>
        <w:t xml:space="preserve">follow its own procedures and to </w:t>
      </w:r>
      <w:r w:rsidRPr="00F65B9C">
        <w:t>delete the informant</w:t>
      </w:r>
      <w:r>
        <w:t>’</w:t>
      </w:r>
      <w:r w:rsidRPr="00F65B9C">
        <w:t xml:space="preserve">s identity from papers </w:t>
      </w:r>
      <w:r>
        <w:t xml:space="preserve">which were </w:t>
      </w:r>
      <w:r w:rsidRPr="00F65B9C">
        <w:t>disclosed to the alleged offender was wrong</w:t>
      </w:r>
      <w:r>
        <w:t xml:space="preserve">. </w:t>
      </w:r>
    </w:p>
    <w:p w:rsidR="00354896" w:rsidRPr="009174DC" w:rsidRDefault="00354896" w:rsidP="00354896">
      <w:pPr>
        <w:pStyle w:val="BodyText"/>
      </w:pPr>
      <w:r w:rsidRPr="005410F8">
        <w:lastRenderedPageBreak/>
        <w:t xml:space="preserve">After consultation with the Privacy Commissioner, the Ombudsman suggested some changes to </w:t>
      </w:r>
      <w:r>
        <w:t>CYF’s</w:t>
      </w:r>
      <w:r w:rsidRPr="005410F8">
        <w:t xml:space="preserve"> policies to prevent mistakes of this nature occurring in the future, including that:</w:t>
      </w:r>
      <w:r>
        <w:t xml:space="preserve"> </w:t>
      </w:r>
      <w:r w:rsidRPr="009174DC">
        <w:t>where reasonably practicable, providers of information should be given the opportunity to view the information and provide comments before it is disclosed;</w:t>
      </w:r>
      <w:r>
        <w:t xml:space="preserve"> </w:t>
      </w:r>
      <w:r w:rsidRPr="009174DC">
        <w:t>staff should be made aware that there are different ways to release information and that, where legally justifiable, this should be done in a manner which protects the identity of informants (for example, disclosure by way of summary may provide better means of protecting the identity of informants in some cases); and</w:t>
      </w:r>
      <w:r>
        <w:t xml:space="preserve"> t</w:t>
      </w:r>
      <w:r w:rsidRPr="009174DC">
        <w:t>here should be a quality assurance process for any information that is proposed to be disclosed.</w:t>
      </w:r>
    </w:p>
    <w:p w:rsidR="00354896" w:rsidRDefault="00354896" w:rsidP="00354896">
      <w:pPr>
        <w:pStyle w:val="BodyText"/>
      </w:pPr>
      <w:r>
        <w:t>By way of remedy, t</w:t>
      </w:r>
      <w:r w:rsidRPr="009174DC">
        <w:t xml:space="preserve">he Ombudsman </w:t>
      </w:r>
      <w:r>
        <w:t>asked MSD</w:t>
      </w:r>
      <w:r w:rsidRPr="009174DC">
        <w:t xml:space="preserve"> to reconsider its decision not to make an ex-gratia payment to the informant.</w:t>
      </w:r>
      <w:r>
        <w:t xml:space="preserve"> MSD</w:t>
      </w:r>
      <w:r w:rsidRPr="009174DC">
        <w:t xml:space="preserve"> accepted the Ombudsman</w:t>
      </w:r>
      <w:r>
        <w:t>’</w:t>
      </w:r>
      <w:r w:rsidRPr="009174DC">
        <w:t>s views</w:t>
      </w:r>
      <w:r>
        <w:t>. MSD</w:t>
      </w:r>
      <w:r w:rsidRPr="009174DC">
        <w:t xml:space="preserve"> made an ex-gratia payment to the informant to cover her legal costs and to recognise the stress and humiliation caused by its actions</w:t>
      </w:r>
      <w:r>
        <w:t>. MSD</w:t>
      </w:r>
      <w:r w:rsidRPr="009174DC">
        <w:t xml:space="preserve"> also explained that it was reviewing its management of requests</w:t>
      </w:r>
      <w:r>
        <w:t xml:space="preserve"> under both the Privacy Act and the OIA </w:t>
      </w:r>
      <w:r w:rsidRPr="009174DC">
        <w:t>and that the Ombudsman</w:t>
      </w:r>
      <w:r>
        <w:t>’</w:t>
      </w:r>
      <w:r w:rsidRPr="009174DC">
        <w:t>s recommendations would form part of that view.</w:t>
      </w:r>
      <w:r>
        <w:t xml:space="preserve"> </w:t>
      </w:r>
    </w:p>
    <w:p w:rsidR="00354896" w:rsidRDefault="00354896" w:rsidP="00354896">
      <w:pPr>
        <w:pStyle w:val="BodyText"/>
      </w:pPr>
      <w:r w:rsidRPr="00354896">
        <w:rPr>
          <w:i/>
          <w:iCs/>
        </w:rPr>
        <w:t xml:space="preserve">This case note is published under the authority of the </w:t>
      </w:r>
      <w:hyperlink r:id="rId8" w:history="1">
        <w:r w:rsidRPr="00354896">
          <w:rPr>
            <w:rStyle w:val="Hyperlink"/>
            <w:i/>
            <w:iCs/>
          </w:rPr>
          <w:t>Ombudsmen Rules 1989</w:t>
        </w:r>
      </w:hyperlink>
      <w:r w:rsidRPr="00354896">
        <w:rPr>
          <w:i/>
          <w:iCs/>
        </w:rPr>
        <w:t>. It sets out an Ombudsman</w:t>
      </w:r>
      <w:r>
        <w:rPr>
          <w:i/>
          <w:iCs/>
        </w:rPr>
        <w:t>’</w:t>
      </w:r>
      <w:r w:rsidRPr="00354896">
        <w:rPr>
          <w:i/>
          <w:iCs/>
        </w:rPr>
        <w:t>s view on the facts of a particular case. It should not be taken as establishing any legal precedent that would bind an Ombudsman in future.</w:t>
      </w:r>
    </w:p>
    <w:sectPr w:rsidR="00354896" w:rsidSect="00F417FD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E7" w:rsidRPr="00D45126" w:rsidRDefault="00A227E7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:rsidR="00A227E7" w:rsidRPr="00D45126" w:rsidRDefault="00A227E7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:rsidR="00A227E7" w:rsidRDefault="00A227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3E" w:rsidRPr="0059155D" w:rsidRDefault="008A593E" w:rsidP="00B81F45">
    <w:pPr>
      <w:pStyle w:val="Footerline"/>
    </w:pPr>
  </w:p>
  <w:p w:rsidR="008A593E" w:rsidRPr="0059155D" w:rsidRDefault="008A593E" w:rsidP="00B81F45">
    <w:pPr>
      <w:pStyle w:val="Footerline"/>
    </w:pPr>
  </w:p>
  <w:p w:rsidR="008A593E" w:rsidRPr="005533D8" w:rsidRDefault="00B50B0C" w:rsidP="00B81F45">
    <w:pPr>
      <w:pStyle w:val="Footer"/>
    </w:pPr>
    <w:fldSimple w:instr=" DOCVARIABLE  dvShortText ">
      <w:r w:rsidR="00F6733D">
        <w:t>Case note 171992 (W53520) |</w:t>
      </w:r>
    </w:fldSimple>
    <w:r w:rsidR="008A593E">
      <w:t xml:space="preserve"> Page </w:t>
    </w:r>
    <w:r w:rsidR="008A593E" w:rsidRPr="00A32286">
      <w:rPr>
        <w:rStyle w:val="PageNumber"/>
      </w:rPr>
      <w:fldChar w:fldCharType="begin"/>
    </w:r>
    <w:r w:rsidR="008A593E" w:rsidRPr="00A32286">
      <w:rPr>
        <w:rStyle w:val="PageNumber"/>
      </w:rPr>
      <w:instrText xml:space="preserve"> PAGE   \* MERGEFORMAT </w:instrText>
    </w:r>
    <w:r w:rsidR="008A593E" w:rsidRPr="00A32286">
      <w:rPr>
        <w:rStyle w:val="PageNumber"/>
      </w:rPr>
      <w:fldChar w:fldCharType="separate"/>
    </w:r>
    <w:r w:rsidR="00717FFD">
      <w:rPr>
        <w:rStyle w:val="PageNumber"/>
        <w:noProof/>
      </w:rPr>
      <w:t>2</w:t>
    </w:r>
    <w:r w:rsidR="008A593E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3E" w:rsidRPr="0059155D" w:rsidRDefault="008A593E" w:rsidP="00AA3322">
    <w:pPr>
      <w:pStyle w:val="Footerline"/>
    </w:pPr>
  </w:p>
  <w:p w:rsidR="008A593E" w:rsidRPr="0059155D" w:rsidRDefault="008A593E" w:rsidP="00AA3322">
    <w:pPr>
      <w:pStyle w:val="Footerline"/>
    </w:pPr>
  </w:p>
  <w:p w:rsidR="008A593E" w:rsidRPr="005533D8" w:rsidRDefault="00B50B0C" w:rsidP="00AA3322">
    <w:pPr>
      <w:pStyle w:val="Footer"/>
    </w:pPr>
    <w:fldSimple w:instr=" DOCVARIABLE  dvShortText ">
      <w:r w:rsidR="00F6733D">
        <w:t>Case note 171992 (W53520) |</w:t>
      </w:r>
    </w:fldSimple>
    <w:r w:rsidR="008A593E">
      <w:t xml:space="preserve"> Page </w:t>
    </w:r>
    <w:r w:rsidR="008A593E" w:rsidRPr="00A32286">
      <w:rPr>
        <w:rStyle w:val="PageNumber"/>
      </w:rPr>
      <w:fldChar w:fldCharType="begin"/>
    </w:r>
    <w:r w:rsidR="008A593E" w:rsidRPr="00A32286">
      <w:rPr>
        <w:rStyle w:val="PageNumber"/>
      </w:rPr>
      <w:instrText xml:space="preserve"> PAGE   \* MERGEFORMAT </w:instrText>
    </w:r>
    <w:r w:rsidR="008A593E" w:rsidRPr="00A32286">
      <w:rPr>
        <w:rStyle w:val="PageNumber"/>
      </w:rPr>
      <w:fldChar w:fldCharType="separate"/>
    </w:r>
    <w:r w:rsidR="00A227E7">
      <w:rPr>
        <w:rStyle w:val="PageNumber"/>
        <w:noProof/>
      </w:rPr>
      <w:t>1</w:t>
    </w:r>
    <w:r w:rsidR="008A593E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E7" w:rsidRPr="00D45126" w:rsidRDefault="00A227E7" w:rsidP="00257DA0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:rsidR="00A227E7" w:rsidRPr="00C14083" w:rsidRDefault="00A227E7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:rsidR="00A227E7" w:rsidRDefault="00A227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3E" w:rsidRDefault="008A593E" w:rsidP="00B81F45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r w:rsidRPr="00DD54DF">
      <w:t>Tari o te Kaitiaki Mana Tangata</w:t>
    </w:r>
  </w:p>
  <w:p w:rsidR="008A593E" w:rsidRPr="00661EC9" w:rsidRDefault="008A593E" w:rsidP="00B81F45">
    <w:pPr>
      <w:pStyle w:val="Headerline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3E" w:rsidRDefault="008A593E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2" name="Picture 3" title="The Ombudsman Case note logo—features the word Ombudsman in bold font with the text ‘Fairness for all’ in a smaller font-size below. A graphic of a fern furls into the ‘O’ helping to form the first letter of the word Ombudsma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9EB6396"/>
    <w:multiLevelType w:val="hybridMultilevel"/>
    <w:tmpl w:val="68BC83DC"/>
    <w:lvl w:ilvl="0" w:tplc="1CEE294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9CC6F654" w:tentative="1">
      <w:start w:val="1"/>
      <w:numFmt w:val="lowerLetter"/>
      <w:lvlText w:val="%2."/>
      <w:lvlJc w:val="left"/>
      <w:pPr>
        <w:ind w:left="927" w:hanging="360"/>
      </w:pPr>
    </w:lvl>
    <w:lvl w:ilvl="2" w:tplc="7B40E6B6" w:tentative="1">
      <w:start w:val="1"/>
      <w:numFmt w:val="lowerRoman"/>
      <w:lvlText w:val="%3."/>
      <w:lvlJc w:val="right"/>
      <w:pPr>
        <w:ind w:left="1647" w:hanging="180"/>
      </w:pPr>
    </w:lvl>
    <w:lvl w:ilvl="3" w:tplc="54DA8A66" w:tentative="1">
      <w:start w:val="1"/>
      <w:numFmt w:val="decimal"/>
      <w:lvlText w:val="%4."/>
      <w:lvlJc w:val="left"/>
      <w:pPr>
        <w:ind w:left="2367" w:hanging="360"/>
      </w:pPr>
    </w:lvl>
    <w:lvl w:ilvl="4" w:tplc="FEBC2F1C" w:tentative="1">
      <w:start w:val="1"/>
      <w:numFmt w:val="lowerLetter"/>
      <w:lvlText w:val="%5."/>
      <w:lvlJc w:val="left"/>
      <w:pPr>
        <w:ind w:left="3087" w:hanging="360"/>
      </w:pPr>
    </w:lvl>
    <w:lvl w:ilvl="5" w:tplc="8D58CE94" w:tentative="1">
      <w:start w:val="1"/>
      <w:numFmt w:val="lowerRoman"/>
      <w:lvlText w:val="%6."/>
      <w:lvlJc w:val="right"/>
      <w:pPr>
        <w:ind w:left="3807" w:hanging="180"/>
      </w:pPr>
    </w:lvl>
    <w:lvl w:ilvl="6" w:tplc="B212DFD4" w:tentative="1">
      <w:start w:val="1"/>
      <w:numFmt w:val="decimal"/>
      <w:lvlText w:val="%7."/>
      <w:lvlJc w:val="left"/>
      <w:pPr>
        <w:ind w:left="4527" w:hanging="360"/>
      </w:pPr>
    </w:lvl>
    <w:lvl w:ilvl="7" w:tplc="817C174E" w:tentative="1">
      <w:start w:val="1"/>
      <w:numFmt w:val="lowerLetter"/>
      <w:lvlText w:val="%8."/>
      <w:lvlJc w:val="left"/>
      <w:pPr>
        <w:ind w:left="5247" w:hanging="360"/>
      </w:pPr>
    </w:lvl>
    <w:lvl w:ilvl="8" w:tplc="54B8972E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7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9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1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3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1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3"/>
  </w:num>
  <w:num w:numId="8">
    <w:abstractNumId w:val="14"/>
  </w:num>
  <w:num w:numId="9">
    <w:abstractNumId w:val="5"/>
  </w:num>
  <w:num w:numId="10">
    <w:abstractNumId w:val="8"/>
  </w:num>
  <w:num w:numId="11">
    <w:abstractNumId w:val="22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20"/>
  </w:num>
  <w:num w:numId="17">
    <w:abstractNumId w:val="15"/>
  </w:num>
  <w:num w:numId="18">
    <w:abstractNumId w:val="21"/>
  </w:num>
  <w:num w:numId="19">
    <w:abstractNumId w:val="12"/>
  </w:num>
  <w:num w:numId="20">
    <w:abstractNumId w:val="2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1"/>
  </w:num>
  <w:num w:numId="25">
    <w:abstractNumId w:val="13"/>
  </w:num>
  <w:num w:numId="26">
    <w:abstractNumId w:val="4"/>
  </w:num>
  <w:num w:numId="27">
    <w:abstractNumId w:val="7"/>
  </w:num>
  <w:num w:numId="28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171992 (W53520) |"/>
    <w:docVar w:name="dvShortTextFrm" w:val="Case note 171992 (W53520)"/>
    <w:docVar w:name="IsfirstTb" w:val="True"/>
    <w:docVar w:name="IsInTable" w:val="False"/>
    <w:docVar w:name="OOTOTemplate" w:val="OOTO General\Case note.dotm"/>
  </w:docVars>
  <w:rsids>
    <w:rsidRoot w:val="00354896"/>
    <w:rsid w:val="00000AEE"/>
    <w:rsid w:val="0000164C"/>
    <w:rsid w:val="00002E2B"/>
    <w:rsid w:val="000048D2"/>
    <w:rsid w:val="0000771B"/>
    <w:rsid w:val="00011074"/>
    <w:rsid w:val="00013791"/>
    <w:rsid w:val="00021382"/>
    <w:rsid w:val="00024F53"/>
    <w:rsid w:val="00026A3B"/>
    <w:rsid w:val="000273F0"/>
    <w:rsid w:val="000328E9"/>
    <w:rsid w:val="00032A75"/>
    <w:rsid w:val="00035821"/>
    <w:rsid w:val="00040F52"/>
    <w:rsid w:val="00041615"/>
    <w:rsid w:val="000419C3"/>
    <w:rsid w:val="00045FD7"/>
    <w:rsid w:val="00046B63"/>
    <w:rsid w:val="00050123"/>
    <w:rsid w:val="00053114"/>
    <w:rsid w:val="00057C4D"/>
    <w:rsid w:val="00064CFD"/>
    <w:rsid w:val="00065881"/>
    <w:rsid w:val="000822C8"/>
    <w:rsid w:val="00084FC2"/>
    <w:rsid w:val="000929F9"/>
    <w:rsid w:val="00093C9D"/>
    <w:rsid w:val="0009569A"/>
    <w:rsid w:val="000965D2"/>
    <w:rsid w:val="00097211"/>
    <w:rsid w:val="00097E3A"/>
    <w:rsid w:val="000A084B"/>
    <w:rsid w:val="000A18DA"/>
    <w:rsid w:val="000A39DB"/>
    <w:rsid w:val="000A4639"/>
    <w:rsid w:val="000A56A9"/>
    <w:rsid w:val="000B43C3"/>
    <w:rsid w:val="000B60ED"/>
    <w:rsid w:val="000C2A01"/>
    <w:rsid w:val="000C487C"/>
    <w:rsid w:val="000D3B26"/>
    <w:rsid w:val="000D4757"/>
    <w:rsid w:val="000D5790"/>
    <w:rsid w:val="000D6DA5"/>
    <w:rsid w:val="000D6FA6"/>
    <w:rsid w:val="000E2563"/>
    <w:rsid w:val="000E2C2F"/>
    <w:rsid w:val="000E357E"/>
    <w:rsid w:val="000E36A8"/>
    <w:rsid w:val="000E48F3"/>
    <w:rsid w:val="000F09B0"/>
    <w:rsid w:val="000F27A2"/>
    <w:rsid w:val="000F32C4"/>
    <w:rsid w:val="000F358E"/>
    <w:rsid w:val="000F496B"/>
    <w:rsid w:val="000F4A8C"/>
    <w:rsid w:val="000F5D79"/>
    <w:rsid w:val="00100392"/>
    <w:rsid w:val="001110B8"/>
    <w:rsid w:val="0011146D"/>
    <w:rsid w:val="00114C6B"/>
    <w:rsid w:val="00114C7F"/>
    <w:rsid w:val="00123968"/>
    <w:rsid w:val="00134987"/>
    <w:rsid w:val="00140996"/>
    <w:rsid w:val="00140DAC"/>
    <w:rsid w:val="00144C1B"/>
    <w:rsid w:val="00150AD4"/>
    <w:rsid w:val="00151F5B"/>
    <w:rsid w:val="00157E61"/>
    <w:rsid w:val="001602AB"/>
    <w:rsid w:val="00160E82"/>
    <w:rsid w:val="001643FB"/>
    <w:rsid w:val="00166C30"/>
    <w:rsid w:val="00167506"/>
    <w:rsid w:val="0017216A"/>
    <w:rsid w:val="001753BE"/>
    <w:rsid w:val="001760FC"/>
    <w:rsid w:val="00177807"/>
    <w:rsid w:val="001822E3"/>
    <w:rsid w:val="00184B58"/>
    <w:rsid w:val="00186A52"/>
    <w:rsid w:val="001872A2"/>
    <w:rsid w:val="00187D74"/>
    <w:rsid w:val="00190A34"/>
    <w:rsid w:val="00191044"/>
    <w:rsid w:val="001922D6"/>
    <w:rsid w:val="00193B7F"/>
    <w:rsid w:val="00194237"/>
    <w:rsid w:val="00194280"/>
    <w:rsid w:val="001944D8"/>
    <w:rsid w:val="001954BF"/>
    <w:rsid w:val="00197401"/>
    <w:rsid w:val="001A265F"/>
    <w:rsid w:val="001A415D"/>
    <w:rsid w:val="001A4C19"/>
    <w:rsid w:val="001B1DCE"/>
    <w:rsid w:val="001B2F94"/>
    <w:rsid w:val="001B31CF"/>
    <w:rsid w:val="001B688C"/>
    <w:rsid w:val="001B7EC1"/>
    <w:rsid w:val="001C12AF"/>
    <w:rsid w:val="001C7F14"/>
    <w:rsid w:val="001E067E"/>
    <w:rsid w:val="001E16D0"/>
    <w:rsid w:val="001E795E"/>
    <w:rsid w:val="001F08E5"/>
    <w:rsid w:val="001F0C1C"/>
    <w:rsid w:val="001F0E26"/>
    <w:rsid w:val="001F14C5"/>
    <w:rsid w:val="001F20AE"/>
    <w:rsid w:val="001F6FC1"/>
    <w:rsid w:val="00200C37"/>
    <w:rsid w:val="00204247"/>
    <w:rsid w:val="00210377"/>
    <w:rsid w:val="0021064F"/>
    <w:rsid w:val="002151BC"/>
    <w:rsid w:val="00217F95"/>
    <w:rsid w:val="00220309"/>
    <w:rsid w:val="00221110"/>
    <w:rsid w:val="00221D0F"/>
    <w:rsid w:val="00222EA0"/>
    <w:rsid w:val="00224421"/>
    <w:rsid w:val="0023071A"/>
    <w:rsid w:val="00230FF4"/>
    <w:rsid w:val="00237679"/>
    <w:rsid w:val="00245ACC"/>
    <w:rsid w:val="00251056"/>
    <w:rsid w:val="00251456"/>
    <w:rsid w:val="00253466"/>
    <w:rsid w:val="002539A9"/>
    <w:rsid w:val="00257DA0"/>
    <w:rsid w:val="00262294"/>
    <w:rsid w:val="00263B2F"/>
    <w:rsid w:val="00270EC8"/>
    <w:rsid w:val="0027214C"/>
    <w:rsid w:val="00272307"/>
    <w:rsid w:val="00272886"/>
    <w:rsid w:val="00272EB5"/>
    <w:rsid w:val="00274E49"/>
    <w:rsid w:val="002819FD"/>
    <w:rsid w:val="00283493"/>
    <w:rsid w:val="00283CAD"/>
    <w:rsid w:val="00283D4E"/>
    <w:rsid w:val="00283F3B"/>
    <w:rsid w:val="002841A8"/>
    <w:rsid w:val="00284C51"/>
    <w:rsid w:val="002917E8"/>
    <w:rsid w:val="00292161"/>
    <w:rsid w:val="00295101"/>
    <w:rsid w:val="002A1D84"/>
    <w:rsid w:val="002A67F4"/>
    <w:rsid w:val="002A7B22"/>
    <w:rsid w:val="002B0E1C"/>
    <w:rsid w:val="002B319F"/>
    <w:rsid w:val="002B48BA"/>
    <w:rsid w:val="002B5274"/>
    <w:rsid w:val="002B5D4E"/>
    <w:rsid w:val="002B6A20"/>
    <w:rsid w:val="002B6A6C"/>
    <w:rsid w:val="002B7379"/>
    <w:rsid w:val="002C0241"/>
    <w:rsid w:val="002C03DC"/>
    <w:rsid w:val="002C4624"/>
    <w:rsid w:val="002C54BA"/>
    <w:rsid w:val="002D00DA"/>
    <w:rsid w:val="002D09E7"/>
    <w:rsid w:val="002D4A7A"/>
    <w:rsid w:val="002D6610"/>
    <w:rsid w:val="002D6E92"/>
    <w:rsid w:val="002D707B"/>
    <w:rsid w:val="002E1AEB"/>
    <w:rsid w:val="002E617A"/>
    <w:rsid w:val="002E6678"/>
    <w:rsid w:val="002E6923"/>
    <w:rsid w:val="002F1071"/>
    <w:rsid w:val="002F2103"/>
    <w:rsid w:val="002F2702"/>
    <w:rsid w:val="002F510A"/>
    <w:rsid w:val="002F7D54"/>
    <w:rsid w:val="003002CA"/>
    <w:rsid w:val="0030460D"/>
    <w:rsid w:val="00307592"/>
    <w:rsid w:val="00313ABD"/>
    <w:rsid w:val="00316CF6"/>
    <w:rsid w:val="00317D8B"/>
    <w:rsid w:val="00320E2B"/>
    <w:rsid w:val="00321801"/>
    <w:rsid w:val="00321D36"/>
    <w:rsid w:val="003374ED"/>
    <w:rsid w:val="00342CEE"/>
    <w:rsid w:val="003516B6"/>
    <w:rsid w:val="00354896"/>
    <w:rsid w:val="0035756E"/>
    <w:rsid w:val="0036078D"/>
    <w:rsid w:val="003612FC"/>
    <w:rsid w:val="00363187"/>
    <w:rsid w:val="003636DB"/>
    <w:rsid w:val="00367A88"/>
    <w:rsid w:val="00371B5E"/>
    <w:rsid w:val="003723B3"/>
    <w:rsid w:val="00373DCE"/>
    <w:rsid w:val="0037732A"/>
    <w:rsid w:val="0037742F"/>
    <w:rsid w:val="00377D53"/>
    <w:rsid w:val="003808C4"/>
    <w:rsid w:val="00381FBC"/>
    <w:rsid w:val="00382244"/>
    <w:rsid w:val="003832EA"/>
    <w:rsid w:val="00383460"/>
    <w:rsid w:val="00385BCC"/>
    <w:rsid w:val="00385F42"/>
    <w:rsid w:val="00396770"/>
    <w:rsid w:val="003967AB"/>
    <w:rsid w:val="003A1465"/>
    <w:rsid w:val="003A4539"/>
    <w:rsid w:val="003A4EB3"/>
    <w:rsid w:val="003B46E7"/>
    <w:rsid w:val="003C1714"/>
    <w:rsid w:val="003C2059"/>
    <w:rsid w:val="003D02D4"/>
    <w:rsid w:val="003D139D"/>
    <w:rsid w:val="003D6A2B"/>
    <w:rsid w:val="003D7D3A"/>
    <w:rsid w:val="003E19E9"/>
    <w:rsid w:val="003E433B"/>
    <w:rsid w:val="003E4400"/>
    <w:rsid w:val="003E51DA"/>
    <w:rsid w:val="003E5BC8"/>
    <w:rsid w:val="003E6107"/>
    <w:rsid w:val="003E7D56"/>
    <w:rsid w:val="003F0032"/>
    <w:rsid w:val="003F0E79"/>
    <w:rsid w:val="003F3280"/>
    <w:rsid w:val="003F7B31"/>
    <w:rsid w:val="00400410"/>
    <w:rsid w:val="00404C91"/>
    <w:rsid w:val="00405E1E"/>
    <w:rsid w:val="00406000"/>
    <w:rsid w:val="004061BA"/>
    <w:rsid w:val="00410181"/>
    <w:rsid w:val="004118FD"/>
    <w:rsid w:val="00411A78"/>
    <w:rsid w:val="004213E5"/>
    <w:rsid w:val="00424DBC"/>
    <w:rsid w:val="004302DE"/>
    <w:rsid w:val="00431860"/>
    <w:rsid w:val="00433038"/>
    <w:rsid w:val="00433F89"/>
    <w:rsid w:val="00442610"/>
    <w:rsid w:val="004426B5"/>
    <w:rsid w:val="00444754"/>
    <w:rsid w:val="00452CEF"/>
    <w:rsid w:val="00462213"/>
    <w:rsid w:val="00464DEF"/>
    <w:rsid w:val="00465438"/>
    <w:rsid w:val="00467645"/>
    <w:rsid w:val="004752AF"/>
    <w:rsid w:val="004873B4"/>
    <w:rsid w:val="004903E8"/>
    <w:rsid w:val="00491852"/>
    <w:rsid w:val="0049294C"/>
    <w:rsid w:val="004938CA"/>
    <w:rsid w:val="00493EE8"/>
    <w:rsid w:val="00494124"/>
    <w:rsid w:val="004978CE"/>
    <w:rsid w:val="004A2B8E"/>
    <w:rsid w:val="004A3DD0"/>
    <w:rsid w:val="004A5E3E"/>
    <w:rsid w:val="004A60D8"/>
    <w:rsid w:val="004A717A"/>
    <w:rsid w:val="004B1CFB"/>
    <w:rsid w:val="004B3108"/>
    <w:rsid w:val="004B5B00"/>
    <w:rsid w:val="004B6762"/>
    <w:rsid w:val="004B6DF7"/>
    <w:rsid w:val="004C748E"/>
    <w:rsid w:val="004D3A9D"/>
    <w:rsid w:val="004D4947"/>
    <w:rsid w:val="004D4CCB"/>
    <w:rsid w:val="004D6360"/>
    <w:rsid w:val="004E37DF"/>
    <w:rsid w:val="004E4498"/>
    <w:rsid w:val="004F143B"/>
    <w:rsid w:val="004F5787"/>
    <w:rsid w:val="0050347A"/>
    <w:rsid w:val="00503E51"/>
    <w:rsid w:val="005054E0"/>
    <w:rsid w:val="005102D8"/>
    <w:rsid w:val="00512CAE"/>
    <w:rsid w:val="00512D27"/>
    <w:rsid w:val="00515585"/>
    <w:rsid w:val="00515C43"/>
    <w:rsid w:val="00517AD4"/>
    <w:rsid w:val="00520431"/>
    <w:rsid w:val="0052262C"/>
    <w:rsid w:val="0053285B"/>
    <w:rsid w:val="0053394E"/>
    <w:rsid w:val="005409E7"/>
    <w:rsid w:val="00541023"/>
    <w:rsid w:val="00546792"/>
    <w:rsid w:val="00554E50"/>
    <w:rsid w:val="00554FCD"/>
    <w:rsid w:val="00561DA3"/>
    <w:rsid w:val="005661BE"/>
    <w:rsid w:val="005671A5"/>
    <w:rsid w:val="00570439"/>
    <w:rsid w:val="00570CA3"/>
    <w:rsid w:val="005719C4"/>
    <w:rsid w:val="00573D48"/>
    <w:rsid w:val="005758E8"/>
    <w:rsid w:val="005772F4"/>
    <w:rsid w:val="005777E2"/>
    <w:rsid w:val="005804D9"/>
    <w:rsid w:val="005805BA"/>
    <w:rsid w:val="005820EE"/>
    <w:rsid w:val="005830DE"/>
    <w:rsid w:val="00585B6A"/>
    <w:rsid w:val="00590C6E"/>
    <w:rsid w:val="005910D7"/>
    <w:rsid w:val="005935A5"/>
    <w:rsid w:val="00595347"/>
    <w:rsid w:val="00596025"/>
    <w:rsid w:val="005975D0"/>
    <w:rsid w:val="005A1D8F"/>
    <w:rsid w:val="005A2E1B"/>
    <w:rsid w:val="005B1169"/>
    <w:rsid w:val="005B6E2F"/>
    <w:rsid w:val="005B7F25"/>
    <w:rsid w:val="005C4DB4"/>
    <w:rsid w:val="005C76DD"/>
    <w:rsid w:val="005C7BA2"/>
    <w:rsid w:val="005D03D0"/>
    <w:rsid w:val="005D525E"/>
    <w:rsid w:val="005E1DEC"/>
    <w:rsid w:val="005E1F34"/>
    <w:rsid w:val="005E2932"/>
    <w:rsid w:val="005E4F3A"/>
    <w:rsid w:val="005E50C7"/>
    <w:rsid w:val="005F1945"/>
    <w:rsid w:val="005F3344"/>
    <w:rsid w:val="005F4281"/>
    <w:rsid w:val="005F43B4"/>
    <w:rsid w:val="005F70F0"/>
    <w:rsid w:val="00604BDC"/>
    <w:rsid w:val="00606871"/>
    <w:rsid w:val="006077BF"/>
    <w:rsid w:val="00607EC0"/>
    <w:rsid w:val="0061020F"/>
    <w:rsid w:val="00610FD3"/>
    <w:rsid w:val="00611625"/>
    <w:rsid w:val="006120A8"/>
    <w:rsid w:val="00615CE0"/>
    <w:rsid w:val="00616CEE"/>
    <w:rsid w:val="00617F04"/>
    <w:rsid w:val="00621FD1"/>
    <w:rsid w:val="0062506B"/>
    <w:rsid w:val="006279D4"/>
    <w:rsid w:val="00627E11"/>
    <w:rsid w:val="00631B80"/>
    <w:rsid w:val="00640FA7"/>
    <w:rsid w:val="00644A97"/>
    <w:rsid w:val="00644B46"/>
    <w:rsid w:val="0064708D"/>
    <w:rsid w:val="006473DE"/>
    <w:rsid w:val="00655FF5"/>
    <w:rsid w:val="0066078A"/>
    <w:rsid w:val="00661FBB"/>
    <w:rsid w:val="0067015F"/>
    <w:rsid w:val="0067318E"/>
    <w:rsid w:val="006741F1"/>
    <w:rsid w:val="006744C4"/>
    <w:rsid w:val="0067485E"/>
    <w:rsid w:val="00681279"/>
    <w:rsid w:val="006820B3"/>
    <w:rsid w:val="006842AB"/>
    <w:rsid w:val="00684E32"/>
    <w:rsid w:val="00685B6A"/>
    <w:rsid w:val="00687159"/>
    <w:rsid w:val="00691335"/>
    <w:rsid w:val="006920D5"/>
    <w:rsid w:val="00697F10"/>
    <w:rsid w:val="006A05F7"/>
    <w:rsid w:val="006A12AA"/>
    <w:rsid w:val="006A5545"/>
    <w:rsid w:val="006A5CB2"/>
    <w:rsid w:val="006B2725"/>
    <w:rsid w:val="006B4123"/>
    <w:rsid w:val="006B72A6"/>
    <w:rsid w:val="006C3811"/>
    <w:rsid w:val="006C3851"/>
    <w:rsid w:val="006C3FF6"/>
    <w:rsid w:val="006D1417"/>
    <w:rsid w:val="006D1717"/>
    <w:rsid w:val="006D17A0"/>
    <w:rsid w:val="006D2120"/>
    <w:rsid w:val="006D78E8"/>
    <w:rsid w:val="006E05C4"/>
    <w:rsid w:val="006E190D"/>
    <w:rsid w:val="006E1BFE"/>
    <w:rsid w:val="006E5E11"/>
    <w:rsid w:val="006F1C9F"/>
    <w:rsid w:val="006F2DED"/>
    <w:rsid w:val="006F51DC"/>
    <w:rsid w:val="007012C8"/>
    <w:rsid w:val="00703C65"/>
    <w:rsid w:val="00710CB9"/>
    <w:rsid w:val="00712C05"/>
    <w:rsid w:val="00714679"/>
    <w:rsid w:val="00715819"/>
    <w:rsid w:val="00717711"/>
    <w:rsid w:val="00717A58"/>
    <w:rsid w:val="00717B0B"/>
    <w:rsid w:val="00717FFD"/>
    <w:rsid w:val="0072077B"/>
    <w:rsid w:val="007251D7"/>
    <w:rsid w:val="0072665E"/>
    <w:rsid w:val="0073150C"/>
    <w:rsid w:val="0073197D"/>
    <w:rsid w:val="00733DAC"/>
    <w:rsid w:val="00734E9C"/>
    <w:rsid w:val="007370C8"/>
    <w:rsid w:val="0073772C"/>
    <w:rsid w:val="00743E91"/>
    <w:rsid w:val="00753648"/>
    <w:rsid w:val="007539DA"/>
    <w:rsid w:val="00760461"/>
    <w:rsid w:val="00763D2B"/>
    <w:rsid w:val="00764619"/>
    <w:rsid w:val="00773694"/>
    <w:rsid w:val="0077590F"/>
    <w:rsid w:val="00776236"/>
    <w:rsid w:val="00776A46"/>
    <w:rsid w:val="00777829"/>
    <w:rsid w:val="0078036A"/>
    <w:rsid w:val="00780D07"/>
    <w:rsid w:val="0079659E"/>
    <w:rsid w:val="007A0E41"/>
    <w:rsid w:val="007A395C"/>
    <w:rsid w:val="007A6586"/>
    <w:rsid w:val="007A6F0A"/>
    <w:rsid w:val="007A7020"/>
    <w:rsid w:val="007A74A0"/>
    <w:rsid w:val="007B4F3B"/>
    <w:rsid w:val="007B755F"/>
    <w:rsid w:val="007C3BDA"/>
    <w:rsid w:val="007C5CD4"/>
    <w:rsid w:val="007C679B"/>
    <w:rsid w:val="007C7995"/>
    <w:rsid w:val="007D3C1B"/>
    <w:rsid w:val="007D4081"/>
    <w:rsid w:val="007D5753"/>
    <w:rsid w:val="007D76FD"/>
    <w:rsid w:val="007E01D2"/>
    <w:rsid w:val="007E1397"/>
    <w:rsid w:val="007E58A0"/>
    <w:rsid w:val="007F760D"/>
    <w:rsid w:val="00800219"/>
    <w:rsid w:val="0080047F"/>
    <w:rsid w:val="0080145D"/>
    <w:rsid w:val="00802414"/>
    <w:rsid w:val="00803CA9"/>
    <w:rsid w:val="00812748"/>
    <w:rsid w:val="00813A70"/>
    <w:rsid w:val="00820C9C"/>
    <w:rsid w:val="008242EE"/>
    <w:rsid w:val="00825420"/>
    <w:rsid w:val="00825D06"/>
    <w:rsid w:val="00830680"/>
    <w:rsid w:val="00831A4E"/>
    <w:rsid w:val="00831EBB"/>
    <w:rsid w:val="00833247"/>
    <w:rsid w:val="00837EA6"/>
    <w:rsid w:val="008429D3"/>
    <w:rsid w:val="00844F64"/>
    <w:rsid w:val="00846794"/>
    <w:rsid w:val="00846D79"/>
    <w:rsid w:val="00860B01"/>
    <w:rsid w:val="00861C91"/>
    <w:rsid w:val="00872924"/>
    <w:rsid w:val="008841B5"/>
    <w:rsid w:val="00884716"/>
    <w:rsid w:val="00887AA8"/>
    <w:rsid w:val="0089080C"/>
    <w:rsid w:val="00892DF8"/>
    <w:rsid w:val="00893A27"/>
    <w:rsid w:val="00896D19"/>
    <w:rsid w:val="008A593E"/>
    <w:rsid w:val="008B0D20"/>
    <w:rsid w:val="008B0F15"/>
    <w:rsid w:val="008B1687"/>
    <w:rsid w:val="008B1A1F"/>
    <w:rsid w:val="008B3D95"/>
    <w:rsid w:val="008B3DAA"/>
    <w:rsid w:val="008B4AAA"/>
    <w:rsid w:val="008B76D2"/>
    <w:rsid w:val="008C3437"/>
    <w:rsid w:val="008C7455"/>
    <w:rsid w:val="008D2D01"/>
    <w:rsid w:val="008D349D"/>
    <w:rsid w:val="008D7744"/>
    <w:rsid w:val="008E0636"/>
    <w:rsid w:val="008E0999"/>
    <w:rsid w:val="008E186D"/>
    <w:rsid w:val="008E1EF0"/>
    <w:rsid w:val="008E6C86"/>
    <w:rsid w:val="008F17E0"/>
    <w:rsid w:val="008F2893"/>
    <w:rsid w:val="008F614F"/>
    <w:rsid w:val="008F746D"/>
    <w:rsid w:val="00903FCC"/>
    <w:rsid w:val="009135B5"/>
    <w:rsid w:val="0092033B"/>
    <w:rsid w:val="009203C6"/>
    <w:rsid w:val="00923ED7"/>
    <w:rsid w:val="0092445C"/>
    <w:rsid w:val="009300E6"/>
    <w:rsid w:val="009319DE"/>
    <w:rsid w:val="00934224"/>
    <w:rsid w:val="00934443"/>
    <w:rsid w:val="0093534C"/>
    <w:rsid w:val="00935540"/>
    <w:rsid w:val="00936C1D"/>
    <w:rsid w:val="009401E4"/>
    <w:rsid w:val="00942420"/>
    <w:rsid w:val="009438B5"/>
    <w:rsid w:val="0094461F"/>
    <w:rsid w:val="00944B48"/>
    <w:rsid w:val="00946D1C"/>
    <w:rsid w:val="009639D4"/>
    <w:rsid w:val="009673FC"/>
    <w:rsid w:val="00967D11"/>
    <w:rsid w:val="00970955"/>
    <w:rsid w:val="00971749"/>
    <w:rsid w:val="00971D0C"/>
    <w:rsid w:val="00974ABE"/>
    <w:rsid w:val="009779D9"/>
    <w:rsid w:val="009826E4"/>
    <w:rsid w:val="009909DF"/>
    <w:rsid w:val="0099196C"/>
    <w:rsid w:val="0099197D"/>
    <w:rsid w:val="00991F34"/>
    <w:rsid w:val="00994CBB"/>
    <w:rsid w:val="009954CB"/>
    <w:rsid w:val="00995755"/>
    <w:rsid w:val="009A66D4"/>
    <w:rsid w:val="009B47B9"/>
    <w:rsid w:val="009C1083"/>
    <w:rsid w:val="009C1890"/>
    <w:rsid w:val="009C3499"/>
    <w:rsid w:val="009C375B"/>
    <w:rsid w:val="009C4723"/>
    <w:rsid w:val="009D6259"/>
    <w:rsid w:val="009E2446"/>
    <w:rsid w:val="009E3199"/>
    <w:rsid w:val="009E78E3"/>
    <w:rsid w:val="009F0996"/>
    <w:rsid w:val="009F261A"/>
    <w:rsid w:val="009F4E72"/>
    <w:rsid w:val="009F5C3C"/>
    <w:rsid w:val="009F68AD"/>
    <w:rsid w:val="00A004F0"/>
    <w:rsid w:val="00A0089C"/>
    <w:rsid w:val="00A01B68"/>
    <w:rsid w:val="00A1091A"/>
    <w:rsid w:val="00A13DA1"/>
    <w:rsid w:val="00A14DEB"/>
    <w:rsid w:val="00A227E7"/>
    <w:rsid w:val="00A23242"/>
    <w:rsid w:val="00A30994"/>
    <w:rsid w:val="00A31D26"/>
    <w:rsid w:val="00A333DF"/>
    <w:rsid w:val="00A34057"/>
    <w:rsid w:val="00A34706"/>
    <w:rsid w:val="00A358BE"/>
    <w:rsid w:val="00A366ED"/>
    <w:rsid w:val="00A4087E"/>
    <w:rsid w:val="00A442D7"/>
    <w:rsid w:val="00A47F79"/>
    <w:rsid w:val="00A511A1"/>
    <w:rsid w:val="00A52EBD"/>
    <w:rsid w:val="00A5469F"/>
    <w:rsid w:val="00A60F61"/>
    <w:rsid w:val="00A6506D"/>
    <w:rsid w:val="00A66569"/>
    <w:rsid w:val="00A7093F"/>
    <w:rsid w:val="00A76E5D"/>
    <w:rsid w:val="00A800F7"/>
    <w:rsid w:val="00A80669"/>
    <w:rsid w:val="00A818A6"/>
    <w:rsid w:val="00A83F11"/>
    <w:rsid w:val="00A86138"/>
    <w:rsid w:val="00A86F4E"/>
    <w:rsid w:val="00A92148"/>
    <w:rsid w:val="00A92165"/>
    <w:rsid w:val="00AA188D"/>
    <w:rsid w:val="00AA3322"/>
    <w:rsid w:val="00AA4FC3"/>
    <w:rsid w:val="00AA6D42"/>
    <w:rsid w:val="00AA7176"/>
    <w:rsid w:val="00AA73B6"/>
    <w:rsid w:val="00AB2618"/>
    <w:rsid w:val="00AB3608"/>
    <w:rsid w:val="00AB5978"/>
    <w:rsid w:val="00AB6894"/>
    <w:rsid w:val="00AC0259"/>
    <w:rsid w:val="00AC5726"/>
    <w:rsid w:val="00AC7F7D"/>
    <w:rsid w:val="00AD230F"/>
    <w:rsid w:val="00AD27AE"/>
    <w:rsid w:val="00AD2CF5"/>
    <w:rsid w:val="00AD6A30"/>
    <w:rsid w:val="00AE4AA9"/>
    <w:rsid w:val="00AE4F25"/>
    <w:rsid w:val="00AF00EA"/>
    <w:rsid w:val="00B0060F"/>
    <w:rsid w:val="00B03939"/>
    <w:rsid w:val="00B07607"/>
    <w:rsid w:val="00B11D76"/>
    <w:rsid w:val="00B12CFF"/>
    <w:rsid w:val="00B12F2E"/>
    <w:rsid w:val="00B137A7"/>
    <w:rsid w:val="00B13DC3"/>
    <w:rsid w:val="00B15375"/>
    <w:rsid w:val="00B163F1"/>
    <w:rsid w:val="00B170E0"/>
    <w:rsid w:val="00B175AA"/>
    <w:rsid w:val="00B17D95"/>
    <w:rsid w:val="00B2480C"/>
    <w:rsid w:val="00B3033C"/>
    <w:rsid w:val="00B31C12"/>
    <w:rsid w:val="00B32513"/>
    <w:rsid w:val="00B331A2"/>
    <w:rsid w:val="00B3509C"/>
    <w:rsid w:val="00B35C03"/>
    <w:rsid w:val="00B40B34"/>
    <w:rsid w:val="00B40E8C"/>
    <w:rsid w:val="00B41235"/>
    <w:rsid w:val="00B47034"/>
    <w:rsid w:val="00B47E06"/>
    <w:rsid w:val="00B50B0C"/>
    <w:rsid w:val="00B52654"/>
    <w:rsid w:val="00B52EA2"/>
    <w:rsid w:val="00B54EDA"/>
    <w:rsid w:val="00B55CBE"/>
    <w:rsid w:val="00B57902"/>
    <w:rsid w:val="00B62B24"/>
    <w:rsid w:val="00B634ED"/>
    <w:rsid w:val="00B641D2"/>
    <w:rsid w:val="00B66DA1"/>
    <w:rsid w:val="00B66DB1"/>
    <w:rsid w:val="00B7053B"/>
    <w:rsid w:val="00B732D1"/>
    <w:rsid w:val="00B73CB0"/>
    <w:rsid w:val="00B7575F"/>
    <w:rsid w:val="00B76433"/>
    <w:rsid w:val="00B816FB"/>
    <w:rsid w:val="00B81F45"/>
    <w:rsid w:val="00B820D3"/>
    <w:rsid w:val="00B8255E"/>
    <w:rsid w:val="00B84178"/>
    <w:rsid w:val="00B923C1"/>
    <w:rsid w:val="00B92D10"/>
    <w:rsid w:val="00B943B4"/>
    <w:rsid w:val="00B9569C"/>
    <w:rsid w:val="00B96F41"/>
    <w:rsid w:val="00BA1724"/>
    <w:rsid w:val="00BA1A63"/>
    <w:rsid w:val="00BA755A"/>
    <w:rsid w:val="00BB0529"/>
    <w:rsid w:val="00BB1A2F"/>
    <w:rsid w:val="00BB2E43"/>
    <w:rsid w:val="00BB31A4"/>
    <w:rsid w:val="00BB5F7D"/>
    <w:rsid w:val="00BB7C00"/>
    <w:rsid w:val="00BC1291"/>
    <w:rsid w:val="00BC467C"/>
    <w:rsid w:val="00BD191C"/>
    <w:rsid w:val="00BD58DE"/>
    <w:rsid w:val="00BD5CAD"/>
    <w:rsid w:val="00BD777E"/>
    <w:rsid w:val="00BE1C17"/>
    <w:rsid w:val="00BE3150"/>
    <w:rsid w:val="00BE35FD"/>
    <w:rsid w:val="00BE6576"/>
    <w:rsid w:val="00BE7B8B"/>
    <w:rsid w:val="00BE7E64"/>
    <w:rsid w:val="00BF11EB"/>
    <w:rsid w:val="00BF1B2F"/>
    <w:rsid w:val="00BF2754"/>
    <w:rsid w:val="00C01F2E"/>
    <w:rsid w:val="00C12935"/>
    <w:rsid w:val="00C14083"/>
    <w:rsid w:val="00C1755D"/>
    <w:rsid w:val="00C217A8"/>
    <w:rsid w:val="00C21D0B"/>
    <w:rsid w:val="00C21F16"/>
    <w:rsid w:val="00C25130"/>
    <w:rsid w:val="00C261B9"/>
    <w:rsid w:val="00C3029B"/>
    <w:rsid w:val="00C33861"/>
    <w:rsid w:val="00C35659"/>
    <w:rsid w:val="00C4007B"/>
    <w:rsid w:val="00C4225E"/>
    <w:rsid w:val="00C45B15"/>
    <w:rsid w:val="00C46E1D"/>
    <w:rsid w:val="00C50444"/>
    <w:rsid w:val="00C521E5"/>
    <w:rsid w:val="00C56640"/>
    <w:rsid w:val="00C57D9E"/>
    <w:rsid w:val="00C60934"/>
    <w:rsid w:val="00C617E9"/>
    <w:rsid w:val="00C635CF"/>
    <w:rsid w:val="00C67C99"/>
    <w:rsid w:val="00C7291C"/>
    <w:rsid w:val="00C72B74"/>
    <w:rsid w:val="00C72DEC"/>
    <w:rsid w:val="00C731DE"/>
    <w:rsid w:val="00C73C41"/>
    <w:rsid w:val="00C7438C"/>
    <w:rsid w:val="00C7744C"/>
    <w:rsid w:val="00C80876"/>
    <w:rsid w:val="00C81873"/>
    <w:rsid w:val="00C8417E"/>
    <w:rsid w:val="00C87D78"/>
    <w:rsid w:val="00C90823"/>
    <w:rsid w:val="00C91EA8"/>
    <w:rsid w:val="00CA4D71"/>
    <w:rsid w:val="00CA6C0F"/>
    <w:rsid w:val="00CB40CA"/>
    <w:rsid w:val="00CC0EDA"/>
    <w:rsid w:val="00CC2157"/>
    <w:rsid w:val="00CC2369"/>
    <w:rsid w:val="00CC642D"/>
    <w:rsid w:val="00CC6CF0"/>
    <w:rsid w:val="00CC6CFD"/>
    <w:rsid w:val="00CC712E"/>
    <w:rsid w:val="00CD04FF"/>
    <w:rsid w:val="00CD23A0"/>
    <w:rsid w:val="00CD5BC4"/>
    <w:rsid w:val="00CD5F4F"/>
    <w:rsid w:val="00CD6DCF"/>
    <w:rsid w:val="00CD7106"/>
    <w:rsid w:val="00CD7F6E"/>
    <w:rsid w:val="00CE300A"/>
    <w:rsid w:val="00CE4A63"/>
    <w:rsid w:val="00CE5BDF"/>
    <w:rsid w:val="00CE70D9"/>
    <w:rsid w:val="00CE7ABA"/>
    <w:rsid w:val="00CF0EA3"/>
    <w:rsid w:val="00CF14EE"/>
    <w:rsid w:val="00CF4230"/>
    <w:rsid w:val="00CF6208"/>
    <w:rsid w:val="00D02730"/>
    <w:rsid w:val="00D034B7"/>
    <w:rsid w:val="00D044F7"/>
    <w:rsid w:val="00D045CA"/>
    <w:rsid w:val="00D05C0E"/>
    <w:rsid w:val="00D11117"/>
    <w:rsid w:val="00D12F64"/>
    <w:rsid w:val="00D137EC"/>
    <w:rsid w:val="00D15616"/>
    <w:rsid w:val="00D15AA4"/>
    <w:rsid w:val="00D15AB8"/>
    <w:rsid w:val="00D175DC"/>
    <w:rsid w:val="00D17F1C"/>
    <w:rsid w:val="00D207DB"/>
    <w:rsid w:val="00D20B4B"/>
    <w:rsid w:val="00D23927"/>
    <w:rsid w:val="00D266C4"/>
    <w:rsid w:val="00D268E7"/>
    <w:rsid w:val="00D271D3"/>
    <w:rsid w:val="00D31D2A"/>
    <w:rsid w:val="00D37EAB"/>
    <w:rsid w:val="00D41127"/>
    <w:rsid w:val="00D41EBB"/>
    <w:rsid w:val="00D44537"/>
    <w:rsid w:val="00D44CB1"/>
    <w:rsid w:val="00D45126"/>
    <w:rsid w:val="00D54F06"/>
    <w:rsid w:val="00D5554C"/>
    <w:rsid w:val="00D61F80"/>
    <w:rsid w:val="00D663CA"/>
    <w:rsid w:val="00D674E8"/>
    <w:rsid w:val="00D73B0A"/>
    <w:rsid w:val="00D75233"/>
    <w:rsid w:val="00D82A56"/>
    <w:rsid w:val="00D82DAE"/>
    <w:rsid w:val="00D855F4"/>
    <w:rsid w:val="00D877DB"/>
    <w:rsid w:val="00D9081A"/>
    <w:rsid w:val="00D91F07"/>
    <w:rsid w:val="00D933EF"/>
    <w:rsid w:val="00D94920"/>
    <w:rsid w:val="00D96EE7"/>
    <w:rsid w:val="00DA1B9D"/>
    <w:rsid w:val="00DA45D8"/>
    <w:rsid w:val="00DA57CD"/>
    <w:rsid w:val="00DB191E"/>
    <w:rsid w:val="00DB3266"/>
    <w:rsid w:val="00DB4ABD"/>
    <w:rsid w:val="00DB4B68"/>
    <w:rsid w:val="00DC0572"/>
    <w:rsid w:val="00DC47AB"/>
    <w:rsid w:val="00DC5336"/>
    <w:rsid w:val="00DD242D"/>
    <w:rsid w:val="00DD25BC"/>
    <w:rsid w:val="00DD2DE8"/>
    <w:rsid w:val="00DD3B93"/>
    <w:rsid w:val="00DD54DF"/>
    <w:rsid w:val="00DE17A1"/>
    <w:rsid w:val="00DE1F5C"/>
    <w:rsid w:val="00DE28BA"/>
    <w:rsid w:val="00DF3F06"/>
    <w:rsid w:val="00DF430D"/>
    <w:rsid w:val="00E06DD9"/>
    <w:rsid w:val="00E11C35"/>
    <w:rsid w:val="00E16FC1"/>
    <w:rsid w:val="00E30785"/>
    <w:rsid w:val="00E324A7"/>
    <w:rsid w:val="00E34AE0"/>
    <w:rsid w:val="00E3581D"/>
    <w:rsid w:val="00E378A9"/>
    <w:rsid w:val="00E43E20"/>
    <w:rsid w:val="00E552A8"/>
    <w:rsid w:val="00E55601"/>
    <w:rsid w:val="00E70C42"/>
    <w:rsid w:val="00E71F94"/>
    <w:rsid w:val="00E7384F"/>
    <w:rsid w:val="00E7532C"/>
    <w:rsid w:val="00E76B7C"/>
    <w:rsid w:val="00E77A82"/>
    <w:rsid w:val="00E77C38"/>
    <w:rsid w:val="00E80BDD"/>
    <w:rsid w:val="00E80FB8"/>
    <w:rsid w:val="00E81675"/>
    <w:rsid w:val="00E83E7F"/>
    <w:rsid w:val="00E84EFF"/>
    <w:rsid w:val="00E850BC"/>
    <w:rsid w:val="00E85A54"/>
    <w:rsid w:val="00E86A30"/>
    <w:rsid w:val="00E87D2B"/>
    <w:rsid w:val="00E93E11"/>
    <w:rsid w:val="00E94844"/>
    <w:rsid w:val="00E9499F"/>
    <w:rsid w:val="00E96424"/>
    <w:rsid w:val="00E97FD1"/>
    <w:rsid w:val="00EA01C2"/>
    <w:rsid w:val="00EA14B1"/>
    <w:rsid w:val="00EA18B8"/>
    <w:rsid w:val="00EA216C"/>
    <w:rsid w:val="00EA3585"/>
    <w:rsid w:val="00EA36BA"/>
    <w:rsid w:val="00EA424F"/>
    <w:rsid w:val="00EA468B"/>
    <w:rsid w:val="00EA5AA7"/>
    <w:rsid w:val="00EA67E8"/>
    <w:rsid w:val="00EA6F27"/>
    <w:rsid w:val="00EB4832"/>
    <w:rsid w:val="00EB50CB"/>
    <w:rsid w:val="00EC0268"/>
    <w:rsid w:val="00EC2BAC"/>
    <w:rsid w:val="00EC622D"/>
    <w:rsid w:val="00EC70DD"/>
    <w:rsid w:val="00ED0181"/>
    <w:rsid w:val="00ED06D1"/>
    <w:rsid w:val="00EE15A1"/>
    <w:rsid w:val="00EE5FF3"/>
    <w:rsid w:val="00EF0BE7"/>
    <w:rsid w:val="00EF13A7"/>
    <w:rsid w:val="00EF1DF3"/>
    <w:rsid w:val="00EF446F"/>
    <w:rsid w:val="00EF4786"/>
    <w:rsid w:val="00EF4E61"/>
    <w:rsid w:val="00F03E2F"/>
    <w:rsid w:val="00F04A11"/>
    <w:rsid w:val="00F05438"/>
    <w:rsid w:val="00F11373"/>
    <w:rsid w:val="00F12913"/>
    <w:rsid w:val="00F14418"/>
    <w:rsid w:val="00F148B2"/>
    <w:rsid w:val="00F15F18"/>
    <w:rsid w:val="00F16C09"/>
    <w:rsid w:val="00F247BC"/>
    <w:rsid w:val="00F315AB"/>
    <w:rsid w:val="00F3226B"/>
    <w:rsid w:val="00F331AC"/>
    <w:rsid w:val="00F342C7"/>
    <w:rsid w:val="00F35C53"/>
    <w:rsid w:val="00F36627"/>
    <w:rsid w:val="00F417FD"/>
    <w:rsid w:val="00F45C25"/>
    <w:rsid w:val="00F4637E"/>
    <w:rsid w:val="00F46FF8"/>
    <w:rsid w:val="00F47A93"/>
    <w:rsid w:val="00F51502"/>
    <w:rsid w:val="00F55965"/>
    <w:rsid w:val="00F56FAE"/>
    <w:rsid w:val="00F57DBF"/>
    <w:rsid w:val="00F63084"/>
    <w:rsid w:val="00F6733D"/>
    <w:rsid w:val="00F720D6"/>
    <w:rsid w:val="00F75E07"/>
    <w:rsid w:val="00F77137"/>
    <w:rsid w:val="00F777C7"/>
    <w:rsid w:val="00F8132B"/>
    <w:rsid w:val="00F90E72"/>
    <w:rsid w:val="00F922BB"/>
    <w:rsid w:val="00F93B23"/>
    <w:rsid w:val="00F95E8E"/>
    <w:rsid w:val="00F96393"/>
    <w:rsid w:val="00F96FEC"/>
    <w:rsid w:val="00FA206A"/>
    <w:rsid w:val="00FA3979"/>
    <w:rsid w:val="00FA59D2"/>
    <w:rsid w:val="00FB1F52"/>
    <w:rsid w:val="00FB23DD"/>
    <w:rsid w:val="00FB37A9"/>
    <w:rsid w:val="00FB41D2"/>
    <w:rsid w:val="00FC07DB"/>
    <w:rsid w:val="00FC61E0"/>
    <w:rsid w:val="00FC7E58"/>
    <w:rsid w:val="00FD3DA7"/>
    <w:rsid w:val="00FD662A"/>
    <w:rsid w:val="00FE0312"/>
    <w:rsid w:val="00FE4B3F"/>
    <w:rsid w:val="00FE72DD"/>
    <w:rsid w:val="00FE788D"/>
    <w:rsid w:val="00FE7F31"/>
    <w:rsid w:val="00FF306C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6017A"/>
  <w15:docId w15:val="{92DF2969-5BB3-4C5A-AE78-CAF4582D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semiHidden="1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354896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AA188D"/>
    <w:rPr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A60F61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A333DF"/>
  </w:style>
  <w:style w:type="character" w:customStyle="1" w:styleId="BodyTextChar">
    <w:name w:val="Body Text Char"/>
    <w:basedOn w:val="DefaultParagraphFont"/>
    <w:link w:val="BodyText"/>
    <w:uiPriority w:val="2"/>
    <w:rsid w:val="00A333D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7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892DF8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AA188D"/>
    <w:rPr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FE4B3F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011074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A60F61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qFormat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011074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2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character" w:customStyle="1" w:styleId="EmphasisItalics">
    <w:name w:val="Emphasis Italics"/>
    <w:basedOn w:val="DefaultParagraphFont"/>
    <w:uiPriority w:val="2"/>
    <w:rsid w:val="00A86138"/>
    <w:rPr>
      <w:b/>
      <w:i/>
    </w:rPr>
  </w:style>
  <w:style w:type="paragraph" w:styleId="ListParagraph">
    <w:name w:val="List Paragraph"/>
    <w:basedOn w:val="Normal"/>
    <w:uiPriority w:val="34"/>
    <w:semiHidden/>
    <w:qFormat/>
    <w:rsid w:val="00A6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OTO%20General\Case%20note.dotm" TargetMode="External"/></Relationships>
</file>

<file path=word/theme/theme1.xml><?xml version="1.0" encoding="utf-8"?>
<a:theme xmlns:a="http://schemas.openxmlformats.org/drawingml/2006/main" name="Office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8AF4-2F9D-42A1-B22B-D2009011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note</Template>
  <TotalTime>16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Gifford</dc:creator>
  <cp:keywords/>
  <dc:description/>
  <cp:lastModifiedBy>Aimee Bryant</cp:lastModifiedBy>
  <cp:revision>6</cp:revision>
  <cp:lastPrinted>2018-11-06T01:56:00Z</cp:lastPrinted>
  <dcterms:created xsi:type="dcterms:W3CDTF">2018-11-06T01:49:00Z</dcterms:created>
  <dcterms:modified xsi:type="dcterms:W3CDTF">2019-02-10T22:49:00Z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2016-V2</vt:lpwstr>
  </property>
</Properties>
</file>