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B735AA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F506A2" w:rsidP="00F506A2">
            <w:pPr>
              <w:pStyle w:val="Title"/>
            </w:pPr>
            <w:r>
              <w:t>Right of review available to Work and Income beneficiary over advance payment to spouse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B735AA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Pr="009A61CE" w:rsidRDefault="00830A8D" w:rsidP="009A61CE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>Ombudsmen Act 1975</w:t>
            </w:r>
            <w:r w:rsidR="00537ED9">
              <w:t>, Social Security Act 1964</w:t>
            </w:r>
            <w:r w:rsidR="004F393F">
              <w:t xml:space="preserve"> 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4F393F">
              <w:t>Anan</w:t>
            </w:r>
            <w:r w:rsidR="0060106C">
              <w:t>d</w:t>
            </w:r>
            <w:r w:rsidR="004F393F">
              <w:t xml:space="preserve"> Satyanand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F506A2">
              <w:t>W40622</w:t>
            </w:r>
          </w:p>
          <w:p w:rsidR="00B841FB" w:rsidRPr="00F417FD" w:rsidRDefault="00830A8D" w:rsidP="00C211AA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C211AA">
              <w:t>1998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F506A2" w:rsidRPr="00172D43" w:rsidRDefault="00F506A2" w:rsidP="00172D43">
      <w:pPr>
        <w:pStyle w:val="BodyText"/>
        <w:rPr>
          <w:rFonts w:ascii="Times New Roman" w:hAnsi="Times New Roman"/>
          <w:i/>
          <w:color w:val="auto"/>
        </w:rPr>
      </w:pPr>
      <w:r w:rsidRPr="00172D43">
        <w:rPr>
          <w:i/>
        </w:rPr>
        <w:t>Wife of beneficiary granted advance on Invalid</w:t>
      </w:r>
      <w:r w:rsidR="00172D43">
        <w:rPr>
          <w:i/>
        </w:rPr>
        <w:t>’</w:t>
      </w:r>
      <w:r w:rsidRPr="00172D43">
        <w:rPr>
          <w:i/>
        </w:rPr>
        <w:t>s Benefit to pay power account without beneficiary</w:t>
      </w:r>
      <w:r w:rsidR="00172D43">
        <w:rPr>
          <w:i/>
        </w:rPr>
        <w:t>’</w:t>
      </w:r>
      <w:r w:rsidRPr="00172D43">
        <w:rPr>
          <w:i/>
        </w:rPr>
        <w:t>s knowledge or consent</w:t>
      </w:r>
      <w:r w:rsidR="00172D43">
        <w:rPr>
          <w:i/>
        </w:rPr>
        <w:t>—</w:t>
      </w:r>
      <w:r w:rsidRPr="00172D43">
        <w:rPr>
          <w:i/>
        </w:rPr>
        <w:t>beneficiary and wife later separated</w:t>
      </w:r>
      <w:r w:rsidR="00172D43">
        <w:rPr>
          <w:i/>
        </w:rPr>
        <w:t>—</w:t>
      </w:r>
      <w:r w:rsidRPr="00172D43">
        <w:rPr>
          <w:i/>
        </w:rPr>
        <w:t>advance recovered from beneficiary</w:t>
      </w:r>
      <w:r w:rsidR="00172D43">
        <w:rPr>
          <w:i/>
        </w:rPr>
        <w:t>’</w:t>
      </w:r>
      <w:r w:rsidRPr="00172D43">
        <w:rPr>
          <w:i/>
        </w:rPr>
        <w:t>s Invalid</w:t>
      </w:r>
      <w:r w:rsidR="00172D43">
        <w:rPr>
          <w:i/>
        </w:rPr>
        <w:t>’</w:t>
      </w:r>
      <w:r w:rsidRPr="00172D43">
        <w:rPr>
          <w:i/>
        </w:rPr>
        <w:t>s Benefit</w:t>
      </w:r>
      <w:r w:rsidR="00172D43">
        <w:rPr>
          <w:i/>
        </w:rPr>
        <w:t>—</w:t>
      </w:r>
      <w:r w:rsidRPr="00172D43">
        <w:rPr>
          <w:i/>
        </w:rPr>
        <w:t>beneficiary maintained Department had no authority to make advance</w:t>
      </w:r>
      <w:r w:rsidR="00172D43">
        <w:rPr>
          <w:i/>
        </w:rPr>
        <w:t>—</w:t>
      </w:r>
      <w:r w:rsidRPr="00172D43">
        <w:rPr>
          <w:i/>
        </w:rPr>
        <w:t>right of review available</w:t>
      </w:r>
      <w:r w:rsidR="00172D43">
        <w:rPr>
          <w:i/>
        </w:rPr>
        <w:t>—</w:t>
      </w:r>
      <w:r w:rsidRPr="00172D43">
        <w:rPr>
          <w:i/>
        </w:rPr>
        <w:t>further investigation precluded</w:t>
      </w:r>
      <w:r w:rsidR="00172D43">
        <w:rPr>
          <w:i/>
        </w:rPr>
        <w:t>—</w:t>
      </w:r>
      <w:r w:rsidRPr="00172D43">
        <w:rPr>
          <w:i/>
        </w:rPr>
        <w:t>Ombudsmen Act 1975, s 13(7)</w:t>
      </w:r>
      <w:r w:rsidR="00D506B2">
        <w:rPr>
          <w:i/>
        </w:rPr>
        <w:t>(1)</w:t>
      </w:r>
      <w:r w:rsidRPr="00172D43">
        <w:rPr>
          <w:i/>
        </w:rPr>
        <w:t>(a)</w:t>
      </w:r>
    </w:p>
    <w:p w:rsidR="00F506A2" w:rsidRDefault="00F506A2" w:rsidP="00172D43">
      <w:pPr>
        <w:pStyle w:val="BodyText"/>
      </w:pPr>
      <w:r>
        <w:t>The complainant had been in receipt of an Invalid</w:t>
      </w:r>
      <w:r w:rsidR="008904D3">
        <w:t>’</w:t>
      </w:r>
      <w:bookmarkStart w:id="1" w:name="_GoBack"/>
      <w:bookmarkEnd w:id="1"/>
      <w:r>
        <w:t>s Benefit (IB) since July 1979 due to blindness</w:t>
      </w:r>
      <w:r w:rsidR="00172D43">
        <w:t xml:space="preserve">. </w:t>
      </w:r>
      <w:r>
        <w:t>His wife had been included in the benefit from the date it had been granted until the date of their separation in November 1997</w:t>
      </w:r>
      <w:r w:rsidR="00172D43">
        <w:t xml:space="preserve">. </w:t>
      </w:r>
      <w:r>
        <w:t>In early November 1997, the wife, who had completed most of the paperwork associated with the benefit since the date it had been granted, applied for assistance to pay a power account as the power supply was about to be cut off</w:t>
      </w:r>
      <w:r w:rsidR="00172D43">
        <w:t xml:space="preserve">. </w:t>
      </w:r>
      <w:r>
        <w:t>Payment was approved and the amount released to the power company</w:t>
      </w:r>
      <w:r w:rsidR="00172D43">
        <w:t xml:space="preserve">. </w:t>
      </w:r>
      <w:r>
        <w:t>A letter was sent to the beneficiary confirming details of the grant and how it would be recovered.</w:t>
      </w:r>
    </w:p>
    <w:p w:rsidR="00F506A2" w:rsidRDefault="00F506A2" w:rsidP="00172D43">
      <w:pPr>
        <w:pStyle w:val="BodyText"/>
      </w:pPr>
      <w:r>
        <w:t>The complainant said he had neither been advised of nor consented to the amount of the power account being advanced against his IB</w:t>
      </w:r>
      <w:r w:rsidR="00172D43">
        <w:t xml:space="preserve">. </w:t>
      </w:r>
      <w:r>
        <w:t>He believed the money had been advanced without authority and should not have been recovered from his benefit</w:t>
      </w:r>
      <w:r w:rsidR="00172D43">
        <w:t xml:space="preserve">. </w:t>
      </w:r>
      <w:r>
        <w:t>He acknowledged that his wife had provided him with assistance completing forms which required his signature, but at no stage was she given authority to act on his behalf.</w:t>
      </w:r>
    </w:p>
    <w:p w:rsidR="00F506A2" w:rsidRDefault="00F506A2" w:rsidP="00172D43">
      <w:pPr>
        <w:pStyle w:val="BodyText"/>
      </w:pPr>
      <w:r>
        <w:t>In its report, the Department advised that although it was not usual practice to accept another person</w:t>
      </w:r>
      <w:r w:rsidR="00172D43">
        <w:t>’</w:t>
      </w:r>
      <w:r>
        <w:t>s signature on an application for assistance, there had been a long history of the complainant allowing his wife to sign application forms</w:t>
      </w:r>
      <w:r w:rsidR="00172D43">
        <w:t xml:space="preserve">. </w:t>
      </w:r>
      <w:r>
        <w:t xml:space="preserve">On this basis, the Department had no </w:t>
      </w:r>
      <w:r>
        <w:lastRenderedPageBreak/>
        <w:t>reason to believe the complainant objected to his wife attending to his benefit matters</w:t>
      </w:r>
      <w:r w:rsidR="00172D43">
        <w:t xml:space="preserve">. </w:t>
      </w:r>
      <w:r>
        <w:t xml:space="preserve">In addition, the Department said </w:t>
      </w:r>
      <w:r w:rsidR="00BC0BAD">
        <w:t>they had</w:t>
      </w:r>
      <w:r>
        <w:t xml:space="preserve"> the ability to recover advance payments of benefit from either party</w:t>
      </w:r>
      <w:r w:rsidR="00172D43">
        <w:t xml:space="preserve">. </w:t>
      </w:r>
      <w:r>
        <w:t>Although the benefit was apportioned between husband and wife, there was only one benefit</w:t>
      </w:r>
      <w:r w:rsidR="00172D43">
        <w:t xml:space="preserve">. </w:t>
      </w:r>
      <w:r>
        <w:t>The Department explained that it had approached the power company to see what the outcome would be if it recovered the money paid to meet the power account</w:t>
      </w:r>
      <w:r w:rsidR="00172D43">
        <w:t xml:space="preserve">. </w:t>
      </w:r>
      <w:r>
        <w:t xml:space="preserve">The company was prepared to repay the money to </w:t>
      </w:r>
      <w:r w:rsidR="00BC0BAD">
        <w:t>the Department</w:t>
      </w:r>
      <w:r>
        <w:t>, but would then look to the complainant for payment of the account</w:t>
      </w:r>
      <w:r w:rsidR="00172D43">
        <w:t xml:space="preserve">. </w:t>
      </w:r>
      <w:r>
        <w:t>The Department felt it had acted in good faith in advancing the monies for the power account and also considered recovery from the complainant</w:t>
      </w:r>
      <w:r w:rsidR="00172D43">
        <w:t>’</w:t>
      </w:r>
      <w:r>
        <w:t>s benefit was in order</w:t>
      </w:r>
      <w:r w:rsidR="00172D43">
        <w:t xml:space="preserve">. </w:t>
      </w:r>
      <w:r>
        <w:t xml:space="preserve">The Department pointed out that the complainant could have sought a review of the decision to recover the advance from a Benefit Review Committee. </w:t>
      </w:r>
    </w:p>
    <w:p w:rsidR="00F506A2" w:rsidRDefault="00F506A2" w:rsidP="00172D43">
      <w:pPr>
        <w:pStyle w:val="BodyText"/>
      </w:pPr>
      <w:r>
        <w:t>Given that the complainant had a formal right of review to a Benefit Review Committee which, if unsuccessful, gave rise to a right of appeal to the Social Security Appeal Authority, further investigation was precluded pursuant to s</w:t>
      </w:r>
      <w:r w:rsidR="00C211AA">
        <w:t>ection</w:t>
      </w:r>
      <w:r>
        <w:t xml:space="preserve"> 13(7)(a) of the Ombudsmen Act 1975.</w:t>
      </w:r>
    </w:p>
    <w:p w:rsidR="00172D43" w:rsidRPr="00172D43" w:rsidRDefault="00172D43" w:rsidP="00172D43">
      <w:pPr>
        <w:pStyle w:val="BodyText"/>
        <w:rPr>
          <w:i/>
          <w:iCs/>
        </w:rPr>
      </w:pPr>
      <w:r w:rsidRPr="00172D43">
        <w:rPr>
          <w:i/>
          <w:iCs/>
        </w:rPr>
        <w:t xml:space="preserve">This case note is published under the authority of the </w:t>
      </w:r>
      <w:hyperlink r:id="rId8" w:history="1">
        <w:r w:rsidRPr="00172D43">
          <w:rPr>
            <w:rStyle w:val="Hyperlink"/>
            <w:i/>
            <w:iCs/>
          </w:rPr>
          <w:t>Ombudsmen Rules 1989</w:t>
        </w:r>
      </w:hyperlink>
      <w:r w:rsidRPr="00172D43">
        <w:rPr>
          <w:i/>
          <w:iCs/>
        </w:rPr>
        <w:t>. It sets out an Ombudsman</w:t>
      </w:r>
      <w:r>
        <w:rPr>
          <w:i/>
          <w:iCs/>
        </w:rPr>
        <w:t>’</w:t>
      </w:r>
      <w:r w:rsidRPr="00172D43">
        <w:rPr>
          <w:i/>
          <w:iCs/>
        </w:rPr>
        <w:t>s view on the facts of a particular case. It should not be taken as establishing any legal precedent that would bind an Ombudsman in future.</w:t>
      </w:r>
    </w:p>
    <w:p w:rsidR="00172D43" w:rsidRPr="00172D43" w:rsidRDefault="00172D43" w:rsidP="00F506A2">
      <w:pPr>
        <w:pStyle w:val="BodyText"/>
        <w:rPr>
          <w:i/>
        </w:rPr>
      </w:pPr>
    </w:p>
    <w:p w:rsidR="00172D43" w:rsidRPr="00DD3808" w:rsidRDefault="00172D43" w:rsidP="00F506A2">
      <w:pPr>
        <w:pStyle w:val="BodyText"/>
        <w:rPr>
          <w:i/>
          <w:lang w:eastAsia="en-NZ"/>
        </w:rPr>
      </w:pPr>
    </w:p>
    <w:sectPr w:rsidR="00172D43" w:rsidRPr="00DD3808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AA" w:rsidRDefault="00B735AA">
      <w:pPr>
        <w:spacing w:after="0" w:line="240" w:lineRule="auto"/>
      </w:pPr>
      <w:r>
        <w:separator/>
      </w:r>
    </w:p>
  </w:endnote>
  <w:endnote w:type="continuationSeparator" w:id="0">
    <w:p w:rsidR="00B735AA" w:rsidRDefault="00B7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B735AA" w:rsidP="00B841FB">
    <w:pPr>
      <w:pStyle w:val="Footerline"/>
    </w:pPr>
  </w:p>
  <w:p w:rsidR="00F200AB" w:rsidRPr="0059155D" w:rsidRDefault="00B735AA" w:rsidP="00B841FB">
    <w:pPr>
      <w:pStyle w:val="Footerline"/>
    </w:pPr>
  </w:p>
  <w:p w:rsidR="00F200AB" w:rsidRPr="005533D8" w:rsidRDefault="00BC0BAD" w:rsidP="00B841FB">
    <w:pPr>
      <w:pStyle w:val="Footer"/>
    </w:pPr>
    <w:fldSimple w:instr=" DOCVARIABLE  dvShortText ">
      <w:r w:rsidR="00D506B2">
        <w:t>Case note W40622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8904D3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B735AA" w:rsidP="00B841FB">
    <w:pPr>
      <w:pStyle w:val="Footerline"/>
    </w:pPr>
  </w:p>
  <w:p w:rsidR="00F200AB" w:rsidRPr="0059155D" w:rsidRDefault="00B735AA" w:rsidP="00B841FB">
    <w:pPr>
      <w:pStyle w:val="Footerline"/>
    </w:pPr>
  </w:p>
  <w:p w:rsidR="00F200AB" w:rsidRPr="005533D8" w:rsidRDefault="00BC0BAD" w:rsidP="00B841FB">
    <w:pPr>
      <w:pStyle w:val="Footer"/>
    </w:pPr>
    <w:fldSimple w:instr=" DOCVARIABLE  dvShortText ">
      <w:r w:rsidR="00D506B2">
        <w:t>Case note W40622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B735AA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AA" w:rsidRDefault="00B735AA">
      <w:pPr>
        <w:spacing w:after="0" w:line="240" w:lineRule="auto"/>
      </w:pPr>
      <w:r>
        <w:separator/>
      </w:r>
    </w:p>
  </w:footnote>
  <w:footnote w:type="continuationSeparator" w:id="0">
    <w:p w:rsidR="00B735AA" w:rsidRDefault="00B7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B735AA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W40622 |"/>
    <w:docVar w:name="dvShortTextFrm" w:val="Case note W40622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152A27"/>
    <w:rsid w:val="00172D43"/>
    <w:rsid w:val="00175E33"/>
    <w:rsid w:val="001C1C8F"/>
    <w:rsid w:val="001C2D91"/>
    <w:rsid w:val="00212827"/>
    <w:rsid w:val="00343B77"/>
    <w:rsid w:val="00403044"/>
    <w:rsid w:val="004275BC"/>
    <w:rsid w:val="00485BB3"/>
    <w:rsid w:val="004F393F"/>
    <w:rsid w:val="00502D89"/>
    <w:rsid w:val="00537ED9"/>
    <w:rsid w:val="00562870"/>
    <w:rsid w:val="0060106C"/>
    <w:rsid w:val="00665FBB"/>
    <w:rsid w:val="006F57EC"/>
    <w:rsid w:val="007D336D"/>
    <w:rsid w:val="007E531C"/>
    <w:rsid w:val="00830A8D"/>
    <w:rsid w:val="008904D3"/>
    <w:rsid w:val="008A6715"/>
    <w:rsid w:val="009A61CE"/>
    <w:rsid w:val="00A85538"/>
    <w:rsid w:val="00B735AA"/>
    <w:rsid w:val="00BC0BAD"/>
    <w:rsid w:val="00C211AA"/>
    <w:rsid w:val="00D506B2"/>
    <w:rsid w:val="00DD3808"/>
    <w:rsid w:val="00DE48AC"/>
    <w:rsid w:val="00E03087"/>
    <w:rsid w:val="00E11A0D"/>
    <w:rsid w:val="00E9396C"/>
    <w:rsid w:val="00EB186F"/>
    <w:rsid w:val="00EF7876"/>
    <w:rsid w:val="00F15F51"/>
    <w:rsid w:val="00F5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B5C3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B375-EB0C-4B10-9F36-BF7D223D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7</cp:revision>
  <cp:lastPrinted>2017-06-28T00:53:00Z</cp:lastPrinted>
  <dcterms:created xsi:type="dcterms:W3CDTF">2018-05-13T22:47:00Z</dcterms:created>
  <dcterms:modified xsi:type="dcterms:W3CDTF">2019-02-07T02:44:00Z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