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C81EEB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D14FC6" w:rsidP="004A6E84">
            <w:pPr>
              <w:pStyle w:val="Title"/>
            </w:pPr>
            <w:r>
              <w:t xml:space="preserve">Request for </w:t>
            </w:r>
            <w:r w:rsidR="006C093E">
              <w:t>company’s annual report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C81EEB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4A6E84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6C093E">
              <w:t>Local Government Official Information and Meetings Act 1987</w:t>
            </w:r>
            <w:r w:rsidR="00231B34">
              <w:t>, s</w:t>
            </w:r>
            <w:r w:rsidR="00D15949">
              <w:t xml:space="preserve"> </w:t>
            </w:r>
            <w:r w:rsidR="006C093E">
              <w:t>7(2)(b)(ii)</w:t>
            </w:r>
          </w:p>
          <w:p w:rsidR="00D14FC6" w:rsidRPr="009A61CE" w:rsidRDefault="00D14FC6" w:rsidP="00D14FC6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 xml:space="preserve">                                  </w:t>
            </w:r>
            <w:r w:rsidR="006C093E">
              <w:t>Hutt City Council</w:t>
            </w:r>
          </w:p>
          <w:p w:rsidR="00D14FC6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6C093E">
              <w:t>David McGee</w:t>
            </w:r>
          </w:p>
          <w:p w:rsidR="00056139" w:rsidRDefault="00D14FC6" w:rsidP="00056139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6C093E">
              <w:t>176901</w:t>
            </w:r>
          </w:p>
          <w:p w:rsidR="00B841FB" w:rsidRPr="00F417FD" w:rsidRDefault="00D14FC6" w:rsidP="004A6E84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6C093E">
              <w:t>December 2008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6C093E" w:rsidRPr="006C093E" w:rsidRDefault="006C093E" w:rsidP="006C093E">
      <w:pPr>
        <w:pStyle w:val="BodyText"/>
        <w:rPr>
          <w:i/>
        </w:rPr>
      </w:pPr>
      <w:r w:rsidRPr="006C093E">
        <w:rPr>
          <w:i/>
        </w:rPr>
        <w:t>Releasing cost of sales, expenses and revenue would enable competitors to determine the underlying cost of the company’s products and undercut them thereby prejudicing their commercial position—s 7(2)(b)(ii) applie</w:t>
      </w:r>
      <w:r w:rsidR="00C81EEB">
        <w:rPr>
          <w:i/>
        </w:rPr>
        <w:t>s</w:t>
      </w:r>
    </w:p>
    <w:p w:rsidR="006C093E" w:rsidRDefault="006C093E" w:rsidP="006C093E">
      <w:pPr>
        <w:pStyle w:val="BodyText"/>
      </w:pPr>
      <w:r>
        <w:t>Hutt City Council refused to disclose a company’s annual report on the basis that it would be likely unreasonably to prejudice the company’s commercial position (section 7(2)(b)(ii)). The council held the report because it was a minority shareholder in the company. The requester complained to the Ombudsman.</w:t>
      </w:r>
    </w:p>
    <w:p w:rsidR="006C093E" w:rsidRDefault="006C093E" w:rsidP="006C093E">
      <w:pPr>
        <w:pStyle w:val="BodyText"/>
      </w:pPr>
      <w:r>
        <w:t xml:space="preserve">During the Ombudsman’s investigation, the Council accepted that parts of the report </w:t>
      </w:r>
      <w:proofErr w:type="gramStart"/>
      <w:r>
        <w:t>could be disclosed</w:t>
      </w:r>
      <w:proofErr w:type="gramEnd"/>
      <w:r>
        <w:t xml:space="preserve"> without prejudice, for example, the contents page, the company directory, the notes to the financial statements, and the auditor’s report. </w:t>
      </w:r>
    </w:p>
    <w:p w:rsidR="006C093E" w:rsidRDefault="006C093E" w:rsidP="006C093E">
      <w:pPr>
        <w:pStyle w:val="BodyText"/>
      </w:pPr>
      <w:r>
        <w:t>The Ombudsman concluded the remaining information was properly withheld under section 7(2</w:t>
      </w:r>
      <w:proofErr w:type="gramStart"/>
      <w:r>
        <w:t>)(</w:t>
      </w:r>
      <w:proofErr w:type="gramEnd"/>
      <w:r>
        <w:t xml:space="preserve">b)(ii). While the Companies Act 1993 requires that a company’s annual report </w:t>
      </w:r>
      <w:proofErr w:type="gramStart"/>
      <w:r>
        <w:t>must be made</w:t>
      </w:r>
      <w:proofErr w:type="gramEnd"/>
      <w:r>
        <w:t xml:space="preserve"> available to its shareholders, it does not require that it be made publicly available. </w:t>
      </w:r>
    </w:p>
    <w:p w:rsidR="006C093E" w:rsidRDefault="006C093E" w:rsidP="006C093E">
      <w:pPr>
        <w:pStyle w:val="BodyText"/>
      </w:pPr>
      <w:r>
        <w:t xml:space="preserve">The company </w:t>
      </w:r>
      <w:proofErr w:type="gramStart"/>
      <w:r>
        <w:t>was established</w:t>
      </w:r>
      <w:proofErr w:type="gramEnd"/>
      <w:r>
        <w:t xml:space="preserve"> to deploy fast, open-access broadband. It </w:t>
      </w:r>
      <w:proofErr w:type="gramStart"/>
      <w:r>
        <w:t>was described</w:t>
      </w:r>
      <w:proofErr w:type="gramEnd"/>
      <w:r>
        <w:t xml:space="preserve"> at the time as a fledgling company with limited capital operating in a very competitive market. The annual report contained detailed financial information about the company’s sales, expenses and revenue. </w:t>
      </w:r>
    </w:p>
    <w:p w:rsidR="006C093E" w:rsidRDefault="006C093E" w:rsidP="006C093E">
      <w:pPr>
        <w:pStyle w:val="BodyText"/>
      </w:pPr>
      <w:r>
        <w:t xml:space="preserve">Disclosure of this information would enable the company’s direct competitors, who were much larger telecommunications companies, to price their own competing products at a level that </w:t>
      </w:r>
      <w:r>
        <w:lastRenderedPageBreak/>
        <w:t>the company would find hard to sustain financially and thus attempt to force it out of business. This would be likely unreasonably to prejudice its commercial position.</w:t>
      </w:r>
    </w:p>
    <w:p w:rsidR="006C093E" w:rsidRPr="00572534" w:rsidRDefault="006C093E" w:rsidP="00572534">
      <w:pPr>
        <w:pStyle w:val="BodyText"/>
        <w:rPr>
          <w:i/>
        </w:rPr>
      </w:pPr>
      <w:r w:rsidRPr="00572534">
        <w:rPr>
          <w:i/>
        </w:rPr>
        <w:t xml:space="preserve">This case note </w:t>
      </w:r>
      <w:proofErr w:type="gramStart"/>
      <w:r w:rsidRPr="00572534">
        <w:rPr>
          <w:i/>
        </w:rPr>
        <w:t>is published</w:t>
      </w:r>
      <w:proofErr w:type="gramEnd"/>
      <w:r w:rsidRPr="00572534">
        <w:rPr>
          <w:i/>
        </w:rPr>
        <w:t xml:space="preserve"> under the authority of the </w:t>
      </w:r>
      <w:hyperlink r:id="rId8" w:history="1">
        <w:r w:rsidRPr="00572534">
          <w:rPr>
            <w:rStyle w:val="Hyperlink"/>
            <w:i/>
            <w:iCs/>
          </w:rPr>
          <w:t>Ombudsmen Rules 1989</w:t>
        </w:r>
      </w:hyperlink>
      <w:r w:rsidRPr="00572534">
        <w:rPr>
          <w:i/>
        </w:rPr>
        <w:t>. It sets out an Ombudsman’s view on the facts of a part</w:t>
      </w:r>
      <w:bookmarkStart w:id="1" w:name="_GoBack"/>
      <w:bookmarkEnd w:id="1"/>
      <w:r w:rsidRPr="00572534">
        <w:rPr>
          <w:i/>
        </w:rPr>
        <w:t xml:space="preserve">icular case. It </w:t>
      </w:r>
      <w:proofErr w:type="gramStart"/>
      <w:r w:rsidRPr="00572534">
        <w:rPr>
          <w:i/>
        </w:rPr>
        <w:t>should not be taken</w:t>
      </w:r>
      <w:proofErr w:type="gramEnd"/>
      <w:r w:rsidRPr="00572534">
        <w:rPr>
          <w:i/>
        </w:rPr>
        <w:t xml:space="preserve"> as establishing any legal precedent that would bind an Ombudsman in future.</w:t>
      </w:r>
    </w:p>
    <w:p w:rsidR="006C093E" w:rsidRDefault="006C093E" w:rsidP="006C093E">
      <w:pPr>
        <w:pStyle w:val="BodyText"/>
        <w:rPr>
          <w:lang w:eastAsia="en-NZ"/>
        </w:rPr>
      </w:pPr>
    </w:p>
    <w:p w:rsidR="006C093E" w:rsidRDefault="006C093E" w:rsidP="006C093E">
      <w:pPr>
        <w:pStyle w:val="BodyText"/>
      </w:pPr>
    </w:p>
    <w:p w:rsidR="006C093E" w:rsidRDefault="006C093E" w:rsidP="006C093E">
      <w:pPr>
        <w:pStyle w:val="BodyText"/>
      </w:pPr>
    </w:p>
    <w:p w:rsidR="006C093E" w:rsidRDefault="006C093E" w:rsidP="006C093E">
      <w:pPr>
        <w:pStyle w:val="BodyText"/>
      </w:pPr>
    </w:p>
    <w:p w:rsidR="006C093E" w:rsidRDefault="006C093E" w:rsidP="006C093E">
      <w:pPr>
        <w:pStyle w:val="BodyText"/>
      </w:pPr>
    </w:p>
    <w:p w:rsidR="006C093E" w:rsidRDefault="006C093E" w:rsidP="006C093E">
      <w:pPr>
        <w:pStyle w:val="BodyText"/>
      </w:pPr>
    </w:p>
    <w:p w:rsidR="006C093E" w:rsidRDefault="006C093E" w:rsidP="006C093E">
      <w:pPr>
        <w:pStyle w:val="BodyText"/>
        <w:rPr>
          <w:lang w:eastAsia="en-NZ"/>
        </w:rPr>
      </w:pPr>
    </w:p>
    <w:sectPr w:rsidR="006C093E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C81EEB" w:rsidP="00B841FB">
    <w:pPr>
      <w:pStyle w:val="Footerline"/>
    </w:pPr>
  </w:p>
  <w:p w:rsidR="00F200AB" w:rsidRPr="0059155D" w:rsidRDefault="00C81EEB" w:rsidP="00B841FB">
    <w:pPr>
      <w:pStyle w:val="Footerline"/>
    </w:pPr>
  </w:p>
  <w:p w:rsidR="00F200AB" w:rsidRPr="005533D8" w:rsidRDefault="00572534" w:rsidP="00B841FB">
    <w:pPr>
      <w:pStyle w:val="Footer"/>
    </w:pPr>
    <w:fldSimple w:instr=" DOCVARIABLE  dvShortText ">
      <w:r w:rsidR="008543D9">
        <w:t>Case note 176901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C81EEB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C81EEB" w:rsidP="00B841FB">
    <w:pPr>
      <w:pStyle w:val="Footerline"/>
    </w:pPr>
  </w:p>
  <w:p w:rsidR="00F200AB" w:rsidRPr="0059155D" w:rsidRDefault="00C81EEB" w:rsidP="00B841FB">
    <w:pPr>
      <w:pStyle w:val="Footerline"/>
    </w:pPr>
  </w:p>
  <w:p w:rsidR="00F200AB" w:rsidRPr="005533D8" w:rsidRDefault="00572534" w:rsidP="00B841FB">
    <w:pPr>
      <w:pStyle w:val="Footer"/>
    </w:pPr>
    <w:fldSimple w:instr=" DOCVARIABLE  dvShortText ">
      <w:r w:rsidR="008543D9">
        <w:t>Case note 176901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C81EEB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C81EEB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NZ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176901 |"/>
    <w:docVar w:name="dvShortTextFrm" w:val="Case note 176901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056139"/>
    <w:rsid w:val="000B2218"/>
    <w:rsid w:val="00152A27"/>
    <w:rsid w:val="00175E33"/>
    <w:rsid w:val="001966D8"/>
    <w:rsid w:val="001C1C8F"/>
    <w:rsid w:val="001C2D91"/>
    <w:rsid w:val="00212827"/>
    <w:rsid w:val="00231B34"/>
    <w:rsid w:val="00311F55"/>
    <w:rsid w:val="00343B77"/>
    <w:rsid w:val="00366D29"/>
    <w:rsid w:val="00403044"/>
    <w:rsid w:val="004275BC"/>
    <w:rsid w:val="00485BB3"/>
    <w:rsid w:val="004A6E84"/>
    <w:rsid w:val="004F393F"/>
    <w:rsid w:val="00502D89"/>
    <w:rsid w:val="00562870"/>
    <w:rsid w:val="00572534"/>
    <w:rsid w:val="0060106C"/>
    <w:rsid w:val="00665FBB"/>
    <w:rsid w:val="006C093E"/>
    <w:rsid w:val="006F57EC"/>
    <w:rsid w:val="00742C3F"/>
    <w:rsid w:val="007D336D"/>
    <w:rsid w:val="007E531C"/>
    <w:rsid w:val="00830A8D"/>
    <w:rsid w:val="008543D9"/>
    <w:rsid w:val="0089058E"/>
    <w:rsid w:val="008A6715"/>
    <w:rsid w:val="00951DAD"/>
    <w:rsid w:val="009A61CE"/>
    <w:rsid w:val="00A85538"/>
    <w:rsid w:val="00C81EEB"/>
    <w:rsid w:val="00D14FC6"/>
    <w:rsid w:val="00D15949"/>
    <w:rsid w:val="00D85451"/>
    <w:rsid w:val="00DD3808"/>
    <w:rsid w:val="00DE48AC"/>
    <w:rsid w:val="00E03087"/>
    <w:rsid w:val="00E11A0D"/>
    <w:rsid w:val="00E14F7A"/>
    <w:rsid w:val="00E9396C"/>
    <w:rsid w:val="00EB186F"/>
    <w:rsid w:val="00EF7876"/>
    <w:rsid w:val="00F15F51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31E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2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6C093E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FCFF-DCEE-4B7B-AEED-391CACC2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Leanne Stewart</cp:lastModifiedBy>
  <cp:revision>6</cp:revision>
  <cp:lastPrinted>2017-06-28T00:53:00Z</cp:lastPrinted>
  <dcterms:created xsi:type="dcterms:W3CDTF">2018-10-11T02:40:00Z</dcterms:created>
  <dcterms:modified xsi:type="dcterms:W3CDTF">2018-11-02T02:31:00Z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