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BB5019" w:rsidP="00B841FB">
      <w:pPr>
        <w:pStyle w:val="BodyText1"/>
      </w:pPr>
      <w:bookmarkStart w:id="0" w:name="TemplateGuide"/>
      <w:bookmarkStart w:id="1" w:name="_GoBack"/>
      <w:bookmarkEnd w:id="0"/>
      <w:bookmarkEnd w:id="1"/>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755510">
            <w:pPr>
              <w:pStyle w:val="Title"/>
            </w:pPr>
            <w:r>
              <w:t>Request for</w:t>
            </w:r>
            <w:r w:rsidR="00755510">
              <w:t xml:space="preserve"> electronic copy of proposed electorate boundaries</w:t>
            </w:r>
            <w:r>
              <w:t xml:space="preserve"> </w:t>
            </w:r>
          </w:p>
        </w:tc>
      </w:tr>
      <w:tr w:rsidR="00051017" w:rsidTr="004F393F">
        <w:trPr>
          <w:trHeight w:hRule="exact" w:val="340"/>
        </w:trPr>
        <w:tc>
          <w:tcPr>
            <w:tcW w:w="9441" w:type="dxa"/>
            <w:shd w:val="clear" w:color="auto" w:fill="auto"/>
            <w:vAlign w:val="bottom"/>
          </w:tcPr>
          <w:p w:rsidR="00B841FB" w:rsidRDefault="00BB5019"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755510">
              <w:t>18(d)</w:t>
            </w:r>
          </w:p>
          <w:p w:rsidR="00D14FC6" w:rsidRPr="009A61CE" w:rsidRDefault="00D14FC6" w:rsidP="00D14FC6">
            <w:pPr>
              <w:pStyle w:val="Heading1-Subnonboldtext"/>
              <w:rPr>
                <w:b/>
              </w:rPr>
            </w:pPr>
            <w:r>
              <w:rPr>
                <w:rStyle w:val="Heading1-Sub"/>
              </w:rPr>
              <w:t>Agency</w:t>
            </w:r>
            <w:r>
              <w:t xml:space="preserve">                                  </w:t>
            </w:r>
            <w:r w:rsidR="00755510">
              <w:t>Ministry of Justice</w:t>
            </w:r>
          </w:p>
          <w:p w:rsidR="00D14FC6" w:rsidRDefault="00D14FC6" w:rsidP="00D14FC6">
            <w:pPr>
              <w:pStyle w:val="Heading1-Subnonboldtext"/>
            </w:pPr>
            <w:r w:rsidRPr="00F417FD">
              <w:rPr>
                <w:rStyle w:val="Heading1-Sub"/>
              </w:rPr>
              <w:t>Ombudsman</w:t>
            </w:r>
            <w:r>
              <w:tab/>
            </w:r>
            <w:r w:rsidR="00755510">
              <w:t>John Belgrave</w:t>
            </w:r>
          </w:p>
          <w:p w:rsidR="00056139" w:rsidRDefault="00D14FC6" w:rsidP="00056139">
            <w:pPr>
              <w:pStyle w:val="Heading1-Subnonboldtext"/>
            </w:pPr>
            <w:r w:rsidRPr="00F417FD">
              <w:rPr>
                <w:rStyle w:val="Heading1-Sub"/>
              </w:rPr>
              <w:t>Case number(s)</w:t>
            </w:r>
            <w:r>
              <w:tab/>
            </w:r>
            <w:r w:rsidR="00755510">
              <w:t>175682</w:t>
            </w:r>
          </w:p>
          <w:p w:rsidR="00B841FB" w:rsidRPr="00F417FD" w:rsidRDefault="00D14FC6" w:rsidP="004A6E84">
            <w:pPr>
              <w:pStyle w:val="Heading1-Subnonboldtext"/>
            </w:pPr>
            <w:r w:rsidRPr="00F417FD">
              <w:rPr>
                <w:rStyle w:val="Heading1-Sub"/>
              </w:rPr>
              <w:t>Date</w:t>
            </w:r>
            <w:r>
              <w:tab/>
            </w:r>
            <w:r w:rsidR="00755510">
              <w:t>October 2007</w:t>
            </w:r>
          </w:p>
        </w:tc>
      </w:tr>
    </w:tbl>
    <w:p w:rsidR="00DD3808" w:rsidRDefault="00DD3808" w:rsidP="009A61CE">
      <w:pPr>
        <w:pStyle w:val="BodyText"/>
        <w:rPr>
          <w:lang w:eastAsia="en-NZ"/>
        </w:rPr>
      </w:pPr>
    </w:p>
    <w:p w:rsidR="0022441E" w:rsidRPr="00F55A35" w:rsidRDefault="0022441E" w:rsidP="00F55A35">
      <w:pPr>
        <w:pStyle w:val="BodyText"/>
        <w:rPr>
          <w:i/>
        </w:rPr>
      </w:pPr>
      <w:r w:rsidRPr="00F55A35">
        <w:rPr>
          <w:i/>
        </w:rPr>
        <w:t>Information was not publicly available in the form requested</w:t>
      </w:r>
      <w:r w:rsidR="00F55A35" w:rsidRPr="00F55A35">
        <w:rPr>
          <w:i/>
        </w:rPr>
        <w:t>—</w:t>
      </w:r>
      <w:r w:rsidRPr="00F55A35">
        <w:rPr>
          <w:i/>
        </w:rPr>
        <w:t>s 18(d) did not apply</w:t>
      </w:r>
    </w:p>
    <w:p w:rsidR="00755510" w:rsidRDefault="00755510" w:rsidP="00F55A35">
      <w:pPr>
        <w:pStyle w:val="BodyText"/>
      </w:pPr>
      <w:r>
        <w:t xml:space="preserve">The Ministry of Justice refused to provide an electronic copy of proposed electorate boundaries. It relied, in part, on section 18(d) because the information was available in hard copy. </w:t>
      </w:r>
    </w:p>
    <w:p w:rsidR="00755510" w:rsidRDefault="00755510" w:rsidP="00F55A35">
      <w:pPr>
        <w:pStyle w:val="BodyText"/>
      </w:pPr>
      <w:r>
        <w:t xml:space="preserve">The Chief Ombudsman formed the opinion that the fact that the information was available in hard copy did not mean that the request for an </w:t>
      </w:r>
      <w:r>
        <w:rPr>
          <w:rStyle w:val="Emphasis"/>
        </w:rPr>
        <w:t xml:space="preserve">electronic </w:t>
      </w:r>
      <w:r>
        <w:t xml:space="preserve">copy could be refused on the basis that it was already publicly available. </w:t>
      </w:r>
    </w:p>
    <w:p w:rsidR="00755510" w:rsidRDefault="00755510" w:rsidP="00F55A35">
      <w:pPr>
        <w:pStyle w:val="BodyText"/>
      </w:pPr>
      <w:r>
        <w:t>The requester was entitled to seek information in a particular form. To claim that the information was available in a different form and for that reason could be refused under section 18(d) was to ignore section 16(2) of the OIA (which generally requires agencies to make information available in the way preferred by the requester).</w:t>
      </w:r>
    </w:p>
    <w:p w:rsidR="00F55A35" w:rsidRDefault="00F55A35" w:rsidP="00F55A35">
      <w:pPr>
        <w:pStyle w:val="BodyText2"/>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755510" w:rsidRDefault="00755510" w:rsidP="00F55A35">
      <w:pPr>
        <w:pStyle w:val="BodyText"/>
        <w:rPr>
          <w:lang w:eastAsia="en-NZ"/>
        </w:rPr>
      </w:pPr>
    </w:p>
    <w:sectPr w:rsidR="00755510"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19" w:rsidRDefault="00BB5019">
      <w:pPr>
        <w:spacing w:after="0" w:line="240" w:lineRule="auto"/>
      </w:pPr>
      <w:r>
        <w:separator/>
      </w:r>
    </w:p>
  </w:endnote>
  <w:endnote w:type="continuationSeparator" w:id="0">
    <w:p w:rsidR="00BB5019" w:rsidRDefault="00BB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BB5019" w:rsidP="00B841FB">
    <w:pPr>
      <w:pStyle w:val="Footerline"/>
    </w:pPr>
  </w:p>
  <w:p w:rsidR="00F200AB" w:rsidRPr="0059155D" w:rsidRDefault="00BB5019" w:rsidP="00B841FB">
    <w:pPr>
      <w:pStyle w:val="Footerline"/>
    </w:pPr>
  </w:p>
  <w:p w:rsidR="00F200AB" w:rsidRPr="005533D8" w:rsidRDefault="00F55A35" w:rsidP="00B841FB">
    <w:pPr>
      <w:pStyle w:val="Footer"/>
    </w:pPr>
    <w:fldSimple w:instr=" DOCVARIABLE  dvShortText ">
      <w:r>
        <w:t>Case note 175682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A6E84">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BB5019" w:rsidP="00B841FB">
    <w:pPr>
      <w:pStyle w:val="Footerline"/>
    </w:pPr>
  </w:p>
  <w:p w:rsidR="00F200AB" w:rsidRPr="0059155D" w:rsidRDefault="00BB5019" w:rsidP="00B841FB">
    <w:pPr>
      <w:pStyle w:val="Footerline"/>
    </w:pPr>
  </w:p>
  <w:p w:rsidR="00F200AB" w:rsidRPr="005533D8" w:rsidRDefault="00F55A35" w:rsidP="00B841FB">
    <w:pPr>
      <w:pStyle w:val="Footer"/>
    </w:pPr>
    <w:fldSimple w:instr=" DOCVARIABLE  dvShortText ">
      <w:r>
        <w:t>Case note 175682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BB5019">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19" w:rsidRDefault="00BB5019">
      <w:pPr>
        <w:spacing w:after="0" w:line="240" w:lineRule="auto"/>
      </w:pPr>
      <w:r>
        <w:separator/>
      </w:r>
    </w:p>
  </w:footnote>
  <w:footnote w:type="continuationSeparator" w:id="0">
    <w:p w:rsidR="00BB5019" w:rsidRDefault="00BB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BB5019"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5682 |"/>
    <w:docVar w:name="dvShortTextFrm" w:val="Case note 175682"/>
    <w:docVar w:name="IsfirstTb" w:val="False"/>
    <w:docVar w:name="IsInTable" w:val="False"/>
    <w:docVar w:name="OOTOTemplate" w:val="OOTO General\Case note.dotm"/>
  </w:docVars>
  <w:rsids>
    <w:rsidRoot w:val="00051017"/>
    <w:rsid w:val="000054D7"/>
    <w:rsid w:val="00051017"/>
    <w:rsid w:val="00052864"/>
    <w:rsid w:val="00056139"/>
    <w:rsid w:val="000B2218"/>
    <w:rsid w:val="00152A27"/>
    <w:rsid w:val="00175E33"/>
    <w:rsid w:val="001966D8"/>
    <w:rsid w:val="001C1C8F"/>
    <w:rsid w:val="001C2D91"/>
    <w:rsid w:val="00212827"/>
    <w:rsid w:val="0022441E"/>
    <w:rsid w:val="00231B34"/>
    <w:rsid w:val="00311F55"/>
    <w:rsid w:val="00343B77"/>
    <w:rsid w:val="00366D29"/>
    <w:rsid w:val="00403044"/>
    <w:rsid w:val="004275BC"/>
    <w:rsid w:val="00485BB3"/>
    <w:rsid w:val="004A6E84"/>
    <w:rsid w:val="004F393F"/>
    <w:rsid w:val="00502D89"/>
    <w:rsid w:val="00562870"/>
    <w:rsid w:val="0060106C"/>
    <w:rsid w:val="00665FBB"/>
    <w:rsid w:val="006F57EC"/>
    <w:rsid w:val="00755510"/>
    <w:rsid w:val="007D336D"/>
    <w:rsid w:val="007E531C"/>
    <w:rsid w:val="00830A8D"/>
    <w:rsid w:val="0089058E"/>
    <w:rsid w:val="008A6715"/>
    <w:rsid w:val="00951DAD"/>
    <w:rsid w:val="009A61CE"/>
    <w:rsid w:val="00A85538"/>
    <w:rsid w:val="00BB5019"/>
    <w:rsid w:val="00D14FC6"/>
    <w:rsid w:val="00D15949"/>
    <w:rsid w:val="00D85451"/>
    <w:rsid w:val="00DD3808"/>
    <w:rsid w:val="00DE48AC"/>
    <w:rsid w:val="00E03087"/>
    <w:rsid w:val="00E11A0D"/>
    <w:rsid w:val="00E14F7A"/>
    <w:rsid w:val="00E9396C"/>
    <w:rsid w:val="00EB186F"/>
    <w:rsid w:val="00EF7876"/>
    <w:rsid w:val="00F15F51"/>
    <w:rsid w:val="00F55A35"/>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qFormat/>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F55A3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707364715">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2837-A0A7-4D6D-8999-1CF615DF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5</cp:revision>
  <cp:lastPrinted>2017-06-28T00:53:00Z</cp:lastPrinted>
  <dcterms:created xsi:type="dcterms:W3CDTF">2018-10-01T01:53:00Z</dcterms:created>
  <dcterms:modified xsi:type="dcterms:W3CDTF">2018-11-20T04:00:00Z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